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word/charts/chart19.xml" ContentType="application/vnd.openxmlformats-officedocument.drawingml.chart+xml"/>
  <Override PartName="/word/drawings/drawing3.xml" ContentType="application/vnd.openxmlformats-officedocument.drawingml.chartshapes+xml"/>
  <Override PartName="/word/drawings/drawing4.xml" ContentType="application/vnd.openxmlformats-officedocument.drawingml.chartshapes+xml"/>
  <Override PartName="/word/charts/chart28.xml" ContentType="application/vnd.openxmlformats-officedocument.drawingml.chart+xml"/>
  <Override PartName="/word/charts/chart2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drawings/drawing2.xml" ContentType="application/vnd.openxmlformats-officedocument.drawingml.chartshapes+xml"/>
  <Override PartName="/word/charts/chart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26.xml" ContentType="application/vnd.openxmlformats-officedocument.drawingml.chart+xml"/>
  <Override PartName="/word/charts/chart2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charts/chart34.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31.xml" ContentType="application/vnd.openxmlformats-officedocument.drawingml.chart+xml"/>
  <Override PartName="/word/charts/chart32.xml" ContentType="application/vnd.openxmlformats-officedocument.drawingml.chart+xml"/>
  <Override PartName="/word/charts/chart3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30.xml" ContentType="application/vnd.openxmlformats-officedocument.drawingml.chart+xml"/>
  <Override PartName="/docProps/core.xml" ContentType="application/vnd.openxmlformats-package.core-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4BA4" w:rsidRDefault="00DA4BA4" w:rsidP="00D40CBB">
      <w:pPr>
        <w:jc w:val="center"/>
        <w:rPr>
          <w:b/>
          <w:sz w:val="44"/>
          <w:szCs w:val="44"/>
        </w:rPr>
      </w:pPr>
    </w:p>
    <w:p w:rsidR="00DA4BA4" w:rsidRDefault="00DA4BA4" w:rsidP="00D40CBB">
      <w:pPr>
        <w:jc w:val="center"/>
        <w:rPr>
          <w:b/>
          <w:sz w:val="44"/>
          <w:szCs w:val="44"/>
        </w:rPr>
      </w:pPr>
    </w:p>
    <w:p w:rsidR="00DA4BA4" w:rsidRDefault="00DA4BA4" w:rsidP="00D40CBB">
      <w:pPr>
        <w:jc w:val="center"/>
        <w:rPr>
          <w:b/>
          <w:sz w:val="44"/>
          <w:szCs w:val="44"/>
        </w:rPr>
      </w:pPr>
    </w:p>
    <w:p w:rsidR="00D40CBB" w:rsidRPr="00D40CBB" w:rsidRDefault="00D40CBB" w:rsidP="00D40CBB">
      <w:pPr>
        <w:jc w:val="center"/>
        <w:rPr>
          <w:b/>
          <w:sz w:val="44"/>
          <w:szCs w:val="44"/>
        </w:rPr>
      </w:pPr>
      <w:proofErr w:type="spellStart"/>
      <w:r>
        <w:rPr>
          <w:b/>
          <w:sz w:val="44"/>
          <w:szCs w:val="44"/>
        </w:rPr>
        <w:t>Allocation</w:t>
      </w:r>
      <w:proofErr w:type="spellEnd"/>
      <w:r>
        <w:rPr>
          <w:b/>
          <w:sz w:val="44"/>
          <w:szCs w:val="44"/>
        </w:rPr>
        <w:t xml:space="preserve"> and </w:t>
      </w:r>
      <w:proofErr w:type="spellStart"/>
      <w:r w:rsidR="008956D5" w:rsidRPr="00D40CBB">
        <w:rPr>
          <w:b/>
          <w:sz w:val="44"/>
          <w:szCs w:val="44"/>
        </w:rPr>
        <w:t>Equity</w:t>
      </w:r>
      <w:proofErr w:type="spellEnd"/>
      <w:r w:rsidR="008956D5" w:rsidRPr="00D40CBB">
        <w:rPr>
          <w:b/>
          <w:sz w:val="44"/>
          <w:szCs w:val="44"/>
        </w:rPr>
        <w:t xml:space="preserve"> </w:t>
      </w:r>
      <w:proofErr w:type="spellStart"/>
      <w:r w:rsidR="008956D5" w:rsidRPr="00D40CBB">
        <w:rPr>
          <w:b/>
          <w:sz w:val="44"/>
          <w:szCs w:val="44"/>
        </w:rPr>
        <w:t>Issues</w:t>
      </w:r>
      <w:proofErr w:type="spellEnd"/>
      <w:r w:rsidR="008956D5" w:rsidRPr="00D40CBB">
        <w:rPr>
          <w:b/>
          <w:sz w:val="44"/>
          <w:szCs w:val="44"/>
        </w:rPr>
        <w:t xml:space="preserve"> </w:t>
      </w:r>
      <w:r w:rsidRPr="00D40CBB">
        <w:rPr>
          <w:b/>
          <w:sz w:val="44"/>
          <w:szCs w:val="44"/>
        </w:rPr>
        <w:t xml:space="preserve">in </w:t>
      </w:r>
      <w:proofErr w:type="spellStart"/>
      <w:r w:rsidRPr="00D40CBB">
        <w:rPr>
          <w:b/>
          <w:sz w:val="44"/>
          <w:szCs w:val="44"/>
        </w:rPr>
        <w:t>Public</w:t>
      </w:r>
      <w:proofErr w:type="spellEnd"/>
      <w:r w:rsidRPr="00D40CBB">
        <w:rPr>
          <w:b/>
          <w:sz w:val="44"/>
          <w:szCs w:val="44"/>
        </w:rPr>
        <w:t xml:space="preserve"> </w:t>
      </w:r>
      <w:proofErr w:type="spellStart"/>
      <w:r w:rsidRPr="00D40CBB">
        <w:rPr>
          <w:b/>
          <w:sz w:val="44"/>
          <w:szCs w:val="44"/>
        </w:rPr>
        <w:t>Budget</w:t>
      </w:r>
      <w:proofErr w:type="spellEnd"/>
      <w:r w:rsidRPr="00D40CBB">
        <w:rPr>
          <w:b/>
          <w:sz w:val="44"/>
          <w:szCs w:val="44"/>
        </w:rPr>
        <w:t xml:space="preserve"> </w:t>
      </w:r>
      <w:proofErr w:type="spellStart"/>
      <w:r w:rsidRPr="00D40CBB">
        <w:rPr>
          <w:b/>
          <w:sz w:val="44"/>
          <w:szCs w:val="44"/>
        </w:rPr>
        <w:t>Allocation</w:t>
      </w:r>
      <w:proofErr w:type="spellEnd"/>
    </w:p>
    <w:p w:rsidR="00D40CBB" w:rsidRDefault="00D40CBB" w:rsidP="00D40CBB">
      <w:pPr>
        <w:jc w:val="center"/>
        <w:rPr>
          <w:b/>
          <w:sz w:val="32"/>
          <w:szCs w:val="32"/>
        </w:rPr>
      </w:pPr>
    </w:p>
    <w:p w:rsidR="00D40CBB" w:rsidRPr="00D40CBB" w:rsidRDefault="00D40CBB" w:rsidP="00D40CBB">
      <w:pPr>
        <w:jc w:val="center"/>
        <w:rPr>
          <w:b/>
          <w:sz w:val="32"/>
          <w:szCs w:val="32"/>
        </w:rPr>
      </w:pPr>
    </w:p>
    <w:p w:rsidR="00D40CBB" w:rsidRDefault="00D40CBB" w:rsidP="00D40CBB">
      <w:pPr>
        <w:jc w:val="center"/>
      </w:pPr>
      <w:proofErr w:type="spellStart"/>
      <w:r>
        <w:t>March</w:t>
      </w:r>
      <w:proofErr w:type="spellEnd"/>
      <w:r>
        <w:t xml:space="preserve"> 2010</w:t>
      </w:r>
    </w:p>
    <w:p w:rsidR="00BB691C" w:rsidRDefault="00BB691C" w:rsidP="00D40CBB">
      <w:pPr>
        <w:jc w:val="center"/>
      </w:pPr>
    </w:p>
    <w:p w:rsidR="00BB691C" w:rsidRDefault="00BB691C" w:rsidP="00D40CBB">
      <w:pPr>
        <w:jc w:val="center"/>
      </w:pPr>
    </w:p>
    <w:p w:rsidR="00BB691C" w:rsidRPr="00BB691C" w:rsidRDefault="00D40CBB" w:rsidP="00D40CBB">
      <w:pPr>
        <w:jc w:val="center"/>
        <w:rPr>
          <w:sz w:val="28"/>
          <w:szCs w:val="28"/>
        </w:rPr>
      </w:pPr>
      <w:r w:rsidRPr="00BB691C">
        <w:rPr>
          <w:sz w:val="28"/>
          <w:szCs w:val="28"/>
        </w:rPr>
        <w:t xml:space="preserve">Betty </w:t>
      </w:r>
      <w:r w:rsidR="00BB691C">
        <w:rPr>
          <w:sz w:val="28"/>
          <w:szCs w:val="28"/>
        </w:rPr>
        <w:t xml:space="preserve">M. </w:t>
      </w:r>
      <w:r w:rsidRPr="00BB691C">
        <w:rPr>
          <w:sz w:val="28"/>
          <w:szCs w:val="28"/>
        </w:rPr>
        <w:t>Alvarado</w:t>
      </w:r>
      <w:r w:rsidR="00BB691C">
        <w:rPr>
          <w:sz w:val="28"/>
          <w:szCs w:val="28"/>
        </w:rPr>
        <w:t xml:space="preserve">, Principal </w:t>
      </w:r>
      <w:proofErr w:type="spellStart"/>
      <w:r w:rsidR="00BB691C">
        <w:rPr>
          <w:sz w:val="28"/>
          <w:szCs w:val="28"/>
        </w:rPr>
        <w:t>Researcher</w:t>
      </w:r>
      <w:proofErr w:type="spellEnd"/>
    </w:p>
    <w:p w:rsidR="00D40CBB" w:rsidRPr="00BB691C" w:rsidRDefault="00D40CBB" w:rsidP="00D40CBB">
      <w:pPr>
        <w:jc w:val="center"/>
        <w:rPr>
          <w:sz w:val="28"/>
          <w:szCs w:val="28"/>
          <w:lang w:val="en-US"/>
        </w:rPr>
      </w:pPr>
      <w:r w:rsidRPr="00BB691C">
        <w:rPr>
          <w:sz w:val="28"/>
          <w:szCs w:val="28"/>
        </w:rPr>
        <w:t>Graciela Muñiz</w:t>
      </w:r>
    </w:p>
    <w:p w:rsidR="00583A0D" w:rsidRDefault="00583A0D">
      <w:pPr>
        <w:rPr>
          <w:rFonts w:asciiTheme="majorHAnsi" w:eastAsiaTheme="majorEastAsia" w:hAnsiTheme="majorHAnsi" w:cstheme="majorBidi"/>
          <w:b/>
          <w:bCs/>
          <w:color w:val="4F81BD" w:themeColor="accent1"/>
          <w:sz w:val="26"/>
          <w:szCs w:val="26"/>
        </w:rPr>
      </w:pPr>
      <w:r>
        <w:br w:type="page"/>
      </w:r>
    </w:p>
    <w:p w:rsidR="008956D5" w:rsidRDefault="008956D5" w:rsidP="00D04271">
      <w:pPr>
        <w:pStyle w:val="Heading2"/>
        <w:rPr>
          <w:lang w:val="en-US"/>
        </w:rPr>
      </w:pPr>
      <w:bookmarkStart w:id="0" w:name="_Toc255446157"/>
    </w:p>
    <w:p w:rsidR="008956D5" w:rsidRDefault="008956D5" w:rsidP="00D04271">
      <w:pPr>
        <w:pStyle w:val="Heading2"/>
        <w:rPr>
          <w:lang w:val="en-US"/>
        </w:rPr>
      </w:pPr>
    </w:p>
    <w:p w:rsidR="00D04271" w:rsidRPr="001C0120" w:rsidRDefault="00D04271" w:rsidP="00D04271">
      <w:pPr>
        <w:pStyle w:val="Heading2"/>
        <w:rPr>
          <w:lang w:val="en-US"/>
        </w:rPr>
      </w:pPr>
      <w:r w:rsidRPr="001C0120">
        <w:rPr>
          <w:lang w:val="en-US"/>
        </w:rPr>
        <w:t>ABSTRACT</w:t>
      </w:r>
      <w:bookmarkEnd w:id="0"/>
    </w:p>
    <w:p w:rsidR="00B976FA" w:rsidRPr="001C0120" w:rsidRDefault="00B976FA" w:rsidP="00B976FA">
      <w:pPr>
        <w:rPr>
          <w:lang w:val="en-US"/>
        </w:rPr>
      </w:pPr>
    </w:p>
    <w:p w:rsidR="001D03E6" w:rsidRDefault="006801F9" w:rsidP="006801F9">
      <w:pPr>
        <w:jc w:val="both"/>
        <w:rPr>
          <w:i/>
          <w:lang w:val="en-US"/>
        </w:rPr>
      </w:pPr>
      <w:r w:rsidRPr="006801F9">
        <w:rPr>
          <w:i/>
          <w:lang w:val="en-US"/>
        </w:rPr>
        <w:t xml:space="preserve">This study reviews </w:t>
      </w:r>
      <w:r w:rsidR="00C254D0">
        <w:rPr>
          <w:i/>
          <w:lang w:val="en-US"/>
        </w:rPr>
        <w:t xml:space="preserve">briefly </w:t>
      </w:r>
      <w:r w:rsidRPr="006801F9">
        <w:rPr>
          <w:i/>
          <w:lang w:val="en-US"/>
        </w:rPr>
        <w:t>the budgeting status of the education sector</w:t>
      </w:r>
      <w:r w:rsidR="001D03E6">
        <w:rPr>
          <w:i/>
          <w:lang w:val="en-US"/>
        </w:rPr>
        <w:t xml:space="preserve"> in Peru.</w:t>
      </w:r>
      <w:r w:rsidR="00DA4BA4">
        <w:rPr>
          <w:i/>
          <w:lang w:val="en-US"/>
        </w:rPr>
        <w:t xml:space="preserve"> Two context factors called the attention, the decentralization of sector</w:t>
      </w:r>
      <w:r w:rsidR="001D03E6">
        <w:rPr>
          <w:i/>
          <w:lang w:val="en-US"/>
        </w:rPr>
        <w:t xml:space="preserve"> </w:t>
      </w:r>
      <w:r w:rsidR="00C254D0">
        <w:rPr>
          <w:i/>
          <w:lang w:val="en-US"/>
        </w:rPr>
        <w:t>provision and the implementation of a pilot program for</w:t>
      </w:r>
      <w:r w:rsidRPr="006801F9">
        <w:rPr>
          <w:i/>
          <w:lang w:val="en-US"/>
        </w:rPr>
        <w:t xml:space="preserve"> Result Based Budget</w:t>
      </w:r>
      <w:r w:rsidR="00C254D0">
        <w:rPr>
          <w:i/>
          <w:lang w:val="en-US"/>
        </w:rPr>
        <w:t xml:space="preserve"> which tries to link</w:t>
      </w:r>
      <w:r w:rsidRPr="006801F9">
        <w:rPr>
          <w:i/>
          <w:lang w:val="en-US"/>
        </w:rPr>
        <w:t xml:space="preserve"> the learning outcomes of 2</w:t>
      </w:r>
      <w:r w:rsidRPr="006801F9">
        <w:rPr>
          <w:i/>
          <w:vertAlign w:val="superscript"/>
          <w:lang w:val="en-US"/>
        </w:rPr>
        <w:t>nd</w:t>
      </w:r>
      <w:r w:rsidRPr="006801F9">
        <w:rPr>
          <w:i/>
          <w:lang w:val="en-US"/>
        </w:rPr>
        <w:t xml:space="preserve"> graders</w:t>
      </w:r>
      <w:r w:rsidR="00C254D0">
        <w:rPr>
          <w:i/>
          <w:lang w:val="en-US"/>
        </w:rPr>
        <w:t xml:space="preserve"> to budget allocation</w:t>
      </w:r>
      <w:r w:rsidR="001D03E6">
        <w:rPr>
          <w:i/>
          <w:lang w:val="en-US"/>
        </w:rPr>
        <w:t xml:space="preserve">. </w:t>
      </w:r>
      <w:r w:rsidR="00C254D0">
        <w:rPr>
          <w:i/>
          <w:lang w:val="en-US"/>
        </w:rPr>
        <w:t>Both factors should have shaped budget allocation and distribution.</w:t>
      </w:r>
    </w:p>
    <w:p w:rsidR="001D03E6" w:rsidRDefault="00C254D0" w:rsidP="006801F9">
      <w:pPr>
        <w:jc w:val="both"/>
        <w:rPr>
          <w:i/>
          <w:lang w:val="en-US"/>
        </w:rPr>
      </w:pPr>
      <w:r>
        <w:rPr>
          <w:i/>
          <w:lang w:val="en-US"/>
        </w:rPr>
        <w:t>P</w:t>
      </w:r>
      <w:r w:rsidR="006801F9" w:rsidRPr="006801F9">
        <w:rPr>
          <w:i/>
          <w:lang w:val="en-US"/>
        </w:rPr>
        <w:t xml:space="preserve">eru has reached an interesting level in coverage but not so in quality, in that sense, one can say that Peru has been efficient but not effective reaching quality.  An important characteristic in Peru is that decentralization began in 2004 and regional governments are still not that experienced running the sector. On the other side, the Ministry of Education still implements local activities without care of constructive regulation. </w:t>
      </w:r>
    </w:p>
    <w:p w:rsidR="00962185" w:rsidRDefault="006801F9" w:rsidP="00962185">
      <w:pPr>
        <w:jc w:val="both"/>
        <w:rPr>
          <w:i/>
          <w:lang w:val="en-US"/>
        </w:rPr>
      </w:pPr>
      <w:r w:rsidRPr="006801F9">
        <w:rPr>
          <w:i/>
          <w:lang w:val="en-US"/>
        </w:rPr>
        <w:t xml:space="preserve">Equity is still an issue </w:t>
      </w:r>
      <w:r w:rsidR="001D03E6">
        <w:rPr>
          <w:i/>
          <w:lang w:val="en-US"/>
        </w:rPr>
        <w:t>in the s</w:t>
      </w:r>
      <w:r w:rsidR="00C254D0">
        <w:rPr>
          <w:i/>
          <w:lang w:val="en-US"/>
        </w:rPr>
        <w:t>ector and this policy brief reveals</w:t>
      </w:r>
      <w:r w:rsidR="00031109">
        <w:rPr>
          <w:i/>
          <w:lang w:val="en-US"/>
        </w:rPr>
        <w:t xml:space="preserve"> and measure </w:t>
      </w:r>
      <w:r w:rsidR="00C254D0">
        <w:rPr>
          <w:i/>
          <w:lang w:val="en-US"/>
        </w:rPr>
        <w:t>the problem in two perspectives</w:t>
      </w:r>
      <w:r w:rsidR="00031109">
        <w:rPr>
          <w:i/>
          <w:lang w:val="en-US"/>
        </w:rPr>
        <w:t xml:space="preserve">, at the regional level and at the final beneficiary level. </w:t>
      </w:r>
      <w:r w:rsidR="004A7F8E" w:rsidRPr="006801F9">
        <w:rPr>
          <w:i/>
          <w:lang w:val="en-US"/>
        </w:rPr>
        <w:t>U</w:t>
      </w:r>
      <w:r w:rsidR="004A7F8E">
        <w:rPr>
          <w:i/>
          <w:lang w:val="en-US"/>
        </w:rPr>
        <w:t xml:space="preserve">sing the </w:t>
      </w:r>
      <w:proofErr w:type="spellStart"/>
      <w:r w:rsidR="004A7F8E" w:rsidRPr="00A6739F">
        <w:rPr>
          <w:rStyle w:val="IntenseEmphasis"/>
        </w:rPr>
        <w:t>Program</w:t>
      </w:r>
      <w:proofErr w:type="spellEnd"/>
      <w:r w:rsidR="004A7F8E" w:rsidRPr="00A6739F">
        <w:rPr>
          <w:rStyle w:val="IntenseEmphasis"/>
        </w:rPr>
        <w:t xml:space="preserve"> </w:t>
      </w:r>
      <w:proofErr w:type="spellStart"/>
      <w:r w:rsidR="004A7F8E" w:rsidRPr="00A6739F">
        <w:rPr>
          <w:rStyle w:val="IntenseEmphasis"/>
        </w:rPr>
        <w:t>Budget</w:t>
      </w:r>
      <w:proofErr w:type="spellEnd"/>
      <w:r w:rsidR="004A7F8E" w:rsidRPr="00A6739F">
        <w:rPr>
          <w:rStyle w:val="IntenseEmphasis"/>
        </w:rPr>
        <w:t xml:space="preserve"> </w:t>
      </w:r>
      <w:proofErr w:type="spellStart"/>
      <w:r w:rsidR="004A7F8E" w:rsidRPr="00A6739F">
        <w:rPr>
          <w:rStyle w:val="IntenseEmphasis"/>
        </w:rPr>
        <w:t>Analysis</w:t>
      </w:r>
      <w:proofErr w:type="spellEnd"/>
      <w:r w:rsidR="004A7F8E" w:rsidRPr="00A6739F">
        <w:rPr>
          <w:rStyle w:val="IntenseEmphasis"/>
        </w:rPr>
        <w:t xml:space="preserve"> </w:t>
      </w:r>
      <w:r w:rsidR="004A7F8E">
        <w:rPr>
          <w:i/>
          <w:lang w:val="en-US"/>
        </w:rPr>
        <w:t>approach</w:t>
      </w:r>
      <w:r w:rsidR="004A7F8E" w:rsidRPr="006801F9">
        <w:rPr>
          <w:i/>
          <w:lang w:val="en-US"/>
        </w:rPr>
        <w:t>, this study take</w:t>
      </w:r>
      <w:r w:rsidR="004A7F8E">
        <w:rPr>
          <w:i/>
          <w:lang w:val="en-US"/>
        </w:rPr>
        <w:t>s</w:t>
      </w:r>
      <w:r w:rsidR="004A7F8E" w:rsidRPr="006801F9">
        <w:rPr>
          <w:i/>
          <w:lang w:val="en-US"/>
        </w:rPr>
        <w:t xml:space="preserve"> a comprehensive look and </w:t>
      </w:r>
      <w:r w:rsidR="004A7F8E">
        <w:rPr>
          <w:i/>
          <w:lang w:val="en-US"/>
        </w:rPr>
        <w:t xml:space="preserve">explores the budget allocation </w:t>
      </w:r>
      <w:r w:rsidR="00C16F45">
        <w:rPr>
          <w:i/>
          <w:lang w:val="en-US"/>
        </w:rPr>
        <w:t>of different government levels among</w:t>
      </w:r>
      <w:r w:rsidR="004A7F8E">
        <w:rPr>
          <w:i/>
          <w:lang w:val="en-US"/>
        </w:rPr>
        <w:t xml:space="preserve"> education levels from </w:t>
      </w:r>
      <w:proofErr w:type="spellStart"/>
      <w:proofErr w:type="gramStart"/>
      <w:r w:rsidR="004A7F8E">
        <w:rPr>
          <w:i/>
          <w:lang w:val="en-US"/>
        </w:rPr>
        <w:t>pre school</w:t>
      </w:r>
      <w:proofErr w:type="spellEnd"/>
      <w:proofErr w:type="gramEnd"/>
      <w:r w:rsidR="004A7F8E">
        <w:rPr>
          <w:i/>
          <w:lang w:val="en-US"/>
        </w:rPr>
        <w:t xml:space="preserve"> to </w:t>
      </w:r>
      <w:proofErr w:type="spellStart"/>
      <w:r w:rsidR="004A7F8E">
        <w:rPr>
          <w:i/>
          <w:lang w:val="en-US"/>
        </w:rPr>
        <w:t>terciary</w:t>
      </w:r>
      <w:proofErr w:type="spellEnd"/>
      <w:r w:rsidR="004A7F8E">
        <w:rPr>
          <w:i/>
          <w:lang w:val="en-US"/>
        </w:rPr>
        <w:t xml:space="preserve"> education</w:t>
      </w:r>
      <w:r w:rsidR="00C16F45">
        <w:rPr>
          <w:i/>
          <w:lang w:val="en-US"/>
        </w:rPr>
        <w:t xml:space="preserve"> budget programs.</w:t>
      </w:r>
      <w:r w:rsidR="00962185">
        <w:rPr>
          <w:i/>
          <w:lang w:val="en-US"/>
        </w:rPr>
        <w:t xml:space="preserve">  Additionally, the </w:t>
      </w:r>
      <w:r w:rsidR="00A6739F">
        <w:rPr>
          <w:i/>
          <w:lang w:val="en-US"/>
        </w:rPr>
        <w:t>paper utilizes</w:t>
      </w:r>
      <w:r w:rsidR="00962185">
        <w:rPr>
          <w:i/>
          <w:lang w:val="en-US"/>
        </w:rPr>
        <w:t xml:space="preserve"> the </w:t>
      </w:r>
      <w:proofErr w:type="spellStart"/>
      <w:r w:rsidR="00962185" w:rsidRPr="00A6739F">
        <w:rPr>
          <w:rStyle w:val="IntenseEmphasis"/>
        </w:rPr>
        <w:t>Benefit</w:t>
      </w:r>
      <w:proofErr w:type="spellEnd"/>
      <w:r w:rsidR="00962185" w:rsidRPr="00A6739F">
        <w:rPr>
          <w:rStyle w:val="IntenseEmphasis"/>
        </w:rPr>
        <w:t xml:space="preserve"> </w:t>
      </w:r>
      <w:proofErr w:type="spellStart"/>
      <w:r w:rsidR="00962185" w:rsidRPr="00A6739F">
        <w:rPr>
          <w:rStyle w:val="IntenseEmphasis"/>
        </w:rPr>
        <w:t>Incidence</w:t>
      </w:r>
      <w:proofErr w:type="spellEnd"/>
      <w:r w:rsidR="00962185" w:rsidRPr="00A6739F">
        <w:rPr>
          <w:rStyle w:val="IntenseEmphasis"/>
        </w:rPr>
        <w:t xml:space="preserve"> </w:t>
      </w:r>
      <w:proofErr w:type="spellStart"/>
      <w:r w:rsidR="00962185" w:rsidRPr="00A6739F">
        <w:rPr>
          <w:rStyle w:val="IntenseEmphasis"/>
        </w:rPr>
        <w:t>Analysis</w:t>
      </w:r>
      <w:proofErr w:type="spellEnd"/>
      <w:r w:rsidR="00962185">
        <w:rPr>
          <w:i/>
          <w:lang w:val="en-US"/>
        </w:rPr>
        <w:t xml:space="preserve"> to explore the </w:t>
      </w:r>
      <w:r w:rsidR="001E314E">
        <w:rPr>
          <w:i/>
          <w:lang w:val="en-US"/>
        </w:rPr>
        <w:t xml:space="preserve">budget </w:t>
      </w:r>
      <w:r w:rsidR="00962185">
        <w:rPr>
          <w:i/>
          <w:lang w:val="en-US"/>
        </w:rPr>
        <w:t xml:space="preserve">distribution among </w:t>
      </w:r>
      <w:r w:rsidR="004A7F8E">
        <w:rPr>
          <w:i/>
          <w:lang w:val="en-US"/>
        </w:rPr>
        <w:t xml:space="preserve">population </w:t>
      </w:r>
      <w:r w:rsidR="004A7F8E" w:rsidRPr="006801F9">
        <w:rPr>
          <w:i/>
          <w:lang w:val="en-US"/>
        </w:rPr>
        <w:t>quintiles</w:t>
      </w:r>
      <w:r w:rsidR="00962185">
        <w:rPr>
          <w:i/>
          <w:lang w:val="en-US"/>
        </w:rPr>
        <w:t xml:space="preserve">. </w:t>
      </w:r>
    </w:p>
    <w:p w:rsidR="004A7F8E" w:rsidRPr="00B976FA" w:rsidRDefault="00962185" w:rsidP="00962185">
      <w:pPr>
        <w:jc w:val="both"/>
        <w:rPr>
          <w:i/>
          <w:lang w:val="en-US"/>
        </w:rPr>
      </w:pPr>
      <w:r>
        <w:rPr>
          <w:i/>
          <w:lang w:val="en-US"/>
        </w:rPr>
        <w:t xml:space="preserve">The findings </w:t>
      </w:r>
      <w:r w:rsidR="001E314E">
        <w:rPr>
          <w:i/>
          <w:lang w:val="en-US"/>
        </w:rPr>
        <w:t xml:space="preserve">show regional disparities; some regions receive practically twice in comparison to the rest of the territories, but no clear policy to reduce those disparities </w:t>
      </w:r>
      <w:r w:rsidR="00BB691C">
        <w:rPr>
          <w:i/>
          <w:lang w:val="en-US"/>
        </w:rPr>
        <w:t>is</w:t>
      </w:r>
      <w:r w:rsidR="001E314E">
        <w:rPr>
          <w:i/>
          <w:lang w:val="en-US"/>
        </w:rPr>
        <w:t xml:space="preserve"> in place.  The BIA discovers that </w:t>
      </w:r>
      <w:r w:rsidR="004A7F8E" w:rsidRPr="006801F9">
        <w:rPr>
          <w:i/>
          <w:lang w:val="en-US"/>
        </w:rPr>
        <w:t xml:space="preserve">the distribution </w:t>
      </w:r>
      <w:r w:rsidR="004A7F8E">
        <w:rPr>
          <w:i/>
          <w:lang w:val="en-US"/>
        </w:rPr>
        <w:t>favors</w:t>
      </w:r>
      <w:r w:rsidR="004A7F8E" w:rsidRPr="006801F9">
        <w:rPr>
          <w:i/>
          <w:lang w:val="en-US"/>
        </w:rPr>
        <w:t xml:space="preserve"> qui</w:t>
      </w:r>
      <w:r w:rsidR="004A7F8E">
        <w:rPr>
          <w:i/>
          <w:lang w:val="en-US"/>
        </w:rPr>
        <w:t>ntile</w:t>
      </w:r>
      <w:r w:rsidR="001E314E">
        <w:rPr>
          <w:i/>
          <w:lang w:val="en-US"/>
        </w:rPr>
        <w:t>s</w:t>
      </w:r>
      <w:r w:rsidR="004A7F8E">
        <w:rPr>
          <w:i/>
          <w:lang w:val="en-US"/>
        </w:rPr>
        <w:t xml:space="preserve"> 2 and 3.  </w:t>
      </w:r>
      <w:r w:rsidR="001E314E">
        <w:rPr>
          <w:i/>
          <w:lang w:val="en-US"/>
        </w:rPr>
        <w:t>The latter coincides with</w:t>
      </w:r>
      <w:r w:rsidR="004A7F8E" w:rsidRPr="006801F9">
        <w:rPr>
          <w:i/>
          <w:lang w:val="en-US"/>
        </w:rPr>
        <w:t xml:space="preserve"> what citizens and politicians </w:t>
      </w:r>
      <w:r w:rsidR="004A7F8E">
        <w:rPr>
          <w:i/>
          <w:lang w:val="en-US"/>
        </w:rPr>
        <w:t>already know;</w:t>
      </w:r>
      <w:r w:rsidR="004A7F8E" w:rsidRPr="006801F9">
        <w:rPr>
          <w:i/>
          <w:lang w:val="en-US"/>
        </w:rPr>
        <w:t xml:space="preserve"> </w:t>
      </w:r>
      <w:r w:rsidR="00A6739F">
        <w:rPr>
          <w:i/>
          <w:lang w:val="en-US"/>
        </w:rPr>
        <w:t xml:space="preserve">An interesting amount </w:t>
      </w:r>
      <w:r w:rsidR="004A7F8E" w:rsidRPr="006801F9">
        <w:rPr>
          <w:i/>
          <w:lang w:val="en-US"/>
        </w:rPr>
        <w:t>of resources go</w:t>
      </w:r>
      <w:r w:rsidR="00A6739F">
        <w:rPr>
          <w:i/>
          <w:lang w:val="en-US"/>
        </w:rPr>
        <w:t>es</w:t>
      </w:r>
      <w:r w:rsidR="004A7F8E" w:rsidRPr="006801F9">
        <w:rPr>
          <w:i/>
          <w:lang w:val="en-US"/>
        </w:rPr>
        <w:t xml:space="preserve"> to </w:t>
      </w:r>
      <w:r w:rsidR="00A6739F">
        <w:rPr>
          <w:i/>
          <w:lang w:val="en-US"/>
        </w:rPr>
        <w:t xml:space="preserve">the </w:t>
      </w:r>
      <w:proofErr w:type="spellStart"/>
      <w:r w:rsidR="00A6739F">
        <w:rPr>
          <w:i/>
          <w:lang w:val="en-US"/>
        </w:rPr>
        <w:t>terciary</w:t>
      </w:r>
      <w:proofErr w:type="spellEnd"/>
      <w:r w:rsidR="00A6739F">
        <w:rPr>
          <w:i/>
          <w:lang w:val="en-US"/>
        </w:rPr>
        <w:t xml:space="preserve"> level</w:t>
      </w:r>
      <w:r w:rsidR="004A7F8E" w:rsidRPr="006801F9">
        <w:rPr>
          <w:i/>
          <w:lang w:val="en-US"/>
        </w:rPr>
        <w:t xml:space="preserve">, used by the less poor, and </w:t>
      </w:r>
      <w:r w:rsidR="004A7F8E">
        <w:rPr>
          <w:i/>
          <w:lang w:val="en-US"/>
        </w:rPr>
        <w:t>much less to</w:t>
      </w:r>
      <w:r w:rsidR="004A7F8E" w:rsidRPr="006801F9">
        <w:rPr>
          <w:i/>
          <w:lang w:val="en-US"/>
        </w:rPr>
        <w:t xml:space="preserve"> </w:t>
      </w:r>
      <w:r w:rsidR="004A7F8E">
        <w:rPr>
          <w:i/>
          <w:lang w:val="en-US"/>
        </w:rPr>
        <w:t>preschool.</w:t>
      </w:r>
    </w:p>
    <w:p w:rsidR="001D03E6" w:rsidRDefault="001D03E6" w:rsidP="006801F9">
      <w:pPr>
        <w:jc w:val="both"/>
        <w:rPr>
          <w:i/>
          <w:lang w:val="en-US"/>
        </w:rPr>
      </w:pPr>
    </w:p>
    <w:p w:rsidR="005E4539" w:rsidRDefault="005E4539">
      <w:pPr>
        <w:rPr>
          <w:rFonts w:asciiTheme="majorHAnsi" w:eastAsiaTheme="majorEastAsia" w:hAnsiTheme="majorHAnsi" w:cstheme="majorBidi"/>
          <w:b/>
          <w:bCs/>
          <w:color w:val="365F91" w:themeColor="accent1" w:themeShade="BF"/>
          <w:sz w:val="28"/>
          <w:szCs w:val="28"/>
          <w:lang w:val="en-US"/>
        </w:rPr>
      </w:pPr>
      <w:r>
        <w:rPr>
          <w:lang w:val="en-US"/>
        </w:rPr>
        <w:br w:type="page"/>
      </w:r>
    </w:p>
    <w:p w:rsidR="003C5FE7" w:rsidRPr="00633C1E" w:rsidRDefault="0073121E" w:rsidP="004C3BE4">
      <w:pPr>
        <w:pStyle w:val="Heading1"/>
        <w:rPr>
          <w:lang w:val="en-US"/>
        </w:rPr>
      </w:pPr>
      <w:bookmarkStart w:id="1" w:name="_Toc255446158"/>
      <w:r>
        <w:rPr>
          <w:lang w:val="en-US"/>
        </w:rPr>
        <w:lastRenderedPageBreak/>
        <w:t>I.</w:t>
      </w:r>
      <w:r w:rsidR="004C3BE4">
        <w:rPr>
          <w:lang w:val="en-US"/>
        </w:rPr>
        <w:t xml:space="preserve"> </w:t>
      </w:r>
      <w:r w:rsidR="00E4527C" w:rsidRPr="00633C1E">
        <w:rPr>
          <w:lang w:val="en-US"/>
        </w:rPr>
        <w:t>Education Sector Overview</w:t>
      </w:r>
      <w:bookmarkEnd w:id="1"/>
    </w:p>
    <w:p w:rsidR="008B5E67" w:rsidRDefault="008B5E67" w:rsidP="00640AF6">
      <w:pPr>
        <w:rPr>
          <w:lang w:val="en-US"/>
        </w:rPr>
      </w:pPr>
    </w:p>
    <w:p w:rsidR="00E85AE6" w:rsidRPr="00F70533" w:rsidRDefault="00112139" w:rsidP="00F70533">
      <w:pPr>
        <w:jc w:val="both"/>
        <w:rPr>
          <w:bCs/>
          <w:szCs w:val="20"/>
          <w:lang w:val="en-US"/>
        </w:rPr>
      </w:pPr>
      <w:r w:rsidRPr="00112139">
        <w:rPr>
          <w:bCs/>
          <w:szCs w:val="20"/>
          <w:lang w:val="en-US"/>
        </w:rPr>
        <w:t>Before analyzing the Program Budgeting</w:t>
      </w:r>
      <w:r>
        <w:rPr>
          <w:bCs/>
          <w:szCs w:val="20"/>
          <w:lang w:val="en-US"/>
        </w:rPr>
        <w:t xml:space="preserve"> itself</w:t>
      </w:r>
      <w:r w:rsidRPr="00112139">
        <w:rPr>
          <w:bCs/>
          <w:szCs w:val="20"/>
          <w:lang w:val="en-US"/>
        </w:rPr>
        <w:t xml:space="preserve">, </w:t>
      </w:r>
      <w:r>
        <w:rPr>
          <w:bCs/>
          <w:szCs w:val="20"/>
          <w:lang w:val="en-US"/>
        </w:rPr>
        <w:t>it would be useful to</w:t>
      </w:r>
      <w:r w:rsidR="00C17B2C">
        <w:rPr>
          <w:bCs/>
          <w:szCs w:val="20"/>
          <w:lang w:val="en-US"/>
        </w:rPr>
        <w:t xml:space="preserve"> </w:t>
      </w:r>
      <w:r w:rsidR="000D3B5B">
        <w:rPr>
          <w:bCs/>
          <w:szCs w:val="20"/>
          <w:lang w:val="en-US"/>
        </w:rPr>
        <w:t xml:space="preserve">briefly </w:t>
      </w:r>
      <w:r w:rsidR="00C17B2C">
        <w:rPr>
          <w:bCs/>
          <w:szCs w:val="20"/>
          <w:lang w:val="en-US"/>
        </w:rPr>
        <w:t>contextualize the public expenditure on Education for the Peruvian case</w:t>
      </w:r>
      <w:r w:rsidR="00F70533">
        <w:rPr>
          <w:bCs/>
          <w:szCs w:val="20"/>
          <w:lang w:val="en-US"/>
        </w:rPr>
        <w:t xml:space="preserve">. </w:t>
      </w:r>
      <w:r w:rsidR="00E85AE6" w:rsidRPr="00F70533">
        <w:rPr>
          <w:bCs/>
          <w:szCs w:val="28"/>
          <w:lang w:val="en-US"/>
        </w:rPr>
        <w:t>In 2007, Peru’s GDP grew 9.0 percent (the highest growth rate observed since 1994). With this result, the Peruvian economy accumulates six years of consecutive growth in per capita terms. The current process of expansion has been taking place in a context marked by the dynamism of investment, macroeconomic balances and growing employment, and economic agents’ confidence.</w:t>
      </w:r>
    </w:p>
    <w:p w:rsidR="00AA55A9" w:rsidRPr="00F70533" w:rsidRDefault="009C357B" w:rsidP="00F70533">
      <w:pPr>
        <w:jc w:val="both"/>
        <w:rPr>
          <w:bCs/>
          <w:szCs w:val="28"/>
          <w:lang w:val="en-US"/>
        </w:rPr>
      </w:pPr>
      <w:r>
        <w:rPr>
          <w:bCs/>
          <w:szCs w:val="28"/>
          <w:lang w:val="en-US"/>
        </w:rPr>
        <w:t xml:space="preserve">That stable macroeconomic environment </w:t>
      </w:r>
      <w:r w:rsidR="006233FA">
        <w:rPr>
          <w:bCs/>
          <w:szCs w:val="28"/>
          <w:lang w:val="en-US"/>
        </w:rPr>
        <w:t>has boost funding sources</w:t>
      </w:r>
      <w:r w:rsidR="007700B6">
        <w:rPr>
          <w:bCs/>
          <w:szCs w:val="28"/>
          <w:lang w:val="en-US"/>
        </w:rPr>
        <w:t>, which have</w:t>
      </w:r>
      <w:r w:rsidR="006233FA">
        <w:rPr>
          <w:bCs/>
          <w:szCs w:val="28"/>
          <w:lang w:val="en-US"/>
        </w:rPr>
        <w:t xml:space="preserve"> increa</w:t>
      </w:r>
      <w:r w:rsidR="007700B6">
        <w:rPr>
          <w:bCs/>
          <w:szCs w:val="28"/>
          <w:lang w:val="en-US"/>
        </w:rPr>
        <w:t>sed</w:t>
      </w:r>
      <w:r w:rsidR="00F01075" w:rsidRPr="00F70533">
        <w:rPr>
          <w:bCs/>
          <w:szCs w:val="28"/>
          <w:lang w:val="en-US"/>
        </w:rPr>
        <w:t xml:space="preserve"> 38% between 2000 and 2006 (</w:t>
      </w:r>
      <w:r w:rsidR="00AA55A9" w:rsidRPr="00F70533">
        <w:rPr>
          <w:bCs/>
          <w:szCs w:val="28"/>
          <w:lang w:val="en-US"/>
        </w:rPr>
        <w:t xml:space="preserve">that means, 8 billion </w:t>
      </w:r>
      <w:proofErr w:type="spellStart"/>
      <w:r w:rsidR="00AA55A9" w:rsidRPr="00F70533">
        <w:rPr>
          <w:bCs/>
          <w:szCs w:val="28"/>
          <w:lang w:val="en-US"/>
        </w:rPr>
        <w:t>Nuevos</w:t>
      </w:r>
      <w:proofErr w:type="spellEnd"/>
      <w:r w:rsidR="00AA55A9" w:rsidRPr="00F70533">
        <w:rPr>
          <w:bCs/>
          <w:szCs w:val="28"/>
          <w:lang w:val="en-US"/>
        </w:rPr>
        <w:t xml:space="preserve"> Soles, in constant prices)</w:t>
      </w:r>
      <w:r w:rsidR="00F01075" w:rsidRPr="00F70533">
        <w:rPr>
          <w:bCs/>
          <w:szCs w:val="28"/>
          <w:lang w:val="en-US"/>
        </w:rPr>
        <w:t>.</w:t>
      </w:r>
      <w:r w:rsidR="00AA55A9" w:rsidRPr="00F70533">
        <w:rPr>
          <w:bCs/>
          <w:szCs w:val="28"/>
          <w:lang w:val="en-US"/>
        </w:rPr>
        <w:t xml:space="preserve"> To date</w:t>
      </w:r>
      <w:r w:rsidR="001C2BAB" w:rsidRPr="00F70533">
        <w:rPr>
          <w:bCs/>
          <w:szCs w:val="28"/>
          <w:lang w:val="en-US"/>
        </w:rPr>
        <w:t>,</w:t>
      </w:r>
      <w:r w:rsidR="00AA55A9" w:rsidRPr="00F70533">
        <w:rPr>
          <w:bCs/>
          <w:szCs w:val="28"/>
          <w:lang w:val="en-US"/>
        </w:rPr>
        <w:t xml:space="preserve"> </w:t>
      </w:r>
      <w:r w:rsidR="00633C1E" w:rsidRPr="00F70533">
        <w:rPr>
          <w:bCs/>
          <w:szCs w:val="28"/>
          <w:lang w:val="en-US"/>
        </w:rPr>
        <w:t xml:space="preserve">total </w:t>
      </w:r>
      <w:r w:rsidR="00AA55A9" w:rsidRPr="00F70533">
        <w:rPr>
          <w:bCs/>
          <w:szCs w:val="28"/>
          <w:lang w:val="en-US"/>
        </w:rPr>
        <w:t xml:space="preserve">funding sources </w:t>
      </w:r>
      <w:r w:rsidR="004B1F48" w:rsidRPr="00F70533">
        <w:rPr>
          <w:bCs/>
          <w:szCs w:val="28"/>
          <w:lang w:val="en-US"/>
        </w:rPr>
        <w:t xml:space="preserve">fluctuate between 25 and 26 billion </w:t>
      </w:r>
      <w:proofErr w:type="spellStart"/>
      <w:r w:rsidR="004B1F48" w:rsidRPr="00F70533">
        <w:rPr>
          <w:bCs/>
          <w:szCs w:val="28"/>
          <w:lang w:val="en-US"/>
        </w:rPr>
        <w:t>Nuevos</w:t>
      </w:r>
      <w:proofErr w:type="spellEnd"/>
      <w:r w:rsidR="004B1F48" w:rsidRPr="00F70533">
        <w:rPr>
          <w:bCs/>
          <w:szCs w:val="28"/>
          <w:lang w:val="en-US"/>
        </w:rPr>
        <w:t xml:space="preserve"> Soles (1994 constant prices). That would explain why</w:t>
      </w:r>
      <w:r w:rsidR="00F01075" w:rsidRPr="00F70533">
        <w:rPr>
          <w:bCs/>
          <w:szCs w:val="28"/>
          <w:lang w:val="en-US"/>
        </w:rPr>
        <w:t xml:space="preserve"> </w:t>
      </w:r>
      <w:r w:rsidR="004B1F48" w:rsidRPr="00F70533">
        <w:rPr>
          <w:bCs/>
          <w:szCs w:val="28"/>
          <w:lang w:val="en-US"/>
        </w:rPr>
        <w:t>p</w:t>
      </w:r>
      <w:r w:rsidR="00F01075" w:rsidRPr="00F70533">
        <w:rPr>
          <w:bCs/>
          <w:szCs w:val="28"/>
          <w:lang w:val="en-US"/>
        </w:rPr>
        <w:t>ublic expenditure increased significantly during th</w:t>
      </w:r>
      <w:r w:rsidR="00AA55A9" w:rsidRPr="00F70533">
        <w:rPr>
          <w:bCs/>
          <w:szCs w:val="28"/>
          <w:lang w:val="en-US"/>
        </w:rPr>
        <w:t xml:space="preserve">is period. </w:t>
      </w:r>
    </w:p>
    <w:p w:rsidR="00A8673A" w:rsidRPr="009C357B" w:rsidRDefault="00264EAF" w:rsidP="00A8673A">
      <w:pPr>
        <w:jc w:val="both"/>
        <w:rPr>
          <w:lang w:val="en-US"/>
        </w:rPr>
      </w:pPr>
      <w:r>
        <w:rPr>
          <w:bCs/>
          <w:lang w:val="en-US"/>
        </w:rPr>
        <w:t>T</w:t>
      </w:r>
      <w:r w:rsidR="00A8673A" w:rsidRPr="009C357B">
        <w:rPr>
          <w:bCs/>
          <w:lang w:val="en-US"/>
        </w:rPr>
        <w:t xml:space="preserve">he boom in </w:t>
      </w:r>
      <w:r>
        <w:rPr>
          <w:bCs/>
          <w:lang w:val="en-US"/>
        </w:rPr>
        <w:t xml:space="preserve">the </w:t>
      </w:r>
      <w:r w:rsidR="00A8673A" w:rsidRPr="009C357B">
        <w:rPr>
          <w:bCs/>
          <w:lang w:val="en-US"/>
        </w:rPr>
        <w:t xml:space="preserve">mining </w:t>
      </w:r>
      <w:r>
        <w:rPr>
          <w:bCs/>
          <w:lang w:val="en-US"/>
        </w:rPr>
        <w:t>sector, whose exports represent</w:t>
      </w:r>
      <w:r w:rsidR="00A8673A" w:rsidRPr="009C357B">
        <w:rPr>
          <w:bCs/>
          <w:lang w:val="en-US"/>
        </w:rPr>
        <w:t xml:space="preserve"> nearly two thirds of total exports, has </w:t>
      </w:r>
      <w:r w:rsidR="00A8673A">
        <w:rPr>
          <w:bCs/>
          <w:lang w:val="en-US"/>
        </w:rPr>
        <w:t xml:space="preserve">also </w:t>
      </w:r>
      <w:r>
        <w:rPr>
          <w:bCs/>
          <w:lang w:val="en-US"/>
        </w:rPr>
        <w:t>resulted in an increase</w:t>
      </w:r>
      <w:r w:rsidR="00A8673A" w:rsidRPr="009C357B">
        <w:rPr>
          <w:bCs/>
          <w:lang w:val="en-US"/>
        </w:rPr>
        <w:t xml:space="preserve"> of fiscal resources and has caused a change in the fiscal structure of </w:t>
      </w:r>
      <w:r>
        <w:rPr>
          <w:bCs/>
          <w:lang w:val="en-US"/>
        </w:rPr>
        <w:t>the national and sub national governments</w:t>
      </w:r>
      <w:r w:rsidR="00A8673A" w:rsidRPr="009C357B">
        <w:rPr>
          <w:bCs/>
          <w:lang w:val="en-US"/>
        </w:rPr>
        <w:t xml:space="preserve">. </w:t>
      </w:r>
      <w:r>
        <w:rPr>
          <w:bCs/>
          <w:lang w:val="en-US"/>
        </w:rPr>
        <w:t>The latter</w:t>
      </w:r>
      <w:r w:rsidR="00A8673A" w:rsidRPr="009C357B">
        <w:rPr>
          <w:bCs/>
          <w:lang w:val="en-US"/>
        </w:rPr>
        <w:t xml:space="preserve"> governments are the main budget </w:t>
      </w:r>
      <w:r w:rsidR="001F0EB3">
        <w:rPr>
          <w:bCs/>
          <w:lang w:val="en-US"/>
        </w:rPr>
        <w:t>implemen</w:t>
      </w:r>
      <w:r w:rsidR="001F0EB3" w:rsidRPr="009C357B">
        <w:rPr>
          <w:bCs/>
          <w:lang w:val="en-US"/>
        </w:rPr>
        <w:t>ters</w:t>
      </w:r>
      <w:r w:rsidR="00A8673A" w:rsidRPr="009C357B">
        <w:rPr>
          <w:bCs/>
          <w:lang w:val="en-US"/>
        </w:rPr>
        <w:t xml:space="preserve">, as </w:t>
      </w:r>
      <w:r>
        <w:rPr>
          <w:bCs/>
          <w:lang w:val="en-US"/>
        </w:rPr>
        <w:t>discussed later in t</w:t>
      </w:r>
      <w:r w:rsidR="00A8673A" w:rsidRPr="009C357B">
        <w:rPr>
          <w:bCs/>
          <w:lang w:val="en-US"/>
        </w:rPr>
        <w:t>his document.</w:t>
      </w:r>
    </w:p>
    <w:p w:rsidR="00A8673A" w:rsidRPr="0059100D" w:rsidRDefault="00A8673A" w:rsidP="00A8673A">
      <w:pPr>
        <w:pStyle w:val="Caption"/>
        <w:spacing w:after="0"/>
        <w:jc w:val="center"/>
        <w:rPr>
          <w:lang w:val="en-US"/>
        </w:rPr>
      </w:pPr>
      <w:r w:rsidRPr="0059100D">
        <w:rPr>
          <w:sz w:val="22"/>
          <w:szCs w:val="22"/>
          <w:lang w:val="en-US"/>
        </w:rPr>
        <w:t xml:space="preserve">Figure </w:t>
      </w:r>
      <w:r w:rsidR="0019273C" w:rsidRPr="00790E67">
        <w:rPr>
          <w:sz w:val="22"/>
          <w:szCs w:val="22"/>
        </w:rPr>
        <w:fldChar w:fldCharType="begin"/>
      </w:r>
      <w:r w:rsidRPr="0059100D">
        <w:rPr>
          <w:sz w:val="22"/>
          <w:szCs w:val="22"/>
          <w:lang w:val="en-US"/>
        </w:rPr>
        <w:instrText xml:space="preserve"> SEQ Figure \* ARABIC </w:instrText>
      </w:r>
      <w:r w:rsidR="0019273C" w:rsidRPr="00790E67">
        <w:rPr>
          <w:sz w:val="22"/>
          <w:szCs w:val="22"/>
        </w:rPr>
        <w:fldChar w:fldCharType="separate"/>
      </w:r>
      <w:r w:rsidR="001A62FF">
        <w:rPr>
          <w:noProof/>
          <w:sz w:val="22"/>
          <w:szCs w:val="22"/>
          <w:lang w:val="en-US"/>
        </w:rPr>
        <w:t>1</w:t>
      </w:r>
      <w:r w:rsidR="0019273C" w:rsidRPr="00790E67">
        <w:rPr>
          <w:sz w:val="22"/>
          <w:szCs w:val="22"/>
        </w:rPr>
        <w:fldChar w:fldCharType="end"/>
      </w:r>
      <w:r w:rsidRPr="0059100D">
        <w:rPr>
          <w:sz w:val="22"/>
          <w:szCs w:val="22"/>
          <w:lang w:val="en-US"/>
        </w:rPr>
        <w:t xml:space="preserve">: Evolution of the public </w:t>
      </w:r>
      <w:r>
        <w:rPr>
          <w:sz w:val="22"/>
          <w:szCs w:val="22"/>
          <w:lang w:val="en-US"/>
        </w:rPr>
        <w:t>b</w:t>
      </w:r>
      <w:r w:rsidRPr="0059100D">
        <w:rPr>
          <w:sz w:val="22"/>
          <w:szCs w:val="22"/>
          <w:lang w:val="en-US"/>
        </w:rPr>
        <w:t xml:space="preserve">udget composition </w:t>
      </w:r>
      <w:r w:rsidRPr="00F456F7">
        <w:rPr>
          <w:noProof/>
          <w:lang w:val="en-US"/>
        </w:rPr>
        <w:drawing>
          <wp:inline distT="0" distB="0" distL="0" distR="0">
            <wp:extent cx="5611830" cy="3217652"/>
            <wp:effectExtent l="19050" t="0" r="26970" b="1798"/>
            <wp:docPr id="13"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A8673A" w:rsidRPr="00512408" w:rsidRDefault="00A8673A" w:rsidP="00A8673A">
      <w:pPr>
        <w:pStyle w:val="Caption"/>
        <w:spacing w:line="276" w:lineRule="auto"/>
        <w:jc w:val="both"/>
        <w:rPr>
          <w:b w:val="0"/>
          <w:color w:val="auto"/>
          <w:lang w:val="en-US"/>
        </w:rPr>
      </w:pPr>
      <w:r w:rsidRPr="00512408">
        <w:rPr>
          <w:b w:val="0"/>
          <w:color w:val="auto"/>
          <w:lang w:val="en-US"/>
        </w:rPr>
        <w:t>Source: Ministry of Economic</w:t>
      </w:r>
      <w:r>
        <w:rPr>
          <w:b w:val="0"/>
          <w:color w:val="auto"/>
          <w:lang w:val="en-US"/>
        </w:rPr>
        <w:t>s</w:t>
      </w:r>
      <w:r w:rsidRPr="00512408">
        <w:rPr>
          <w:b w:val="0"/>
          <w:color w:val="auto"/>
          <w:lang w:val="en-US"/>
        </w:rPr>
        <w:t xml:space="preserve"> and Finance (MEF) and Financial Administration Information System (SIAF).</w:t>
      </w:r>
    </w:p>
    <w:p w:rsidR="00A8673A" w:rsidRPr="0026728E" w:rsidRDefault="00A8673A" w:rsidP="00A8673A">
      <w:pPr>
        <w:pStyle w:val="Caption"/>
        <w:spacing w:line="276" w:lineRule="auto"/>
        <w:jc w:val="both"/>
        <w:rPr>
          <w:b w:val="0"/>
          <w:color w:val="auto"/>
          <w:sz w:val="22"/>
          <w:szCs w:val="28"/>
          <w:lang w:val="en-US"/>
        </w:rPr>
      </w:pPr>
      <w:r w:rsidRPr="003C6822">
        <w:rPr>
          <w:b w:val="0"/>
          <w:color w:val="auto"/>
          <w:sz w:val="22"/>
          <w:szCs w:val="28"/>
          <w:lang w:val="en-US"/>
        </w:rPr>
        <w:t>Figure 1 shows that even t</w:t>
      </w:r>
      <w:r>
        <w:rPr>
          <w:b w:val="0"/>
          <w:color w:val="auto"/>
          <w:sz w:val="22"/>
          <w:szCs w:val="28"/>
          <w:lang w:val="en-US"/>
        </w:rPr>
        <w:t xml:space="preserve">hough economic growth has been strong, the percentage of spending on education has remained constant (approximately 17% of State budget). </w:t>
      </w:r>
      <w:r w:rsidRPr="009365F1">
        <w:rPr>
          <w:b w:val="0"/>
          <w:color w:val="auto"/>
          <w:sz w:val="22"/>
          <w:szCs w:val="28"/>
          <w:lang w:val="en-US"/>
        </w:rPr>
        <w:t xml:space="preserve">If </w:t>
      </w:r>
      <w:r w:rsidR="00264EAF" w:rsidRPr="009365F1">
        <w:rPr>
          <w:b w:val="0"/>
          <w:color w:val="auto"/>
          <w:sz w:val="22"/>
          <w:szCs w:val="28"/>
          <w:lang w:val="en-US"/>
        </w:rPr>
        <w:t xml:space="preserve">an international education expenditure comparison </w:t>
      </w:r>
      <w:r w:rsidR="00264EAF">
        <w:rPr>
          <w:b w:val="0"/>
          <w:color w:val="auto"/>
          <w:sz w:val="22"/>
          <w:szCs w:val="28"/>
          <w:lang w:val="en-US"/>
        </w:rPr>
        <w:t>is done</w:t>
      </w:r>
      <w:r w:rsidRPr="009365F1">
        <w:rPr>
          <w:b w:val="0"/>
          <w:color w:val="auto"/>
          <w:sz w:val="22"/>
          <w:szCs w:val="28"/>
          <w:lang w:val="en-US"/>
        </w:rPr>
        <w:t xml:space="preserve"> </w:t>
      </w:r>
      <w:r w:rsidR="00264EAF">
        <w:rPr>
          <w:b w:val="0"/>
          <w:color w:val="auto"/>
          <w:sz w:val="22"/>
          <w:szCs w:val="28"/>
          <w:lang w:val="en-US"/>
        </w:rPr>
        <w:t>(among</w:t>
      </w:r>
      <w:r>
        <w:rPr>
          <w:b w:val="0"/>
          <w:color w:val="auto"/>
          <w:sz w:val="22"/>
          <w:szCs w:val="28"/>
          <w:lang w:val="en-US"/>
        </w:rPr>
        <w:t xml:space="preserve"> Latin-American countries)</w:t>
      </w:r>
      <w:r w:rsidRPr="009365F1">
        <w:rPr>
          <w:b w:val="0"/>
          <w:color w:val="auto"/>
          <w:sz w:val="22"/>
          <w:szCs w:val="28"/>
          <w:lang w:val="en-US"/>
        </w:rPr>
        <w:t>, i</w:t>
      </w:r>
      <w:r>
        <w:rPr>
          <w:b w:val="0"/>
          <w:color w:val="auto"/>
          <w:sz w:val="22"/>
          <w:szCs w:val="28"/>
          <w:lang w:val="en-US"/>
        </w:rPr>
        <w:t xml:space="preserve">t is clear that the education expenditure as a proportion of GDP in Peru is much lower than </w:t>
      </w:r>
      <w:r w:rsidR="001F0EB3">
        <w:rPr>
          <w:b w:val="0"/>
          <w:color w:val="auto"/>
          <w:sz w:val="22"/>
          <w:szCs w:val="28"/>
          <w:lang w:val="en-US"/>
        </w:rPr>
        <w:t xml:space="preserve">the </w:t>
      </w:r>
      <w:r>
        <w:rPr>
          <w:b w:val="0"/>
          <w:color w:val="auto"/>
          <w:sz w:val="22"/>
          <w:szCs w:val="28"/>
          <w:lang w:val="en-US"/>
        </w:rPr>
        <w:t xml:space="preserve">international average. </w:t>
      </w:r>
      <w:r w:rsidRPr="00A5364F">
        <w:rPr>
          <w:b w:val="0"/>
          <w:color w:val="auto"/>
          <w:sz w:val="22"/>
          <w:szCs w:val="28"/>
          <w:lang w:val="en-US"/>
        </w:rPr>
        <w:t>As can be seen in Figure 2, this sector represents 2.5% o</w:t>
      </w:r>
      <w:r>
        <w:rPr>
          <w:b w:val="0"/>
          <w:color w:val="auto"/>
          <w:sz w:val="22"/>
          <w:szCs w:val="28"/>
          <w:lang w:val="en-US"/>
        </w:rPr>
        <w:t xml:space="preserve">f Peruvian GDP, just above Ecuador in the ranking, whereas Mexico doubles that proportion and Bolivia </w:t>
      </w:r>
      <w:r>
        <w:rPr>
          <w:b w:val="0"/>
          <w:color w:val="auto"/>
          <w:sz w:val="22"/>
          <w:szCs w:val="28"/>
          <w:lang w:val="en-US"/>
        </w:rPr>
        <w:lastRenderedPageBreak/>
        <w:t>triples it. That problem becomes even more worrying if it is t</w:t>
      </w:r>
      <w:r w:rsidRPr="0026728E">
        <w:rPr>
          <w:b w:val="0"/>
          <w:color w:val="auto"/>
          <w:sz w:val="22"/>
          <w:szCs w:val="28"/>
          <w:lang w:val="en-US"/>
        </w:rPr>
        <w:t>ak</w:t>
      </w:r>
      <w:r>
        <w:rPr>
          <w:b w:val="0"/>
          <w:color w:val="auto"/>
          <w:sz w:val="22"/>
          <w:szCs w:val="28"/>
          <w:lang w:val="en-US"/>
        </w:rPr>
        <w:t>en</w:t>
      </w:r>
      <w:r w:rsidRPr="0026728E">
        <w:rPr>
          <w:b w:val="0"/>
          <w:color w:val="auto"/>
          <w:sz w:val="22"/>
          <w:szCs w:val="28"/>
          <w:lang w:val="en-US"/>
        </w:rPr>
        <w:t xml:space="preserve"> into account </w:t>
      </w:r>
      <w:r>
        <w:rPr>
          <w:b w:val="0"/>
          <w:color w:val="auto"/>
          <w:sz w:val="22"/>
          <w:szCs w:val="28"/>
          <w:lang w:val="en-US"/>
        </w:rPr>
        <w:t>a very likely</w:t>
      </w:r>
      <w:r w:rsidRPr="0026728E">
        <w:rPr>
          <w:b w:val="0"/>
          <w:color w:val="auto"/>
          <w:sz w:val="22"/>
          <w:szCs w:val="28"/>
          <w:lang w:val="en-US"/>
        </w:rPr>
        <w:t xml:space="preserve"> misallocation of educational resources</w:t>
      </w:r>
      <w:r>
        <w:rPr>
          <w:b w:val="0"/>
          <w:color w:val="auto"/>
          <w:sz w:val="22"/>
          <w:szCs w:val="28"/>
          <w:lang w:val="en-US"/>
        </w:rPr>
        <w:t>.</w:t>
      </w:r>
      <w:r w:rsidRPr="0026728E">
        <w:rPr>
          <w:b w:val="0"/>
          <w:color w:val="auto"/>
          <w:sz w:val="22"/>
          <w:szCs w:val="28"/>
          <w:lang w:val="en-US"/>
        </w:rPr>
        <w:t xml:space="preserve"> </w:t>
      </w:r>
    </w:p>
    <w:p w:rsidR="00A8673A" w:rsidRPr="00A028D6" w:rsidRDefault="00A8673A" w:rsidP="00A8673A">
      <w:pPr>
        <w:pStyle w:val="Caption"/>
        <w:spacing w:after="0" w:line="276" w:lineRule="auto"/>
        <w:jc w:val="center"/>
        <w:rPr>
          <w:lang w:val="en-US"/>
        </w:rPr>
      </w:pPr>
      <w:r w:rsidRPr="00A028D6">
        <w:rPr>
          <w:sz w:val="22"/>
          <w:szCs w:val="22"/>
          <w:lang w:val="en-US"/>
        </w:rPr>
        <w:t>Figure</w:t>
      </w:r>
      <w:r w:rsidR="00874848">
        <w:rPr>
          <w:sz w:val="22"/>
          <w:szCs w:val="22"/>
          <w:lang w:val="en-US"/>
        </w:rPr>
        <w:t xml:space="preserve"> 2</w:t>
      </w:r>
      <w:r w:rsidRPr="00A028D6">
        <w:rPr>
          <w:sz w:val="22"/>
          <w:szCs w:val="22"/>
          <w:lang w:val="en-US"/>
        </w:rPr>
        <w:t>: Regional comparison about Education expenditure as a proportion of GDP (%)</w:t>
      </w:r>
      <w:r w:rsidRPr="00835170">
        <w:rPr>
          <w:noProof/>
          <w:lang w:val="en-US"/>
        </w:rPr>
        <w:drawing>
          <wp:inline distT="0" distB="0" distL="0" distR="0">
            <wp:extent cx="4353751" cy="1751162"/>
            <wp:effectExtent l="19050" t="0" r="27749" b="1438"/>
            <wp:docPr id="15"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8673A" w:rsidRPr="00CB5351" w:rsidRDefault="00A8673A" w:rsidP="00A8673A">
      <w:pPr>
        <w:pStyle w:val="NoSpacing"/>
        <w:spacing w:line="276" w:lineRule="auto"/>
        <w:ind w:firstLine="708"/>
        <w:rPr>
          <w:lang w:val="en-US"/>
        </w:rPr>
      </w:pPr>
      <w:r w:rsidRPr="00CB5351">
        <w:rPr>
          <w:sz w:val="18"/>
          <w:szCs w:val="18"/>
          <w:lang w:val="en-US"/>
        </w:rPr>
        <w:t xml:space="preserve">Source: World Bank, 2006. </w:t>
      </w:r>
    </w:p>
    <w:p w:rsidR="00A8673A" w:rsidRDefault="00A8673A" w:rsidP="00F70533">
      <w:pPr>
        <w:spacing w:after="0"/>
        <w:jc w:val="both"/>
        <w:rPr>
          <w:bCs/>
          <w:szCs w:val="28"/>
          <w:lang w:val="en-US"/>
        </w:rPr>
      </w:pPr>
    </w:p>
    <w:p w:rsidR="00504E18" w:rsidRPr="00F70533" w:rsidRDefault="000022F5" w:rsidP="00F70533">
      <w:pPr>
        <w:spacing w:after="0"/>
        <w:jc w:val="both"/>
        <w:rPr>
          <w:bCs/>
          <w:szCs w:val="20"/>
          <w:lang w:val="en-US"/>
        </w:rPr>
      </w:pPr>
      <w:r>
        <w:rPr>
          <w:bCs/>
          <w:szCs w:val="28"/>
          <w:lang w:val="en-US"/>
        </w:rPr>
        <w:t xml:space="preserve">Regarding public administration, </w:t>
      </w:r>
      <w:r w:rsidR="00504E18" w:rsidRPr="00F70533">
        <w:rPr>
          <w:bCs/>
          <w:szCs w:val="28"/>
          <w:lang w:val="en-US"/>
        </w:rPr>
        <w:t>Peru is experiencing a decentralization process. In 2004, Education expenditure was decentralized and executed by its 24 regions.</w:t>
      </w:r>
      <w:r w:rsidR="00283842" w:rsidRPr="00F70533">
        <w:rPr>
          <w:bCs/>
          <w:szCs w:val="28"/>
          <w:lang w:val="en-US"/>
        </w:rPr>
        <w:t xml:space="preserve"> Nowadays, they execute over 50% of public </w:t>
      </w:r>
      <w:r w:rsidR="00264EAF">
        <w:rPr>
          <w:bCs/>
          <w:szCs w:val="28"/>
          <w:lang w:val="en-US"/>
        </w:rPr>
        <w:t>budget</w:t>
      </w:r>
      <w:r w:rsidR="00283842" w:rsidRPr="00F70533">
        <w:rPr>
          <w:bCs/>
          <w:szCs w:val="28"/>
          <w:lang w:val="en-US"/>
        </w:rPr>
        <w:t>.</w:t>
      </w:r>
      <w:r w:rsidR="00AB0D58" w:rsidRPr="00F70533">
        <w:rPr>
          <w:bCs/>
          <w:szCs w:val="28"/>
          <w:lang w:val="en-US"/>
        </w:rPr>
        <w:t xml:space="preserve"> The Ministry of Education (MINEDU)</w:t>
      </w:r>
      <w:r w:rsidR="00504E18" w:rsidRPr="00F70533">
        <w:rPr>
          <w:bCs/>
          <w:szCs w:val="28"/>
          <w:lang w:val="en-US"/>
        </w:rPr>
        <w:t xml:space="preserve"> </w:t>
      </w:r>
      <w:r w:rsidR="007C72F3" w:rsidRPr="00F70533">
        <w:rPr>
          <w:bCs/>
          <w:szCs w:val="28"/>
          <w:lang w:val="en-US"/>
        </w:rPr>
        <w:t xml:space="preserve">is the main agent for establishing policies, administering and monitoring funds, though it </w:t>
      </w:r>
      <w:r w:rsidR="00264EAF">
        <w:rPr>
          <w:bCs/>
          <w:szCs w:val="28"/>
          <w:lang w:val="en-US"/>
        </w:rPr>
        <w:t xml:space="preserve">is </w:t>
      </w:r>
      <w:r w:rsidR="007C72F3" w:rsidRPr="00F70533">
        <w:rPr>
          <w:bCs/>
          <w:szCs w:val="28"/>
          <w:lang w:val="en-US"/>
        </w:rPr>
        <w:t>also</w:t>
      </w:r>
      <w:r w:rsidR="00954728">
        <w:rPr>
          <w:bCs/>
          <w:szCs w:val="28"/>
          <w:lang w:val="en-US"/>
        </w:rPr>
        <w:t xml:space="preserve"> a budgeting executor</w:t>
      </w:r>
      <w:r w:rsidR="00393AEF" w:rsidRPr="00F70533">
        <w:rPr>
          <w:bCs/>
          <w:szCs w:val="28"/>
          <w:lang w:val="en-US"/>
        </w:rPr>
        <w:t>, like the regions</w:t>
      </w:r>
      <w:r w:rsidR="007967A5" w:rsidRPr="00F70533">
        <w:rPr>
          <w:bCs/>
          <w:szCs w:val="28"/>
          <w:lang w:val="en-US"/>
        </w:rPr>
        <w:t>.</w:t>
      </w:r>
    </w:p>
    <w:p w:rsidR="0039740B" w:rsidRPr="00393AEF" w:rsidRDefault="0039740B" w:rsidP="00640AF6">
      <w:pPr>
        <w:spacing w:after="0"/>
        <w:jc w:val="both"/>
        <w:rPr>
          <w:bCs/>
          <w:szCs w:val="20"/>
          <w:lang w:val="en-US"/>
        </w:rPr>
      </w:pPr>
    </w:p>
    <w:p w:rsidR="009E04DD" w:rsidRPr="009C357B" w:rsidRDefault="00A8673A" w:rsidP="009C357B">
      <w:pPr>
        <w:spacing w:after="0"/>
        <w:jc w:val="both"/>
        <w:rPr>
          <w:bCs/>
          <w:szCs w:val="20"/>
          <w:lang w:val="en-US"/>
        </w:rPr>
      </w:pPr>
      <w:r>
        <w:rPr>
          <w:bCs/>
          <w:szCs w:val="28"/>
          <w:lang w:val="en-US"/>
        </w:rPr>
        <w:t>Besides, t</w:t>
      </w:r>
      <w:r w:rsidR="00633C1E" w:rsidRPr="009C357B">
        <w:rPr>
          <w:bCs/>
          <w:szCs w:val="28"/>
          <w:lang w:val="en-US"/>
        </w:rPr>
        <w:t xml:space="preserve">here is a </w:t>
      </w:r>
      <w:r w:rsidR="00E16734" w:rsidRPr="009C357B">
        <w:rPr>
          <w:bCs/>
          <w:szCs w:val="28"/>
          <w:lang w:val="en-US"/>
        </w:rPr>
        <w:t>b</w:t>
      </w:r>
      <w:r w:rsidR="00633C1E" w:rsidRPr="009C357B">
        <w:rPr>
          <w:bCs/>
          <w:szCs w:val="28"/>
          <w:lang w:val="en-US"/>
        </w:rPr>
        <w:t xml:space="preserve">udget </w:t>
      </w:r>
      <w:r w:rsidR="00E16734" w:rsidRPr="009C357B">
        <w:rPr>
          <w:bCs/>
          <w:szCs w:val="28"/>
          <w:lang w:val="en-US"/>
        </w:rPr>
        <w:t>a</w:t>
      </w:r>
      <w:r w:rsidR="00633C1E" w:rsidRPr="009C357B">
        <w:rPr>
          <w:bCs/>
          <w:szCs w:val="28"/>
          <w:lang w:val="en-US"/>
        </w:rPr>
        <w:t xml:space="preserve">ccountability plan taking place, which </w:t>
      </w:r>
      <w:r w:rsidR="009E04DD" w:rsidRPr="009C357B">
        <w:rPr>
          <w:bCs/>
          <w:szCs w:val="28"/>
          <w:lang w:val="en-US"/>
        </w:rPr>
        <w:t xml:space="preserve">involves a budget approval according to the results </w:t>
      </w:r>
      <w:r w:rsidR="00E16734" w:rsidRPr="009C357B">
        <w:rPr>
          <w:bCs/>
          <w:szCs w:val="28"/>
          <w:lang w:val="en-US"/>
        </w:rPr>
        <w:t xml:space="preserve">of </w:t>
      </w:r>
      <w:r w:rsidR="00D64D2D" w:rsidRPr="009C357B">
        <w:rPr>
          <w:bCs/>
          <w:szCs w:val="28"/>
          <w:lang w:val="en-US"/>
        </w:rPr>
        <w:t>each</w:t>
      </w:r>
      <w:r w:rsidR="00E16734" w:rsidRPr="009C357B">
        <w:rPr>
          <w:bCs/>
          <w:szCs w:val="28"/>
          <w:lang w:val="en-US"/>
        </w:rPr>
        <w:t xml:space="preserve"> sector</w:t>
      </w:r>
      <w:r w:rsidR="00D64D2D" w:rsidRPr="009C357B">
        <w:rPr>
          <w:bCs/>
          <w:szCs w:val="28"/>
          <w:lang w:val="en-US"/>
        </w:rPr>
        <w:t xml:space="preserve"> (“</w:t>
      </w:r>
      <w:proofErr w:type="spellStart"/>
      <w:r w:rsidR="00D64D2D" w:rsidRPr="009C357B">
        <w:rPr>
          <w:bCs/>
          <w:szCs w:val="28"/>
          <w:lang w:val="en-US"/>
        </w:rPr>
        <w:t>Presupuesto</w:t>
      </w:r>
      <w:proofErr w:type="spellEnd"/>
      <w:r w:rsidR="00D64D2D" w:rsidRPr="009C357B">
        <w:rPr>
          <w:bCs/>
          <w:szCs w:val="28"/>
          <w:lang w:val="en-US"/>
        </w:rPr>
        <w:t xml:space="preserve"> </w:t>
      </w:r>
      <w:proofErr w:type="spellStart"/>
      <w:r w:rsidR="00D64D2D" w:rsidRPr="009C357B">
        <w:rPr>
          <w:bCs/>
          <w:szCs w:val="28"/>
          <w:lang w:val="en-US"/>
        </w:rPr>
        <w:t>por</w:t>
      </w:r>
      <w:proofErr w:type="spellEnd"/>
      <w:r w:rsidR="00D64D2D" w:rsidRPr="009C357B">
        <w:rPr>
          <w:bCs/>
          <w:szCs w:val="28"/>
          <w:lang w:val="en-US"/>
        </w:rPr>
        <w:t xml:space="preserve"> </w:t>
      </w:r>
      <w:proofErr w:type="spellStart"/>
      <w:r w:rsidR="00D64D2D" w:rsidRPr="009C357B">
        <w:rPr>
          <w:bCs/>
          <w:szCs w:val="28"/>
          <w:lang w:val="en-US"/>
        </w:rPr>
        <w:t>Resultados</w:t>
      </w:r>
      <w:proofErr w:type="spellEnd"/>
      <w:r w:rsidR="00D64D2D" w:rsidRPr="009C357B">
        <w:rPr>
          <w:bCs/>
          <w:szCs w:val="28"/>
          <w:lang w:val="en-US"/>
        </w:rPr>
        <w:t>”). However, up to now no more than 8% of</w:t>
      </w:r>
      <w:r w:rsidR="00264EAF">
        <w:rPr>
          <w:bCs/>
          <w:szCs w:val="28"/>
          <w:lang w:val="en-US"/>
        </w:rPr>
        <w:t xml:space="preserve"> the</w:t>
      </w:r>
      <w:r w:rsidR="00D64D2D" w:rsidRPr="009C357B">
        <w:rPr>
          <w:bCs/>
          <w:szCs w:val="28"/>
          <w:lang w:val="en-US"/>
        </w:rPr>
        <w:t xml:space="preserve"> budget is executed under those requirements.</w:t>
      </w:r>
      <w:r w:rsidR="006233FA">
        <w:rPr>
          <w:bCs/>
          <w:szCs w:val="28"/>
          <w:lang w:val="en-US"/>
        </w:rPr>
        <w:t xml:space="preserve"> </w:t>
      </w:r>
    </w:p>
    <w:p w:rsidR="009C357B" w:rsidRDefault="009C357B" w:rsidP="00A8673A">
      <w:pPr>
        <w:spacing w:after="0"/>
        <w:jc w:val="both"/>
        <w:rPr>
          <w:bCs/>
          <w:szCs w:val="28"/>
          <w:lang w:val="en-US"/>
        </w:rPr>
      </w:pPr>
    </w:p>
    <w:p w:rsidR="00D757DA" w:rsidRPr="00DA5BC6" w:rsidRDefault="00322E62" w:rsidP="00A8673A">
      <w:pPr>
        <w:pStyle w:val="Heading2"/>
        <w:numPr>
          <w:ilvl w:val="0"/>
          <w:numId w:val="12"/>
        </w:numPr>
        <w:spacing w:before="0"/>
        <w:rPr>
          <w:lang w:val="en-US"/>
        </w:rPr>
      </w:pPr>
      <w:bookmarkStart w:id="2" w:name="_Toc255446159"/>
      <w:r w:rsidRPr="00DA5BC6">
        <w:rPr>
          <w:lang w:val="en-US"/>
        </w:rPr>
        <w:t>The Structure of Education Sector</w:t>
      </w:r>
      <w:bookmarkEnd w:id="2"/>
    </w:p>
    <w:p w:rsidR="00DA5BC6" w:rsidRDefault="00DA5BC6" w:rsidP="00DA5BC6">
      <w:pPr>
        <w:spacing w:after="0"/>
        <w:jc w:val="both"/>
        <w:rPr>
          <w:lang w:val="en-US"/>
        </w:rPr>
      </w:pPr>
    </w:p>
    <w:p w:rsidR="00F20741" w:rsidRPr="00CB53B5" w:rsidRDefault="00F20741" w:rsidP="00DA5BC6">
      <w:pPr>
        <w:spacing w:after="0"/>
        <w:jc w:val="both"/>
        <w:rPr>
          <w:lang w:val="en-US"/>
        </w:rPr>
      </w:pPr>
      <w:r w:rsidRPr="00F20741">
        <w:rPr>
          <w:lang w:val="en-US"/>
        </w:rPr>
        <w:t xml:space="preserve">In Peru, </w:t>
      </w:r>
      <w:r w:rsidR="000837BF">
        <w:rPr>
          <w:lang w:val="en-US"/>
        </w:rPr>
        <w:t>there is not expenditure autonomy at a school level. Budget</w:t>
      </w:r>
      <w:r w:rsidRPr="00F20741">
        <w:rPr>
          <w:lang w:val="en-US"/>
        </w:rPr>
        <w:t xml:space="preserve"> </w:t>
      </w:r>
      <w:r>
        <w:rPr>
          <w:lang w:val="en-US"/>
        </w:rPr>
        <w:t xml:space="preserve">is </w:t>
      </w:r>
      <w:r w:rsidR="00DE03A8">
        <w:rPr>
          <w:lang w:val="en-US"/>
        </w:rPr>
        <w:t>allocated</w:t>
      </w:r>
      <w:r>
        <w:rPr>
          <w:lang w:val="en-US"/>
        </w:rPr>
        <w:t xml:space="preserve"> </w:t>
      </w:r>
      <w:r w:rsidR="001F4CC9">
        <w:rPr>
          <w:lang w:val="en-US"/>
        </w:rPr>
        <w:t>to</w:t>
      </w:r>
      <w:r>
        <w:rPr>
          <w:lang w:val="en-US"/>
        </w:rPr>
        <w:t xml:space="preserve"> what are called </w:t>
      </w:r>
      <w:proofErr w:type="spellStart"/>
      <w:r w:rsidRPr="005A3CC5">
        <w:rPr>
          <w:i/>
          <w:lang w:val="en-US"/>
        </w:rPr>
        <w:t>Pliegos</w:t>
      </w:r>
      <w:proofErr w:type="spellEnd"/>
      <w:r w:rsidR="007449E7">
        <w:rPr>
          <w:i/>
          <w:lang w:val="en-US"/>
        </w:rPr>
        <w:t xml:space="preserve"> (Budget agencies)</w:t>
      </w:r>
      <w:r>
        <w:rPr>
          <w:lang w:val="en-US"/>
        </w:rPr>
        <w:t xml:space="preserve"> and </w:t>
      </w:r>
      <w:proofErr w:type="spellStart"/>
      <w:r w:rsidRPr="005A3CC5">
        <w:rPr>
          <w:i/>
          <w:lang w:val="en-US"/>
        </w:rPr>
        <w:t>Unidades</w:t>
      </w:r>
      <w:proofErr w:type="spellEnd"/>
      <w:r w:rsidRPr="005A3CC5">
        <w:rPr>
          <w:i/>
          <w:lang w:val="en-US"/>
        </w:rPr>
        <w:t xml:space="preserve"> </w:t>
      </w:r>
      <w:proofErr w:type="spellStart"/>
      <w:proofErr w:type="gramStart"/>
      <w:r w:rsidRPr="005A3CC5">
        <w:rPr>
          <w:i/>
          <w:lang w:val="en-US"/>
        </w:rPr>
        <w:t>Ejecutora</w:t>
      </w:r>
      <w:r w:rsidR="007449E7">
        <w:rPr>
          <w:i/>
          <w:lang w:val="en-US"/>
        </w:rPr>
        <w:t>s</w:t>
      </w:r>
      <w:proofErr w:type="spellEnd"/>
      <w:r w:rsidR="007449E7">
        <w:rPr>
          <w:i/>
          <w:lang w:val="en-US"/>
        </w:rPr>
        <w:t xml:space="preserve">  (</w:t>
      </w:r>
      <w:proofErr w:type="gramEnd"/>
      <w:r w:rsidR="007449E7">
        <w:rPr>
          <w:i/>
          <w:lang w:val="en-US"/>
        </w:rPr>
        <w:t xml:space="preserve"> budget units)</w:t>
      </w:r>
      <w:r>
        <w:rPr>
          <w:lang w:val="en-US"/>
        </w:rPr>
        <w:t xml:space="preserve">. </w:t>
      </w:r>
      <w:r w:rsidR="000837BF">
        <w:rPr>
          <w:lang w:val="en-US"/>
        </w:rPr>
        <w:t xml:space="preserve">A </w:t>
      </w:r>
      <w:proofErr w:type="spellStart"/>
      <w:r w:rsidR="000837BF" w:rsidRPr="000837BF">
        <w:rPr>
          <w:i/>
          <w:lang w:val="en-US"/>
        </w:rPr>
        <w:t>p</w:t>
      </w:r>
      <w:r w:rsidR="00031B67" w:rsidRPr="000837BF">
        <w:rPr>
          <w:i/>
          <w:lang w:val="en-US"/>
        </w:rPr>
        <w:t>l</w:t>
      </w:r>
      <w:r w:rsidR="00031B67" w:rsidRPr="006D628E">
        <w:rPr>
          <w:i/>
          <w:lang w:val="en-US"/>
        </w:rPr>
        <w:t>iego</w:t>
      </w:r>
      <w:proofErr w:type="spellEnd"/>
      <w:r w:rsidR="00031B67" w:rsidRPr="006D628E">
        <w:rPr>
          <w:i/>
          <w:lang w:val="en-US"/>
        </w:rPr>
        <w:t xml:space="preserve"> </w:t>
      </w:r>
      <w:r w:rsidR="00031B67" w:rsidRPr="006D628E">
        <w:rPr>
          <w:lang w:val="en-US"/>
        </w:rPr>
        <w:t xml:space="preserve">refers </w:t>
      </w:r>
      <w:r w:rsidR="00C56601" w:rsidRPr="006D628E">
        <w:rPr>
          <w:lang w:val="en-US"/>
        </w:rPr>
        <w:t xml:space="preserve">to an institutional organization </w:t>
      </w:r>
      <w:r w:rsidR="006D628E" w:rsidRPr="006D628E">
        <w:rPr>
          <w:lang w:val="en-US"/>
        </w:rPr>
        <w:t>that is capable o</w:t>
      </w:r>
      <w:r w:rsidR="006D628E">
        <w:rPr>
          <w:lang w:val="en-US"/>
        </w:rPr>
        <w:t>f expending State resources.</w:t>
      </w:r>
      <w:r w:rsidR="00BE6BA9">
        <w:rPr>
          <w:lang w:val="en-US"/>
        </w:rPr>
        <w:t xml:space="preserve"> </w:t>
      </w:r>
      <w:r w:rsidR="00BE6BA9" w:rsidRPr="002F66D1">
        <w:rPr>
          <w:lang w:val="en-US"/>
        </w:rPr>
        <w:t xml:space="preserve">Below the </w:t>
      </w:r>
      <w:proofErr w:type="spellStart"/>
      <w:r w:rsidR="00BE6BA9" w:rsidRPr="002F66D1">
        <w:rPr>
          <w:i/>
          <w:lang w:val="en-US"/>
        </w:rPr>
        <w:t>pliegos</w:t>
      </w:r>
      <w:proofErr w:type="spellEnd"/>
      <w:r w:rsidR="00BE6BA9" w:rsidRPr="002F66D1">
        <w:rPr>
          <w:lang w:val="en-US"/>
        </w:rPr>
        <w:t xml:space="preserve"> are the </w:t>
      </w:r>
      <w:proofErr w:type="spellStart"/>
      <w:r w:rsidR="00E934C1" w:rsidRPr="002F66D1">
        <w:rPr>
          <w:i/>
          <w:lang w:val="en-US"/>
        </w:rPr>
        <w:t>u</w:t>
      </w:r>
      <w:r w:rsidR="00BE6BA9" w:rsidRPr="002F66D1">
        <w:rPr>
          <w:i/>
          <w:lang w:val="en-US"/>
        </w:rPr>
        <w:t>nidades</w:t>
      </w:r>
      <w:proofErr w:type="spellEnd"/>
      <w:r w:rsidR="00BE6BA9" w:rsidRPr="002F66D1">
        <w:rPr>
          <w:i/>
          <w:lang w:val="en-US"/>
        </w:rPr>
        <w:t xml:space="preserve"> </w:t>
      </w:r>
      <w:proofErr w:type="spellStart"/>
      <w:r w:rsidR="00E934C1" w:rsidRPr="002F66D1">
        <w:rPr>
          <w:i/>
          <w:lang w:val="en-US"/>
        </w:rPr>
        <w:t>ejecutoras</w:t>
      </w:r>
      <w:proofErr w:type="spellEnd"/>
      <w:r w:rsidR="007449E7">
        <w:rPr>
          <w:i/>
          <w:lang w:val="en-US"/>
        </w:rPr>
        <w:t xml:space="preserve"> (UE)</w:t>
      </w:r>
      <w:r w:rsidR="00E934C1" w:rsidRPr="002F66D1">
        <w:rPr>
          <w:lang w:val="en-US"/>
        </w:rPr>
        <w:t xml:space="preserve">. </w:t>
      </w:r>
      <w:r w:rsidR="00E934C1" w:rsidRPr="00CB53B5">
        <w:rPr>
          <w:lang w:val="en-US"/>
        </w:rPr>
        <w:t>Th</w:t>
      </w:r>
      <w:r w:rsidR="00677E3B" w:rsidRPr="00CB53B5">
        <w:rPr>
          <w:lang w:val="en-US"/>
        </w:rPr>
        <w:t xml:space="preserve">ey are </w:t>
      </w:r>
      <w:r w:rsidR="00CB53B5" w:rsidRPr="00CB53B5">
        <w:rPr>
          <w:lang w:val="en-US"/>
        </w:rPr>
        <w:t>the last institutional units that play a</w:t>
      </w:r>
      <w:r w:rsidR="00CB53B5">
        <w:rPr>
          <w:lang w:val="en-US"/>
        </w:rPr>
        <w:t>n administrative and accounting</w:t>
      </w:r>
      <w:r w:rsidR="00CB53B5" w:rsidRPr="00CB53B5">
        <w:rPr>
          <w:lang w:val="en-US"/>
        </w:rPr>
        <w:t xml:space="preserve"> r</w:t>
      </w:r>
      <w:r w:rsidR="00CB53B5">
        <w:rPr>
          <w:lang w:val="en-US"/>
        </w:rPr>
        <w:t>ole.</w:t>
      </w:r>
    </w:p>
    <w:p w:rsidR="00AD3E4A" w:rsidRDefault="00AD3E4A" w:rsidP="000837BF">
      <w:pPr>
        <w:spacing w:after="0"/>
        <w:jc w:val="both"/>
        <w:rPr>
          <w:rFonts w:ascii="Calibri" w:eastAsia="Calibri" w:hAnsi="Calibri"/>
          <w:bCs/>
          <w:szCs w:val="20"/>
          <w:lang w:val="en-US"/>
        </w:rPr>
      </w:pPr>
    </w:p>
    <w:p w:rsidR="00B06D12" w:rsidRDefault="00BB0DA7" w:rsidP="00640AF6">
      <w:pPr>
        <w:pStyle w:val="ListParagraph"/>
        <w:spacing w:after="0"/>
        <w:ind w:left="0"/>
        <w:jc w:val="both"/>
        <w:rPr>
          <w:lang w:val="en-US"/>
        </w:rPr>
      </w:pPr>
      <w:r w:rsidRPr="00E24250">
        <w:rPr>
          <w:lang w:val="en-US"/>
        </w:rPr>
        <w:t>The main institution is the</w:t>
      </w:r>
      <w:r w:rsidRPr="00E24250">
        <w:rPr>
          <w:u w:val="single"/>
          <w:lang w:val="en-US"/>
        </w:rPr>
        <w:t xml:space="preserve"> Ministry of Education </w:t>
      </w:r>
      <w:r w:rsidRPr="00E24250">
        <w:rPr>
          <w:lang w:val="en-US"/>
        </w:rPr>
        <w:t>(MINEDU)</w:t>
      </w:r>
      <w:r w:rsidR="00E24250" w:rsidRPr="00E24250">
        <w:rPr>
          <w:lang w:val="en-US"/>
        </w:rPr>
        <w:t xml:space="preserve">. </w:t>
      </w:r>
      <w:r w:rsidR="00E24250" w:rsidRPr="00B06D12">
        <w:rPr>
          <w:lang w:val="en-US"/>
        </w:rPr>
        <w:t xml:space="preserve">According to </w:t>
      </w:r>
      <w:r w:rsidR="0050095F" w:rsidRPr="00B06D12">
        <w:rPr>
          <w:lang w:val="en-US"/>
        </w:rPr>
        <w:t>the General Law of Education (</w:t>
      </w:r>
      <w:proofErr w:type="spellStart"/>
      <w:r w:rsidR="0050095F" w:rsidRPr="00B06D12">
        <w:rPr>
          <w:lang w:val="en-US"/>
        </w:rPr>
        <w:t>Ley</w:t>
      </w:r>
      <w:proofErr w:type="spellEnd"/>
      <w:r w:rsidR="0050095F" w:rsidRPr="00B06D12">
        <w:rPr>
          <w:lang w:val="en-US"/>
        </w:rPr>
        <w:t xml:space="preserve"> N°28044)</w:t>
      </w:r>
      <w:r w:rsidR="00D757DA" w:rsidRPr="00B06D12">
        <w:rPr>
          <w:lang w:val="en-US"/>
        </w:rPr>
        <w:t xml:space="preserve"> </w:t>
      </w:r>
      <w:r w:rsidR="0050095F" w:rsidRPr="00B06D12">
        <w:rPr>
          <w:lang w:val="en-US"/>
        </w:rPr>
        <w:t>the MINEDU</w:t>
      </w:r>
      <w:r w:rsidR="00B06D12" w:rsidRPr="00B06D12">
        <w:rPr>
          <w:lang w:val="en-US"/>
        </w:rPr>
        <w:t>’s major functions are</w:t>
      </w:r>
      <w:r w:rsidR="00B06D12">
        <w:rPr>
          <w:lang w:val="en-US"/>
        </w:rPr>
        <w:t xml:space="preserve"> to ensure equal access for students</w:t>
      </w:r>
      <w:r w:rsidR="00A03C3D">
        <w:rPr>
          <w:lang w:val="en-US"/>
        </w:rPr>
        <w:t xml:space="preserve"> and to coordinate with other institutional agents </w:t>
      </w:r>
      <w:r w:rsidR="00041CE1">
        <w:rPr>
          <w:lang w:val="en-US"/>
        </w:rPr>
        <w:t>in order to guarantee an effective use of resources</w:t>
      </w:r>
      <w:r w:rsidR="00695A78">
        <w:rPr>
          <w:lang w:val="en-US"/>
        </w:rPr>
        <w:t xml:space="preserve"> and to promote a budgeting decentralization process</w:t>
      </w:r>
      <w:r w:rsidR="00041CE1">
        <w:rPr>
          <w:lang w:val="en-US"/>
        </w:rPr>
        <w:t>.</w:t>
      </w:r>
      <w:r w:rsidR="00201D5E">
        <w:rPr>
          <w:lang w:val="en-US"/>
        </w:rPr>
        <w:t xml:space="preserve"> The MINEDU is one of the most important </w:t>
      </w:r>
      <w:proofErr w:type="spellStart"/>
      <w:r w:rsidR="002A5E7D" w:rsidRPr="00201D5E">
        <w:rPr>
          <w:i/>
          <w:lang w:val="en-US"/>
        </w:rPr>
        <w:t>pliegos</w:t>
      </w:r>
      <w:proofErr w:type="spellEnd"/>
      <w:r w:rsidR="00201D5E">
        <w:rPr>
          <w:lang w:val="en-US"/>
        </w:rPr>
        <w:t>.</w:t>
      </w:r>
      <w:r w:rsidR="002672BA">
        <w:rPr>
          <w:lang w:val="en-US"/>
        </w:rPr>
        <w:t xml:space="preserve"> Even though it should move to a more normative agency, it still holds some executing activities that should be executed by regional governments.</w:t>
      </w:r>
    </w:p>
    <w:p w:rsidR="00695A78" w:rsidRPr="00201D5E" w:rsidRDefault="00695A78" w:rsidP="00640AF6">
      <w:pPr>
        <w:pStyle w:val="ListParagraph"/>
        <w:spacing w:after="0"/>
        <w:ind w:left="0"/>
        <w:jc w:val="both"/>
        <w:rPr>
          <w:lang w:val="en-US"/>
        </w:rPr>
      </w:pPr>
    </w:p>
    <w:p w:rsidR="00B65F9B" w:rsidRPr="00F139E9" w:rsidRDefault="002A5E7D" w:rsidP="00640AF6">
      <w:pPr>
        <w:pStyle w:val="ListParagraph"/>
        <w:spacing w:after="0"/>
        <w:ind w:left="0"/>
        <w:jc w:val="both"/>
        <w:rPr>
          <w:lang w:val="en-US"/>
        </w:rPr>
      </w:pPr>
      <w:r w:rsidRPr="00320154">
        <w:rPr>
          <w:lang w:val="en-US"/>
        </w:rPr>
        <w:t xml:space="preserve">Besides National government, </w:t>
      </w:r>
      <w:r w:rsidR="00320154">
        <w:rPr>
          <w:lang w:val="en-US"/>
        </w:rPr>
        <w:t xml:space="preserve">the </w:t>
      </w:r>
      <w:r w:rsidR="00320154" w:rsidRPr="00B65F9B">
        <w:rPr>
          <w:u w:val="single"/>
          <w:lang w:val="en-US"/>
        </w:rPr>
        <w:t>regional level</w:t>
      </w:r>
      <w:r w:rsidR="00B65F9B" w:rsidRPr="00B65F9B">
        <w:rPr>
          <w:lang w:val="en-US"/>
        </w:rPr>
        <w:t xml:space="preserve"> </w:t>
      </w:r>
      <w:r w:rsidR="00320154">
        <w:rPr>
          <w:lang w:val="en-US"/>
        </w:rPr>
        <w:t xml:space="preserve">also plays </w:t>
      </w:r>
      <w:r w:rsidR="00EB2510">
        <w:rPr>
          <w:lang w:val="en-US"/>
        </w:rPr>
        <w:t xml:space="preserve">maybe the most </w:t>
      </w:r>
      <w:r w:rsidR="00320154">
        <w:rPr>
          <w:lang w:val="en-US"/>
        </w:rPr>
        <w:t>important role</w:t>
      </w:r>
      <w:r w:rsidR="00EB2510">
        <w:rPr>
          <w:lang w:val="en-US"/>
        </w:rPr>
        <w:t xml:space="preserve"> in budget execution and policy implementation</w:t>
      </w:r>
      <w:r w:rsidR="00320154">
        <w:rPr>
          <w:lang w:val="en-US"/>
        </w:rPr>
        <w:t>.</w:t>
      </w:r>
      <w:r w:rsidR="00943FF1">
        <w:rPr>
          <w:lang w:val="en-US"/>
        </w:rPr>
        <w:t xml:space="preserve"> </w:t>
      </w:r>
      <w:r w:rsidR="00943FF1" w:rsidRPr="00B65F9B">
        <w:rPr>
          <w:lang w:val="en-US"/>
        </w:rPr>
        <w:t>At this level</w:t>
      </w:r>
      <w:r w:rsidR="00B65F9B" w:rsidRPr="00B65F9B">
        <w:rPr>
          <w:lang w:val="en-US"/>
        </w:rPr>
        <w:t>,</w:t>
      </w:r>
      <w:r w:rsidR="00943FF1" w:rsidRPr="00B65F9B">
        <w:rPr>
          <w:lang w:val="en-US"/>
        </w:rPr>
        <w:t xml:space="preserve"> educational projects are designed, </w:t>
      </w:r>
      <w:r w:rsidR="00B65F9B" w:rsidRPr="00B65F9B">
        <w:rPr>
          <w:lang w:val="en-US"/>
        </w:rPr>
        <w:t>executed and monitored</w:t>
      </w:r>
      <w:r w:rsidR="00EB2510">
        <w:rPr>
          <w:lang w:val="en-US"/>
        </w:rPr>
        <w:t xml:space="preserve"> at this level</w:t>
      </w:r>
      <w:r w:rsidR="00B65F9B" w:rsidRPr="00B65F9B">
        <w:rPr>
          <w:lang w:val="en-US"/>
        </w:rPr>
        <w:t xml:space="preserve">. </w:t>
      </w:r>
      <w:r w:rsidR="003C31AF">
        <w:rPr>
          <w:lang w:val="en-US"/>
        </w:rPr>
        <w:t xml:space="preserve">A </w:t>
      </w:r>
      <w:r w:rsidR="001533E3" w:rsidRPr="0044748A">
        <w:rPr>
          <w:lang w:val="en-US"/>
        </w:rPr>
        <w:t>Regional government is also in charge</w:t>
      </w:r>
      <w:r w:rsidR="0044748A" w:rsidRPr="0044748A">
        <w:rPr>
          <w:lang w:val="en-US"/>
        </w:rPr>
        <w:t xml:space="preserve"> of the modernization o</w:t>
      </w:r>
      <w:r w:rsidR="0044748A">
        <w:rPr>
          <w:lang w:val="en-US"/>
        </w:rPr>
        <w:t>f the decentralization systems</w:t>
      </w:r>
      <w:r w:rsidR="00A62521">
        <w:rPr>
          <w:lang w:val="en-US"/>
        </w:rPr>
        <w:t xml:space="preserve"> and the coordination with the MINEDU regarding measurement of </w:t>
      </w:r>
      <w:r w:rsidR="006C77BC">
        <w:rPr>
          <w:lang w:val="en-US"/>
        </w:rPr>
        <w:t>educational attainment.</w:t>
      </w:r>
      <w:r w:rsidR="006D4D89">
        <w:rPr>
          <w:lang w:val="en-US"/>
        </w:rPr>
        <w:t xml:space="preserve"> </w:t>
      </w:r>
      <w:r w:rsidR="006D4D89" w:rsidRPr="00F139E9">
        <w:rPr>
          <w:lang w:val="en-US"/>
        </w:rPr>
        <w:t xml:space="preserve">Regions </w:t>
      </w:r>
      <w:r w:rsidR="003C31AF">
        <w:rPr>
          <w:lang w:val="en-US"/>
        </w:rPr>
        <w:t xml:space="preserve">are in charge of paying salaries </w:t>
      </w:r>
      <w:r w:rsidR="003C31AF">
        <w:rPr>
          <w:lang w:val="en-US"/>
        </w:rPr>
        <w:lastRenderedPageBreak/>
        <w:t xml:space="preserve">to teachers, which absorbs a </w:t>
      </w:r>
      <w:r w:rsidR="00EB2510">
        <w:rPr>
          <w:lang w:val="en-US"/>
        </w:rPr>
        <w:t>great</w:t>
      </w:r>
      <w:r w:rsidR="003C31AF">
        <w:rPr>
          <w:lang w:val="en-US"/>
        </w:rPr>
        <w:t xml:space="preserve"> part of the budget, but however, doe</w:t>
      </w:r>
      <w:r w:rsidR="00EB2510">
        <w:rPr>
          <w:lang w:val="en-US"/>
        </w:rPr>
        <w:t>s not have authority over human</w:t>
      </w:r>
      <w:r w:rsidR="003C31AF">
        <w:rPr>
          <w:lang w:val="en-US"/>
        </w:rPr>
        <w:t xml:space="preserve"> resources policies.  They </w:t>
      </w:r>
      <w:r w:rsidR="006D4D89" w:rsidRPr="00F139E9">
        <w:rPr>
          <w:lang w:val="en-US"/>
        </w:rPr>
        <w:t xml:space="preserve">are considered </w:t>
      </w:r>
      <w:proofErr w:type="spellStart"/>
      <w:r w:rsidR="006D4D89" w:rsidRPr="00F139E9">
        <w:rPr>
          <w:i/>
          <w:lang w:val="en-US"/>
        </w:rPr>
        <w:t>pliegos</w:t>
      </w:r>
      <w:proofErr w:type="spellEnd"/>
      <w:r w:rsidR="003C31AF">
        <w:rPr>
          <w:lang w:val="en-US"/>
        </w:rPr>
        <w:t xml:space="preserve">, as well and have under their authority </w:t>
      </w:r>
      <w:r w:rsidR="003C31AF" w:rsidRPr="00DB48D0">
        <w:rPr>
          <w:lang w:val="en-US"/>
        </w:rPr>
        <w:t xml:space="preserve">the </w:t>
      </w:r>
      <w:r w:rsidR="003C31AF">
        <w:rPr>
          <w:lang w:val="en-US"/>
        </w:rPr>
        <w:t xml:space="preserve">Regional education </w:t>
      </w:r>
      <w:r w:rsidR="003C31AF" w:rsidRPr="00DB48D0">
        <w:rPr>
          <w:lang w:val="en-US"/>
        </w:rPr>
        <w:t>Direc</w:t>
      </w:r>
      <w:r w:rsidR="003C31AF">
        <w:rPr>
          <w:lang w:val="en-US"/>
        </w:rPr>
        <w:t xml:space="preserve">torates </w:t>
      </w:r>
      <w:r w:rsidR="003C31AF" w:rsidRPr="00DB48D0">
        <w:rPr>
          <w:lang w:val="en-US"/>
        </w:rPr>
        <w:t xml:space="preserve">(DRE) and the </w:t>
      </w:r>
      <w:r w:rsidR="003C31AF">
        <w:rPr>
          <w:lang w:val="en-US"/>
        </w:rPr>
        <w:t>Local Management Education Units</w:t>
      </w:r>
      <w:r w:rsidR="003C31AF" w:rsidRPr="00DB48D0">
        <w:rPr>
          <w:lang w:val="en-US"/>
        </w:rPr>
        <w:t xml:space="preserve"> (UGEL)</w:t>
      </w:r>
      <w:r w:rsidR="003C31AF">
        <w:rPr>
          <w:lang w:val="en-US"/>
        </w:rPr>
        <w:t>,</w:t>
      </w:r>
    </w:p>
    <w:p w:rsidR="00A62521" w:rsidRPr="00F139E9" w:rsidRDefault="00A62521" w:rsidP="00640AF6">
      <w:pPr>
        <w:pStyle w:val="ListParagraph"/>
        <w:spacing w:after="0"/>
        <w:ind w:left="0"/>
        <w:jc w:val="both"/>
        <w:rPr>
          <w:lang w:val="en-US"/>
        </w:rPr>
      </w:pPr>
    </w:p>
    <w:p w:rsidR="002F66D1" w:rsidRPr="00DB48D0" w:rsidRDefault="003C31AF" w:rsidP="00640AF6">
      <w:pPr>
        <w:pStyle w:val="ListParagraph"/>
        <w:spacing w:after="0"/>
        <w:ind w:left="0"/>
        <w:jc w:val="both"/>
        <w:rPr>
          <w:lang w:val="en-US"/>
        </w:rPr>
      </w:pPr>
      <w:r>
        <w:rPr>
          <w:lang w:val="en-US"/>
        </w:rPr>
        <w:t xml:space="preserve">On regards to </w:t>
      </w:r>
      <w:r w:rsidR="00DC76AB" w:rsidRPr="00383D55">
        <w:rPr>
          <w:u w:val="single"/>
          <w:lang w:val="en-US"/>
        </w:rPr>
        <w:t>local government</w:t>
      </w:r>
      <w:r>
        <w:rPr>
          <w:u w:val="single"/>
          <w:lang w:val="en-US"/>
        </w:rPr>
        <w:t xml:space="preserve"> (more than 1,800)</w:t>
      </w:r>
      <w:r w:rsidR="00DC76AB" w:rsidRPr="00DC76AB">
        <w:rPr>
          <w:lang w:val="en-US"/>
        </w:rPr>
        <w:t>, this l</w:t>
      </w:r>
      <w:r w:rsidR="00DC76AB">
        <w:rPr>
          <w:lang w:val="en-US"/>
        </w:rPr>
        <w:t>evel of administration</w:t>
      </w:r>
      <w:r w:rsidR="00636CB4">
        <w:rPr>
          <w:lang w:val="en-US"/>
        </w:rPr>
        <w:t xml:space="preserve"> is also a </w:t>
      </w:r>
      <w:proofErr w:type="spellStart"/>
      <w:r w:rsidR="00636CB4" w:rsidRPr="00636CB4">
        <w:rPr>
          <w:i/>
          <w:lang w:val="en-US"/>
        </w:rPr>
        <w:t>pliego</w:t>
      </w:r>
      <w:proofErr w:type="spellEnd"/>
      <w:r w:rsidR="00636CB4" w:rsidRPr="00636CB4">
        <w:rPr>
          <w:i/>
          <w:lang w:val="en-US"/>
        </w:rPr>
        <w:t xml:space="preserve"> </w:t>
      </w:r>
      <w:r w:rsidR="00636CB4">
        <w:rPr>
          <w:lang w:val="en-US"/>
        </w:rPr>
        <w:t>and</w:t>
      </w:r>
      <w:r w:rsidR="00DC76AB">
        <w:rPr>
          <w:lang w:val="en-US"/>
        </w:rPr>
        <w:t xml:space="preserve"> shares some powers and functions with the other </w:t>
      </w:r>
      <w:r>
        <w:rPr>
          <w:lang w:val="en-US"/>
        </w:rPr>
        <w:t>two</w:t>
      </w:r>
      <w:r w:rsidR="00006B10">
        <w:rPr>
          <w:lang w:val="en-US"/>
        </w:rPr>
        <w:t xml:space="preserve">. </w:t>
      </w:r>
      <w:r>
        <w:rPr>
          <w:lang w:val="en-US"/>
        </w:rPr>
        <w:t>Local government</w:t>
      </w:r>
      <w:r w:rsidR="00EB2510">
        <w:rPr>
          <w:lang w:val="en-US"/>
        </w:rPr>
        <w:t>s</w:t>
      </w:r>
      <w:r>
        <w:rPr>
          <w:lang w:val="en-US"/>
        </w:rPr>
        <w:t xml:space="preserve"> are</w:t>
      </w:r>
      <w:r w:rsidR="00006B10">
        <w:rPr>
          <w:lang w:val="en-US"/>
        </w:rPr>
        <w:t xml:space="preserve"> in charge of </w:t>
      </w:r>
      <w:r>
        <w:rPr>
          <w:lang w:val="en-US"/>
        </w:rPr>
        <w:t xml:space="preserve">the </w:t>
      </w:r>
      <w:r w:rsidR="00006B10">
        <w:rPr>
          <w:lang w:val="en-US"/>
        </w:rPr>
        <w:t xml:space="preserve">supervising the </w:t>
      </w:r>
      <w:r>
        <w:rPr>
          <w:lang w:val="en-US"/>
        </w:rPr>
        <w:t>schools</w:t>
      </w:r>
      <w:r w:rsidR="00006B10">
        <w:rPr>
          <w:lang w:val="en-US"/>
        </w:rPr>
        <w:t xml:space="preserve"> (IE)</w:t>
      </w:r>
      <w:r w:rsidR="00773A9B">
        <w:rPr>
          <w:lang w:val="en-US"/>
        </w:rPr>
        <w:t xml:space="preserve"> </w:t>
      </w:r>
      <w:r>
        <w:rPr>
          <w:lang w:val="en-US"/>
        </w:rPr>
        <w:t>located in their</w:t>
      </w:r>
      <w:r w:rsidR="007339E9">
        <w:rPr>
          <w:lang w:val="en-US"/>
        </w:rPr>
        <w:t xml:space="preserve"> district</w:t>
      </w:r>
      <w:r w:rsidR="00E67C50">
        <w:rPr>
          <w:lang w:val="en-US"/>
        </w:rPr>
        <w:t>.</w:t>
      </w:r>
      <w:r>
        <w:rPr>
          <w:lang w:val="en-US"/>
        </w:rPr>
        <w:t xml:space="preserve"> </w:t>
      </w:r>
      <w:r w:rsidR="00E67C50">
        <w:rPr>
          <w:lang w:val="en-US"/>
        </w:rPr>
        <w:t xml:space="preserve"> </w:t>
      </w:r>
      <w:r w:rsidR="00CF0B72">
        <w:rPr>
          <w:lang w:val="en-US"/>
        </w:rPr>
        <w:t xml:space="preserve">Local </w:t>
      </w:r>
      <w:r>
        <w:rPr>
          <w:lang w:val="en-US"/>
        </w:rPr>
        <w:t>governments have</w:t>
      </w:r>
      <w:r w:rsidR="00CF0B72">
        <w:rPr>
          <w:lang w:val="en-US"/>
        </w:rPr>
        <w:t xml:space="preserve"> also the function of promoting </w:t>
      </w:r>
      <w:r w:rsidR="00EF5BAF">
        <w:rPr>
          <w:lang w:val="en-US"/>
        </w:rPr>
        <w:t xml:space="preserve">the </w:t>
      </w:r>
      <w:proofErr w:type="spellStart"/>
      <w:r w:rsidR="00EF5BAF">
        <w:rPr>
          <w:lang w:val="en-US"/>
        </w:rPr>
        <w:t>Consejo</w:t>
      </w:r>
      <w:proofErr w:type="spellEnd"/>
      <w:r w:rsidR="00EF5BAF">
        <w:rPr>
          <w:lang w:val="en-US"/>
        </w:rPr>
        <w:t xml:space="preserve"> </w:t>
      </w:r>
      <w:proofErr w:type="spellStart"/>
      <w:r w:rsidR="00EF5BAF">
        <w:rPr>
          <w:lang w:val="en-US"/>
        </w:rPr>
        <w:t>Participativo</w:t>
      </w:r>
      <w:proofErr w:type="spellEnd"/>
      <w:r w:rsidR="00EF5BAF">
        <w:rPr>
          <w:lang w:val="en-US"/>
        </w:rPr>
        <w:t xml:space="preserve"> Local de </w:t>
      </w:r>
      <w:proofErr w:type="spellStart"/>
      <w:r w:rsidR="00EF5BAF">
        <w:rPr>
          <w:lang w:val="en-US"/>
        </w:rPr>
        <w:t>Educación</w:t>
      </w:r>
      <w:proofErr w:type="spellEnd"/>
      <w:r w:rsidR="00EF5BAF">
        <w:rPr>
          <w:lang w:val="en-US"/>
        </w:rPr>
        <w:t xml:space="preserve"> (COPALE)</w:t>
      </w:r>
      <w:r w:rsidR="00507259">
        <w:rPr>
          <w:lang w:val="en-US"/>
        </w:rPr>
        <w:t xml:space="preserve"> and boosting </w:t>
      </w:r>
      <w:r w:rsidR="00156813">
        <w:rPr>
          <w:lang w:val="en-US"/>
        </w:rPr>
        <w:t>community’s</w:t>
      </w:r>
      <w:r w:rsidR="00507259">
        <w:rPr>
          <w:lang w:val="en-US"/>
        </w:rPr>
        <w:t xml:space="preserve"> participation</w:t>
      </w:r>
      <w:r w:rsidR="00156813">
        <w:rPr>
          <w:lang w:val="en-US"/>
        </w:rPr>
        <w:t xml:space="preserve"> on the monitoring process.</w:t>
      </w:r>
      <w:r w:rsidR="00636CB4">
        <w:rPr>
          <w:lang w:val="en-US"/>
        </w:rPr>
        <w:t xml:space="preserve"> </w:t>
      </w:r>
    </w:p>
    <w:p w:rsidR="00D757DA" w:rsidRPr="00DB48D0" w:rsidRDefault="00D757DA" w:rsidP="00640AF6">
      <w:pPr>
        <w:pStyle w:val="ListParagraph"/>
        <w:spacing w:after="0"/>
        <w:ind w:left="0"/>
        <w:jc w:val="both"/>
        <w:rPr>
          <w:lang w:val="en-US"/>
        </w:rPr>
      </w:pPr>
    </w:p>
    <w:p w:rsidR="00EB2510" w:rsidRDefault="00AA2268" w:rsidP="00640AF6">
      <w:pPr>
        <w:jc w:val="both"/>
        <w:rPr>
          <w:lang w:val="en-US"/>
        </w:rPr>
      </w:pPr>
      <w:r w:rsidRPr="00AA2268">
        <w:rPr>
          <w:lang w:val="en-US"/>
        </w:rPr>
        <w:t xml:space="preserve">The </w:t>
      </w:r>
      <w:r w:rsidR="003C31AF">
        <w:rPr>
          <w:lang w:val="en-US"/>
        </w:rPr>
        <w:t xml:space="preserve">Regional education </w:t>
      </w:r>
      <w:r w:rsidR="003C31AF" w:rsidRPr="00DB48D0">
        <w:rPr>
          <w:lang w:val="en-US"/>
        </w:rPr>
        <w:t>Direc</w:t>
      </w:r>
      <w:r w:rsidR="003C31AF">
        <w:rPr>
          <w:lang w:val="en-US"/>
        </w:rPr>
        <w:t xml:space="preserve">torates </w:t>
      </w:r>
      <w:r w:rsidRPr="00AA2268">
        <w:rPr>
          <w:lang w:val="en-US"/>
        </w:rPr>
        <w:t>(DRE) are institutional organisms (part of the R</w:t>
      </w:r>
      <w:r>
        <w:rPr>
          <w:lang w:val="en-US"/>
        </w:rPr>
        <w:t xml:space="preserve">egional Government) accountable for ensuring equal access </w:t>
      </w:r>
      <w:r w:rsidR="00127533">
        <w:rPr>
          <w:lang w:val="en-US"/>
        </w:rPr>
        <w:t xml:space="preserve">to school and for </w:t>
      </w:r>
      <w:r w:rsidR="000D0098">
        <w:rPr>
          <w:lang w:val="en-US"/>
        </w:rPr>
        <w:t>raising the quality of</w:t>
      </w:r>
      <w:r w:rsidR="004D3EA2">
        <w:rPr>
          <w:lang w:val="en-US"/>
        </w:rPr>
        <w:t xml:space="preserve"> educational performance.</w:t>
      </w:r>
      <w:r w:rsidR="001E3A06">
        <w:rPr>
          <w:lang w:val="en-US"/>
        </w:rPr>
        <w:t xml:space="preserve"> </w:t>
      </w:r>
      <w:r w:rsidR="001E3A06" w:rsidRPr="001E3A06">
        <w:rPr>
          <w:lang w:val="en-US"/>
        </w:rPr>
        <w:t>They are also in charge of promoting Sports, C</w:t>
      </w:r>
      <w:r w:rsidR="001E3A06">
        <w:rPr>
          <w:lang w:val="en-US"/>
        </w:rPr>
        <w:t xml:space="preserve">ulture, Recreation, Science and Technology. </w:t>
      </w:r>
      <w:r w:rsidR="001E3A06" w:rsidRPr="001E3A06">
        <w:rPr>
          <w:lang w:val="en-US"/>
        </w:rPr>
        <w:t>For this purpose, they work with the UGEL</w:t>
      </w:r>
      <w:r w:rsidR="001E3A06">
        <w:rPr>
          <w:lang w:val="en-US"/>
        </w:rPr>
        <w:t xml:space="preserve">. </w:t>
      </w:r>
    </w:p>
    <w:p w:rsidR="001E3A06" w:rsidRPr="00DC0C44" w:rsidRDefault="001E3A06" w:rsidP="00640AF6">
      <w:pPr>
        <w:jc w:val="both"/>
        <w:rPr>
          <w:lang w:val="en-US"/>
        </w:rPr>
      </w:pPr>
      <w:r w:rsidRPr="002F737B">
        <w:rPr>
          <w:lang w:val="en-US"/>
        </w:rPr>
        <w:t xml:space="preserve">On the other hand, the </w:t>
      </w:r>
      <w:r w:rsidR="00116596">
        <w:rPr>
          <w:lang w:val="en-US"/>
        </w:rPr>
        <w:t>Local Management Education Units</w:t>
      </w:r>
      <w:r w:rsidRPr="002F737B">
        <w:rPr>
          <w:lang w:val="en-US"/>
        </w:rPr>
        <w:t xml:space="preserve"> (UGEL)</w:t>
      </w:r>
      <w:r w:rsidR="002F737B" w:rsidRPr="002F737B">
        <w:rPr>
          <w:lang w:val="en-US"/>
        </w:rPr>
        <w:t xml:space="preserve"> </w:t>
      </w:r>
      <w:proofErr w:type="gramStart"/>
      <w:r w:rsidR="002F737B" w:rsidRPr="002F737B">
        <w:rPr>
          <w:lang w:val="en-US"/>
        </w:rPr>
        <w:t>are</w:t>
      </w:r>
      <w:proofErr w:type="gramEnd"/>
      <w:r w:rsidR="002F737B">
        <w:rPr>
          <w:lang w:val="en-US"/>
        </w:rPr>
        <w:t xml:space="preserve"> also part of the regional government,</w:t>
      </w:r>
      <w:r w:rsidR="00117C00">
        <w:rPr>
          <w:lang w:val="en-US"/>
        </w:rPr>
        <w:t xml:space="preserve"> with</w:t>
      </w:r>
      <w:r w:rsidR="002F737B">
        <w:rPr>
          <w:lang w:val="en-US"/>
        </w:rPr>
        <w:t xml:space="preserve"> auto</w:t>
      </w:r>
      <w:r w:rsidR="00117C00">
        <w:rPr>
          <w:lang w:val="en-US"/>
        </w:rPr>
        <w:t>no</w:t>
      </w:r>
      <w:r w:rsidR="002F737B">
        <w:rPr>
          <w:lang w:val="en-US"/>
        </w:rPr>
        <w:t>mous</w:t>
      </w:r>
      <w:r w:rsidR="00117C00">
        <w:rPr>
          <w:lang w:val="en-US"/>
        </w:rPr>
        <w:t xml:space="preserve"> functions</w:t>
      </w:r>
      <w:r w:rsidR="0040638C">
        <w:rPr>
          <w:lang w:val="en-US"/>
        </w:rPr>
        <w:t xml:space="preserve"> in its jurisdiction</w:t>
      </w:r>
      <w:r w:rsidR="00DC0C44">
        <w:rPr>
          <w:lang w:val="en-US"/>
        </w:rPr>
        <w:t>, in order to boost decentralization</w:t>
      </w:r>
      <w:r w:rsidR="000F35DC">
        <w:rPr>
          <w:lang w:val="en-US"/>
        </w:rPr>
        <w:t xml:space="preserve">. </w:t>
      </w:r>
      <w:r w:rsidR="000F35DC" w:rsidRPr="000F35DC">
        <w:rPr>
          <w:lang w:val="en-US"/>
        </w:rPr>
        <w:t>They work directly with schools and teachers, specifically on capa</w:t>
      </w:r>
      <w:r w:rsidR="000F35DC">
        <w:rPr>
          <w:lang w:val="en-US"/>
        </w:rPr>
        <w:t>city building</w:t>
      </w:r>
      <w:r w:rsidR="0040638C">
        <w:rPr>
          <w:lang w:val="en-US"/>
        </w:rPr>
        <w:t xml:space="preserve"> and</w:t>
      </w:r>
      <w:r w:rsidR="00131669">
        <w:rPr>
          <w:lang w:val="en-US"/>
        </w:rPr>
        <w:t xml:space="preserve"> strengthening teaching skills</w:t>
      </w:r>
      <w:r w:rsidR="004C2A03">
        <w:rPr>
          <w:lang w:val="en-US"/>
        </w:rPr>
        <w:t xml:space="preserve">, as well as promoting community’s participation. </w:t>
      </w:r>
      <w:r w:rsidR="00EB2510">
        <w:rPr>
          <w:lang w:val="en-US"/>
        </w:rPr>
        <w:t>They depend from the DRE and n</w:t>
      </w:r>
      <w:r w:rsidR="00116596">
        <w:rPr>
          <w:lang w:val="en-US"/>
        </w:rPr>
        <w:t>ot all of the UGELs are executing budget unit.</w:t>
      </w:r>
    </w:p>
    <w:p w:rsidR="00D757DA" w:rsidRDefault="00DC0C44" w:rsidP="00640AF6">
      <w:pPr>
        <w:pStyle w:val="ListParagraph"/>
        <w:spacing w:after="0"/>
        <w:ind w:left="0"/>
        <w:jc w:val="both"/>
        <w:rPr>
          <w:lang w:val="en-US"/>
        </w:rPr>
      </w:pPr>
      <w:r w:rsidRPr="00DC0C44">
        <w:rPr>
          <w:lang w:val="en-US"/>
        </w:rPr>
        <w:t xml:space="preserve">Finally, </w:t>
      </w:r>
      <w:r w:rsidRPr="00262554">
        <w:rPr>
          <w:u w:val="single"/>
          <w:lang w:val="en-US"/>
        </w:rPr>
        <w:t>schools</w:t>
      </w:r>
      <w:r w:rsidRPr="00DC0C44">
        <w:rPr>
          <w:lang w:val="en-US"/>
        </w:rPr>
        <w:t xml:space="preserve"> are the l</w:t>
      </w:r>
      <w:r>
        <w:rPr>
          <w:lang w:val="en-US"/>
        </w:rPr>
        <w:t>ast and most important educational unit</w:t>
      </w:r>
      <w:r w:rsidR="00EB2510">
        <w:rPr>
          <w:lang w:val="en-US"/>
        </w:rPr>
        <w:t xml:space="preserve"> in the </w:t>
      </w:r>
      <w:r w:rsidR="00EB2510" w:rsidRPr="00F64FD0">
        <w:rPr>
          <w:lang w:val="en-US"/>
        </w:rPr>
        <w:t>General Law of Education</w:t>
      </w:r>
      <w:r w:rsidR="00364B51">
        <w:rPr>
          <w:lang w:val="en-US"/>
        </w:rPr>
        <w:t xml:space="preserve">. </w:t>
      </w:r>
      <w:r w:rsidR="00364B51" w:rsidRPr="00B809C4">
        <w:rPr>
          <w:lang w:val="en-US"/>
        </w:rPr>
        <w:t>There are public and private schools</w:t>
      </w:r>
      <w:r w:rsidR="00B809C4" w:rsidRPr="00B809C4">
        <w:rPr>
          <w:lang w:val="en-US"/>
        </w:rPr>
        <w:t xml:space="preserve"> and </w:t>
      </w:r>
      <w:r w:rsidR="00EB2510">
        <w:rPr>
          <w:lang w:val="en-US"/>
        </w:rPr>
        <w:t xml:space="preserve">in theory, </w:t>
      </w:r>
      <w:r w:rsidR="00B809C4" w:rsidRPr="00B809C4">
        <w:rPr>
          <w:lang w:val="en-US"/>
        </w:rPr>
        <w:t>both of t</w:t>
      </w:r>
      <w:r w:rsidR="00B809C4">
        <w:rPr>
          <w:lang w:val="en-US"/>
        </w:rPr>
        <w:t xml:space="preserve">hem are obliged to follow the local educational project. </w:t>
      </w:r>
    </w:p>
    <w:p w:rsidR="00EB2510" w:rsidRPr="00F139E9" w:rsidRDefault="00EB2510" w:rsidP="00640AF6">
      <w:pPr>
        <w:pStyle w:val="ListParagraph"/>
        <w:spacing w:after="0"/>
        <w:ind w:left="0"/>
        <w:jc w:val="both"/>
        <w:rPr>
          <w:lang w:val="en-US"/>
        </w:rPr>
      </w:pPr>
    </w:p>
    <w:p w:rsidR="00F64FD0" w:rsidRDefault="00F64FD0" w:rsidP="00640AF6">
      <w:pPr>
        <w:pStyle w:val="ListParagraph"/>
        <w:spacing w:after="0"/>
        <w:ind w:left="0"/>
        <w:jc w:val="both"/>
        <w:rPr>
          <w:lang w:val="en-US"/>
        </w:rPr>
      </w:pPr>
      <w:r w:rsidRPr="00F64FD0">
        <w:rPr>
          <w:lang w:val="en-US"/>
        </w:rPr>
        <w:t>According to the General Law of Education</w:t>
      </w:r>
      <w:r>
        <w:rPr>
          <w:lang w:val="en-US"/>
        </w:rPr>
        <w:t xml:space="preserve">, </w:t>
      </w:r>
      <w:r w:rsidRPr="00672DB8">
        <w:rPr>
          <w:u w:val="single"/>
          <w:lang w:val="en-US"/>
        </w:rPr>
        <w:t xml:space="preserve">civil </w:t>
      </w:r>
      <w:r w:rsidR="00E9752D" w:rsidRPr="00672DB8">
        <w:rPr>
          <w:u w:val="single"/>
          <w:lang w:val="en-US"/>
        </w:rPr>
        <w:t>society</w:t>
      </w:r>
      <w:r w:rsidR="00E9752D">
        <w:rPr>
          <w:lang w:val="en-US"/>
        </w:rPr>
        <w:t xml:space="preserve"> is</w:t>
      </w:r>
      <w:r w:rsidR="005F563D">
        <w:rPr>
          <w:lang w:val="en-US"/>
        </w:rPr>
        <w:t xml:space="preserve"> encourage</w:t>
      </w:r>
      <w:r w:rsidR="00672DB8">
        <w:rPr>
          <w:lang w:val="en-US"/>
        </w:rPr>
        <w:t>d</w:t>
      </w:r>
      <w:r w:rsidR="005F563D">
        <w:rPr>
          <w:lang w:val="en-US"/>
        </w:rPr>
        <w:t xml:space="preserve"> to </w:t>
      </w:r>
      <w:r w:rsidR="00672DB8">
        <w:rPr>
          <w:lang w:val="en-US"/>
        </w:rPr>
        <w:t>participate on the definition and developing</w:t>
      </w:r>
      <w:r w:rsidR="00E7573C">
        <w:rPr>
          <w:lang w:val="en-US"/>
        </w:rPr>
        <w:t xml:space="preserve"> of the local educational project. </w:t>
      </w:r>
      <w:r w:rsidR="00E9752D">
        <w:rPr>
          <w:lang w:val="en-US"/>
        </w:rPr>
        <w:t xml:space="preserve">Even when they cannot vote, they do have power </w:t>
      </w:r>
      <w:r w:rsidR="001D51A8">
        <w:rPr>
          <w:lang w:val="en-US"/>
        </w:rPr>
        <w:t xml:space="preserve">for influencing on </w:t>
      </w:r>
      <w:r w:rsidR="00A9577F">
        <w:rPr>
          <w:lang w:val="en-US"/>
        </w:rPr>
        <w:t xml:space="preserve">final </w:t>
      </w:r>
      <w:r w:rsidR="001D51A8">
        <w:rPr>
          <w:lang w:val="en-US"/>
        </w:rPr>
        <w:t>decisions</w:t>
      </w:r>
      <w:r w:rsidR="00A9577F">
        <w:rPr>
          <w:lang w:val="en-US"/>
        </w:rPr>
        <w:t xml:space="preserve"> and for monitoring teacher’s performance and</w:t>
      </w:r>
      <w:r w:rsidR="00572006">
        <w:rPr>
          <w:lang w:val="en-US"/>
        </w:rPr>
        <w:t xml:space="preserve"> school administration.</w:t>
      </w:r>
      <w:r w:rsidR="00777AB0">
        <w:rPr>
          <w:lang w:val="en-US"/>
        </w:rPr>
        <w:t xml:space="preserve"> In some cases, student’s parents can also monitor the school budget executio</w:t>
      </w:r>
      <w:r w:rsidR="00500E76">
        <w:rPr>
          <w:lang w:val="en-US"/>
        </w:rPr>
        <w:t>n.</w:t>
      </w:r>
    </w:p>
    <w:p w:rsidR="00EB2510" w:rsidRDefault="00EB2510" w:rsidP="00640AF6">
      <w:pPr>
        <w:pStyle w:val="ListParagraph"/>
        <w:spacing w:after="0"/>
        <w:ind w:left="0"/>
        <w:jc w:val="both"/>
        <w:rPr>
          <w:lang w:val="en-US"/>
        </w:rPr>
      </w:pPr>
    </w:p>
    <w:p w:rsidR="003C5FE7" w:rsidRPr="00995D3F" w:rsidRDefault="00B01CA5" w:rsidP="0073121E">
      <w:pPr>
        <w:pStyle w:val="Heading2"/>
        <w:numPr>
          <w:ilvl w:val="0"/>
          <w:numId w:val="12"/>
        </w:numPr>
        <w:rPr>
          <w:lang w:val="en-US"/>
        </w:rPr>
      </w:pPr>
      <w:bookmarkStart w:id="3" w:name="_Toc255446160"/>
      <w:r>
        <w:rPr>
          <w:lang w:val="en-US"/>
        </w:rPr>
        <w:t xml:space="preserve">Current </w:t>
      </w:r>
      <w:r w:rsidR="00EB2510">
        <w:rPr>
          <w:lang w:val="en-US"/>
        </w:rPr>
        <w:t>status</w:t>
      </w:r>
      <w:r>
        <w:rPr>
          <w:lang w:val="en-US"/>
        </w:rPr>
        <w:t xml:space="preserve"> of the education sector</w:t>
      </w:r>
      <w:bookmarkEnd w:id="3"/>
    </w:p>
    <w:p w:rsidR="00DA5BC6" w:rsidRDefault="00DA5BC6" w:rsidP="00640AF6">
      <w:pPr>
        <w:jc w:val="both"/>
        <w:rPr>
          <w:lang w:val="en-US"/>
        </w:rPr>
      </w:pPr>
    </w:p>
    <w:p w:rsidR="00C031C9" w:rsidRPr="008A4ECF" w:rsidRDefault="008D60A8" w:rsidP="00640AF6">
      <w:pPr>
        <w:jc w:val="both"/>
        <w:rPr>
          <w:lang w:val="en-US"/>
        </w:rPr>
      </w:pPr>
      <w:r>
        <w:rPr>
          <w:lang w:val="en-US"/>
        </w:rPr>
        <w:t xml:space="preserve">As </w:t>
      </w:r>
      <w:r w:rsidR="00F139E9" w:rsidRPr="00F139E9">
        <w:rPr>
          <w:lang w:val="en-US"/>
        </w:rPr>
        <w:t xml:space="preserve">Crouch (2006) </w:t>
      </w:r>
      <w:r w:rsidR="004C354A">
        <w:rPr>
          <w:lang w:val="en-US"/>
        </w:rPr>
        <w:t>explains</w:t>
      </w:r>
      <w:r w:rsidR="00F139E9" w:rsidRPr="00F139E9">
        <w:rPr>
          <w:lang w:val="en-US"/>
        </w:rPr>
        <w:t xml:space="preserve">, there is a paradox </w:t>
      </w:r>
      <w:r w:rsidR="00F139E9">
        <w:rPr>
          <w:lang w:val="en-US"/>
        </w:rPr>
        <w:t>for the Peruvian case</w:t>
      </w:r>
      <w:r w:rsidR="00351F2B">
        <w:rPr>
          <w:lang w:val="en-US"/>
        </w:rPr>
        <w:t>: budget spending has been efficient in terms of educational coverage. Figure 3</w:t>
      </w:r>
      <w:r w:rsidR="00116E76">
        <w:rPr>
          <w:lang w:val="en-US"/>
        </w:rPr>
        <w:t xml:space="preserve"> shows</w:t>
      </w:r>
      <w:r w:rsidR="00B21BC5">
        <w:rPr>
          <w:lang w:val="en-US"/>
        </w:rPr>
        <w:t xml:space="preserve"> Primary school coverage </w:t>
      </w:r>
      <w:r w:rsidR="00A06648">
        <w:rPr>
          <w:lang w:val="en-US"/>
        </w:rPr>
        <w:t>almost</w:t>
      </w:r>
      <w:r w:rsidR="00B21BC5">
        <w:rPr>
          <w:lang w:val="en-US"/>
        </w:rPr>
        <w:t xml:space="preserve"> full (above 96% for both urban and </w:t>
      </w:r>
      <w:r w:rsidR="00B21BC5" w:rsidRPr="008A4ECF">
        <w:rPr>
          <w:lang w:val="en-US"/>
        </w:rPr>
        <w:t>rural areas).</w:t>
      </w:r>
      <w:r w:rsidR="00A06648" w:rsidRPr="008A4ECF">
        <w:rPr>
          <w:lang w:val="en-US"/>
        </w:rPr>
        <w:t xml:space="preserve"> It can also be noticed that there is no gender differences regarding access to education.</w:t>
      </w:r>
      <w:r w:rsidR="003D6A50" w:rsidRPr="008A4ECF">
        <w:rPr>
          <w:lang w:val="en-US"/>
        </w:rPr>
        <w:t xml:space="preserve"> </w:t>
      </w:r>
    </w:p>
    <w:p w:rsidR="00F139E9" w:rsidRPr="00BD20F1" w:rsidRDefault="00E521CF" w:rsidP="00640AF6">
      <w:pPr>
        <w:jc w:val="both"/>
        <w:rPr>
          <w:lang w:val="en-US"/>
        </w:rPr>
      </w:pPr>
      <w:r w:rsidRPr="008A4ECF">
        <w:rPr>
          <w:lang w:val="en-US"/>
        </w:rPr>
        <w:t>However,</w:t>
      </w:r>
      <w:r w:rsidR="003D6A50" w:rsidRPr="008A4ECF">
        <w:rPr>
          <w:lang w:val="en-US"/>
        </w:rPr>
        <w:t xml:space="preserve"> </w:t>
      </w:r>
      <w:r w:rsidR="00BD5116" w:rsidRPr="008A4ECF">
        <w:rPr>
          <w:lang w:val="en-US"/>
        </w:rPr>
        <w:t xml:space="preserve">there is a </w:t>
      </w:r>
      <w:r w:rsidR="00A37240" w:rsidRPr="008A4ECF">
        <w:rPr>
          <w:lang w:val="en-US"/>
        </w:rPr>
        <w:t xml:space="preserve">slight </w:t>
      </w:r>
      <w:r w:rsidR="00BD5116" w:rsidRPr="008A4ECF">
        <w:rPr>
          <w:lang w:val="en-US"/>
        </w:rPr>
        <w:t xml:space="preserve">under-coverage </w:t>
      </w:r>
      <w:r w:rsidR="00323ADE" w:rsidRPr="008A4ECF">
        <w:rPr>
          <w:lang w:val="en-US"/>
        </w:rPr>
        <w:t xml:space="preserve">for Secondary School and </w:t>
      </w:r>
      <w:r w:rsidR="00A37240" w:rsidRPr="008A4ECF">
        <w:rPr>
          <w:lang w:val="en-US"/>
        </w:rPr>
        <w:t xml:space="preserve">a deeper one for </w:t>
      </w:r>
      <w:r w:rsidR="00323ADE" w:rsidRPr="008A4ECF">
        <w:rPr>
          <w:lang w:val="en-US"/>
        </w:rPr>
        <w:t>Preschool</w:t>
      </w:r>
      <w:r w:rsidR="00480ADF" w:rsidRPr="008A4ECF">
        <w:rPr>
          <w:lang w:val="en-US"/>
        </w:rPr>
        <w:t xml:space="preserve"> (</w:t>
      </w:r>
      <w:r w:rsidR="00125399" w:rsidRPr="008A4ECF">
        <w:rPr>
          <w:lang w:val="en-US"/>
        </w:rPr>
        <w:t>especially</w:t>
      </w:r>
      <w:r w:rsidR="00480ADF" w:rsidRPr="008A4ECF">
        <w:rPr>
          <w:lang w:val="en-US"/>
        </w:rPr>
        <w:t xml:space="preserve"> on rural area</w:t>
      </w:r>
      <w:r w:rsidR="00A37240" w:rsidRPr="008A4ECF">
        <w:rPr>
          <w:lang w:val="en-US"/>
        </w:rPr>
        <w:t xml:space="preserve"> and extreme poor communities</w:t>
      </w:r>
      <w:r w:rsidR="004C6A07" w:rsidRPr="008A4ECF">
        <w:rPr>
          <w:rStyle w:val="FootnoteReference"/>
          <w:lang w:val="en-US"/>
        </w:rPr>
        <w:footnoteReference w:id="1"/>
      </w:r>
      <w:r w:rsidR="00480ADF" w:rsidRPr="008A4ECF">
        <w:rPr>
          <w:lang w:val="en-US"/>
        </w:rPr>
        <w:t>)</w:t>
      </w:r>
      <w:r w:rsidRPr="008A4ECF">
        <w:rPr>
          <w:lang w:val="en-US"/>
        </w:rPr>
        <w:t xml:space="preserve">. </w:t>
      </w:r>
      <w:r w:rsidR="006003DD" w:rsidRPr="008A4ECF">
        <w:rPr>
          <w:lang w:val="en-US"/>
        </w:rPr>
        <w:t>Even though there have had important advances in Preschool coverage since 1985 until these days (see Appendix B.1)</w:t>
      </w:r>
      <w:r w:rsidR="00A41824" w:rsidRPr="008A4ECF">
        <w:rPr>
          <w:lang w:val="en-US"/>
        </w:rPr>
        <w:t>, there is still a lot of work to do. Th</w:t>
      </w:r>
      <w:r w:rsidR="00012B0F" w:rsidRPr="008A4ECF">
        <w:rPr>
          <w:lang w:val="en-US"/>
        </w:rPr>
        <w:t>is</w:t>
      </w:r>
      <w:r w:rsidR="00A41824" w:rsidRPr="008A4ECF">
        <w:rPr>
          <w:lang w:val="en-US"/>
        </w:rPr>
        <w:t xml:space="preserve"> is why</w:t>
      </w:r>
      <w:r w:rsidR="00125399" w:rsidRPr="008A4ECF">
        <w:rPr>
          <w:lang w:val="en-US"/>
        </w:rPr>
        <w:t xml:space="preserve"> </w:t>
      </w:r>
      <w:r w:rsidR="0079469D" w:rsidRPr="008A4ECF">
        <w:rPr>
          <w:lang w:val="en-US"/>
        </w:rPr>
        <w:t>the National Education Council</w:t>
      </w:r>
      <w:r w:rsidR="004C354A">
        <w:rPr>
          <w:lang w:val="en-US"/>
        </w:rPr>
        <w:t xml:space="preserve"> (CNE</w:t>
      </w:r>
      <w:r w:rsidR="00125399" w:rsidRPr="008A4ECF">
        <w:rPr>
          <w:lang w:val="en-US"/>
        </w:rPr>
        <w:t>)</w:t>
      </w:r>
      <w:r w:rsidR="0079469D" w:rsidRPr="008A4ECF">
        <w:rPr>
          <w:lang w:val="en-US"/>
        </w:rPr>
        <w:t xml:space="preserve"> is </w:t>
      </w:r>
      <w:r w:rsidR="0079469D" w:rsidRPr="008A4ECF">
        <w:rPr>
          <w:lang w:val="en-US"/>
        </w:rPr>
        <w:lastRenderedPageBreak/>
        <w:t>prioritizing full coverage</w:t>
      </w:r>
      <w:r w:rsidR="00125399" w:rsidRPr="008A4ECF">
        <w:rPr>
          <w:lang w:val="en-US"/>
        </w:rPr>
        <w:t xml:space="preserve"> in Preschool. </w:t>
      </w:r>
      <w:r w:rsidR="006F541C" w:rsidRPr="008A4ECF">
        <w:rPr>
          <w:lang w:val="en-US"/>
        </w:rPr>
        <w:t>Besides that</w:t>
      </w:r>
      <w:r w:rsidR="00E47D0A" w:rsidRPr="008A4ECF">
        <w:rPr>
          <w:lang w:val="en-US"/>
        </w:rPr>
        <w:t xml:space="preserve">, </w:t>
      </w:r>
      <w:r w:rsidR="00BD20F1" w:rsidRPr="008A4ECF">
        <w:rPr>
          <w:lang w:val="en-US"/>
        </w:rPr>
        <w:t>coverage</w:t>
      </w:r>
      <w:r w:rsidR="00BD20F1" w:rsidRPr="00BD20F1">
        <w:rPr>
          <w:lang w:val="en-US"/>
        </w:rPr>
        <w:t xml:space="preserve"> program is not considered a long-run c</w:t>
      </w:r>
      <w:r w:rsidR="00BD20F1">
        <w:rPr>
          <w:lang w:val="en-US"/>
        </w:rPr>
        <w:t>hallenge.</w:t>
      </w:r>
    </w:p>
    <w:p w:rsidR="00E47D0A" w:rsidRPr="002910CB" w:rsidRDefault="003019B4" w:rsidP="004C3BE4">
      <w:pPr>
        <w:spacing w:after="0"/>
        <w:jc w:val="center"/>
        <w:rPr>
          <w:b/>
          <w:bCs/>
          <w:color w:val="4F81BD" w:themeColor="accent1"/>
          <w:lang w:val="en-US"/>
        </w:rPr>
      </w:pPr>
      <w:bookmarkStart w:id="4" w:name="_Ref247470671"/>
      <w:r w:rsidRPr="002910CB">
        <w:rPr>
          <w:b/>
          <w:bCs/>
          <w:color w:val="4F81BD" w:themeColor="accent1"/>
          <w:lang w:val="en-US"/>
        </w:rPr>
        <w:t>Figure</w:t>
      </w:r>
      <w:bookmarkEnd w:id="4"/>
      <w:r w:rsidR="00C031C9" w:rsidRPr="00C031C9">
        <w:rPr>
          <w:b/>
          <w:bCs/>
          <w:color w:val="4F81BD" w:themeColor="accent1"/>
          <w:lang w:val="en-US"/>
        </w:rPr>
        <w:t xml:space="preserve"> </w:t>
      </w:r>
      <w:r w:rsidR="00C031C9">
        <w:rPr>
          <w:b/>
          <w:bCs/>
          <w:color w:val="4F81BD" w:themeColor="accent1"/>
          <w:lang w:val="en-US"/>
        </w:rPr>
        <w:t>3</w:t>
      </w:r>
      <w:r w:rsidR="0039238F" w:rsidRPr="002910CB">
        <w:rPr>
          <w:b/>
          <w:bCs/>
          <w:color w:val="4F81BD" w:themeColor="accent1"/>
          <w:lang w:val="en-US"/>
        </w:rPr>
        <w:t xml:space="preserve">: </w:t>
      </w:r>
      <w:r w:rsidR="00C271CD" w:rsidRPr="002910CB">
        <w:rPr>
          <w:b/>
          <w:bCs/>
          <w:color w:val="4F81BD" w:themeColor="accent1"/>
          <w:lang w:val="en-US"/>
        </w:rPr>
        <w:t>Education</w:t>
      </w:r>
      <w:r w:rsidR="002910CB">
        <w:rPr>
          <w:b/>
          <w:bCs/>
          <w:color w:val="4F81BD" w:themeColor="accent1"/>
          <w:lang w:val="en-US"/>
        </w:rPr>
        <w:t>al</w:t>
      </w:r>
      <w:r w:rsidR="00C271CD" w:rsidRPr="002910CB">
        <w:rPr>
          <w:b/>
          <w:bCs/>
          <w:color w:val="4F81BD" w:themeColor="accent1"/>
          <w:lang w:val="en-US"/>
        </w:rPr>
        <w:t xml:space="preserve"> coverage</w:t>
      </w:r>
      <w:r w:rsidR="0061273E">
        <w:rPr>
          <w:b/>
          <w:bCs/>
          <w:color w:val="4F81BD" w:themeColor="accent1"/>
          <w:lang w:val="en-US"/>
        </w:rPr>
        <w:t xml:space="preserve"> by age range</w:t>
      </w:r>
      <w:r w:rsidR="0039238F" w:rsidRPr="002910CB">
        <w:rPr>
          <w:b/>
          <w:bCs/>
          <w:color w:val="4F81BD" w:themeColor="accent1"/>
          <w:lang w:val="en-US"/>
        </w:rPr>
        <w:t xml:space="preserve">, </w:t>
      </w:r>
      <w:r w:rsidR="0061273E">
        <w:rPr>
          <w:b/>
          <w:bCs/>
          <w:color w:val="4F81BD" w:themeColor="accent1"/>
          <w:lang w:val="en-US"/>
        </w:rPr>
        <w:t>s</w:t>
      </w:r>
      <w:r w:rsidR="002910CB">
        <w:rPr>
          <w:b/>
          <w:bCs/>
          <w:color w:val="4F81BD" w:themeColor="accent1"/>
          <w:lang w:val="en-US"/>
        </w:rPr>
        <w:t>ex</w:t>
      </w:r>
      <w:r w:rsidR="0039238F" w:rsidRPr="002910CB">
        <w:rPr>
          <w:b/>
          <w:bCs/>
          <w:color w:val="4F81BD" w:themeColor="accent1"/>
          <w:lang w:val="en-US"/>
        </w:rPr>
        <w:t xml:space="preserve"> </w:t>
      </w:r>
      <w:r w:rsidR="002910CB">
        <w:rPr>
          <w:b/>
          <w:bCs/>
          <w:color w:val="4F81BD" w:themeColor="accent1"/>
          <w:lang w:val="en-US"/>
        </w:rPr>
        <w:t xml:space="preserve">and </w:t>
      </w:r>
      <w:r w:rsidR="005A547B">
        <w:rPr>
          <w:b/>
          <w:bCs/>
          <w:color w:val="4F81BD" w:themeColor="accent1"/>
          <w:lang w:val="en-US"/>
        </w:rPr>
        <w:t xml:space="preserve">urban/rural </w:t>
      </w:r>
      <w:r w:rsidR="002910CB">
        <w:rPr>
          <w:b/>
          <w:bCs/>
          <w:color w:val="4F81BD" w:themeColor="accent1"/>
          <w:lang w:val="en-US"/>
        </w:rPr>
        <w:t xml:space="preserve">area </w:t>
      </w:r>
      <w:r w:rsidR="0039238F" w:rsidRPr="002910CB">
        <w:rPr>
          <w:b/>
          <w:bCs/>
          <w:color w:val="4F81BD" w:themeColor="accent1"/>
          <w:lang w:val="en-US"/>
        </w:rPr>
        <w:t>(2008)</w:t>
      </w:r>
    </w:p>
    <w:p w:rsidR="003C5FE7" w:rsidRDefault="002C3809" w:rsidP="004C3BE4">
      <w:pPr>
        <w:spacing w:after="0"/>
        <w:jc w:val="center"/>
        <w:rPr>
          <w:lang w:val="es-PE"/>
        </w:rPr>
      </w:pPr>
      <w:r w:rsidRPr="002C3809">
        <w:rPr>
          <w:noProof/>
          <w:lang w:val="en-US"/>
        </w:rPr>
        <w:drawing>
          <wp:inline distT="0" distB="0" distL="0" distR="0">
            <wp:extent cx="5156799" cy="2156604"/>
            <wp:effectExtent l="19050" t="0" r="24801" b="0"/>
            <wp:docPr id="24"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D53569" w:rsidRPr="00AB2434" w:rsidRDefault="0084398C" w:rsidP="00640AF6">
      <w:pPr>
        <w:pStyle w:val="NoSpacing"/>
        <w:spacing w:line="276" w:lineRule="auto"/>
        <w:rPr>
          <w:sz w:val="16"/>
          <w:szCs w:val="16"/>
          <w:lang w:val="en-US"/>
        </w:rPr>
      </w:pPr>
      <w:r w:rsidRPr="00256363">
        <w:rPr>
          <w:sz w:val="16"/>
          <w:szCs w:val="16"/>
          <w:lang w:val="en-US"/>
        </w:rPr>
        <w:t>Source</w:t>
      </w:r>
      <w:r w:rsidR="00D53569" w:rsidRPr="00256363">
        <w:rPr>
          <w:sz w:val="16"/>
          <w:szCs w:val="16"/>
          <w:lang w:val="en-US"/>
        </w:rPr>
        <w:t xml:space="preserve">: </w:t>
      </w:r>
      <w:r w:rsidR="00256363" w:rsidRPr="00256363">
        <w:rPr>
          <w:sz w:val="16"/>
          <w:szCs w:val="16"/>
          <w:lang w:val="en-US"/>
        </w:rPr>
        <w:t>Ministry of Education (MINEDU)</w:t>
      </w:r>
      <w:r w:rsidR="00256363">
        <w:rPr>
          <w:sz w:val="16"/>
          <w:szCs w:val="16"/>
          <w:lang w:val="en-US"/>
        </w:rPr>
        <w:t xml:space="preserve"> - </w:t>
      </w:r>
      <w:proofErr w:type="spellStart"/>
      <w:r w:rsidR="00D53569" w:rsidRPr="00AB2434">
        <w:rPr>
          <w:sz w:val="16"/>
          <w:szCs w:val="16"/>
          <w:lang w:val="en-US"/>
        </w:rPr>
        <w:t>Estadística</w:t>
      </w:r>
      <w:proofErr w:type="spellEnd"/>
      <w:r w:rsidR="00D53569" w:rsidRPr="00AB2434">
        <w:rPr>
          <w:sz w:val="16"/>
          <w:szCs w:val="16"/>
          <w:lang w:val="en-US"/>
        </w:rPr>
        <w:t xml:space="preserve"> de </w:t>
      </w:r>
      <w:proofErr w:type="spellStart"/>
      <w:r w:rsidR="00D53569" w:rsidRPr="00AB2434">
        <w:rPr>
          <w:sz w:val="16"/>
          <w:szCs w:val="16"/>
          <w:lang w:val="en-US"/>
        </w:rPr>
        <w:t>Calidad</w:t>
      </w:r>
      <w:proofErr w:type="spellEnd"/>
      <w:r w:rsidR="00D53569" w:rsidRPr="00AB2434">
        <w:rPr>
          <w:sz w:val="16"/>
          <w:szCs w:val="16"/>
          <w:lang w:val="en-US"/>
        </w:rPr>
        <w:t xml:space="preserve"> </w:t>
      </w:r>
      <w:proofErr w:type="spellStart"/>
      <w:r w:rsidR="00D53569" w:rsidRPr="00AB2434">
        <w:rPr>
          <w:sz w:val="16"/>
          <w:szCs w:val="16"/>
          <w:lang w:val="en-US"/>
        </w:rPr>
        <w:t>Educati</w:t>
      </w:r>
      <w:r w:rsidRPr="00AB2434">
        <w:rPr>
          <w:sz w:val="16"/>
          <w:szCs w:val="16"/>
          <w:lang w:val="en-US"/>
        </w:rPr>
        <w:t>va</w:t>
      </w:r>
      <w:proofErr w:type="spellEnd"/>
      <w:r w:rsidRPr="00AB2434">
        <w:rPr>
          <w:sz w:val="16"/>
          <w:szCs w:val="16"/>
          <w:lang w:val="en-US"/>
        </w:rPr>
        <w:t xml:space="preserve"> (ESCALE). </w:t>
      </w:r>
    </w:p>
    <w:p w:rsidR="00D53569" w:rsidRPr="00AB2434" w:rsidRDefault="00D53569" w:rsidP="00640AF6">
      <w:pPr>
        <w:pStyle w:val="NoSpacing"/>
        <w:spacing w:line="276" w:lineRule="auto"/>
        <w:rPr>
          <w:lang w:val="en-US"/>
        </w:rPr>
      </w:pPr>
    </w:p>
    <w:p w:rsidR="004E21F9" w:rsidRPr="00401D2A" w:rsidRDefault="004E21F9" w:rsidP="00640AF6">
      <w:pPr>
        <w:jc w:val="both"/>
        <w:rPr>
          <w:lang w:val="en-US"/>
        </w:rPr>
      </w:pPr>
      <w:r w:rsidRPr="004E21F9">
        <w:rPr>
          <w:lang w:val="en-US"/>
        </w:rPr>
        <w:t>Nevertheless, one of the m</w:t>
      </w:r>
      <w:r>
        <w:rPr>
          <w:lang w:val="en-US"/>
        </w:rPr>
        <w:t>ain social problems</w:t>
      </w:r>
      <w:r w:rsidR="00A34380">
        <w:rPr>
          <w:lang w:val="en-US"/>
        </w:rPr>
        <w:t xml:space="preserve"> in Peru is the education</w:t>
      </w:r>
      <w:r w:rsidR="003272EB">
        <w:rPr>
          <w:lang w:val="en-US"/>
        </w:rPr>
        <w:t>al</w:t>
      </w:r>
      <w:r w:rsidR="00A34380">
        <w:rPr>
          <w:lang w:val="en-US"/>
        </w:rPr>
        <w:t xml:space="preserve"> quality</w:t>
      </w:r>
      <w:r w:rsidR="003272EB">
        <w:rPr>
          <w:lang w:val="en-US"/>
        </w:rPr>
        <w:t xml:space="preserve">. </w:t>
      </w:r>
      <w:r w:rsidR="003272EB" w:rsidRPr="00EF66B5">
        <w:rPr>
          <w:lang w:val="en-US"/>
        </w:rPr>
        <w:t>The PISA 200</w:t>
      </w:r>
      <w:r w:rsidR="003F08A0">
        <w:rPr>
          <w:lang w:val="en-US"/>
        </w:rPr>
        <w:t>0</w:t>
      </w:r>
      <w:r w:rsidR="003272EB" w:rsidRPr="00EF66B5">
        <w:rPr>
          <w:lang w:val="en-US"/>
        </w:rPr>
        <w:t xml:space="preserve"> evaluation</w:t>
      </w:r>
      <w:r w:rsidR="003272EB">
        <w:rPr>
          <w:rStyle w:val="FootnoteReference"/>
          <w:lang w:val="en-US"/>
        </w:rPr>
        <w:footnoteReference w:id="2"/>
      </w:r>
      <w:r w:rsidR="00AC3FDA" w:rsidRPr="00EF66B5">
        <w:rPr>
          <w:lang w:val="en-US"/>
        </w:rPr>
        <w:t xml:space="preserve"> showed </w:t>
      </w:r>
      <w:r w:rsidR="004C354A">
        <w:rPr>
          <w:lang w:val="en-US"/>
        </w:rPr>
        <w:t>dramatic</w:t>
      </w:r>
      <w:r w:rsidR="00E25695" w:rsidRPr="00EF66B5">
        <w:rPr>
          <w:lang w:val="en-US"/>
        </w:rPr>
        <w:t xml:space="preserve"> results: </w:t>
      </w:r>
      <w:r w:rsidR="004A4F72">
        <w:rPr>
          <w:lang w:val="en-US"/>
        </w:rPr>
        <w:t>Peru ranked</w:t>
      </w:r>
      <w:r w:rsidR="00EF66B5" w:rsidRPr="00EF66B5">
        <w:rPr>
          <w:lang w:val="en-US"/>
        </w:rPr>
        <w:t xml:space="preserve"> the l</w:t>
      </w:r>
      <w:r w:rsidR="00EF66B5">
        <w:rPr>
          <w:lang w:val="en-US"/>
        </w:rPr>
        <w:t>owest learning performance</w:t>
      </w:r>
      <w:r w:rsidR="00EF66B5" w:rsidRPr="00EF66B5">
        <w:rPr>
          <w:lang w:val="en-US"/>
        </w:rPr>
        <w:t xml:space="preserve"> </w:t>
      </w:r>
      <w:r w:rsidR="00EF66B5">
        <w:rPr>
          <w:lang w:val="en-US"/>
        </w:rPr>
        <w:t>of all the participant countries</w:t>
      </w:r>
      <w:r w:rsidR="00005CAB">
        <w:rPr>
          <w:lang w:val="en-US"/>
        </w:rPr>
        <w:t xml:space="preserve"> (for both Math and Reading </w:t>
      </w:r>
      <w:r w:rsidR="00401D2A">
        <w:rPr>
          <w:lang w:val="en-US"/>
        </w:rPr>
        <w:t>tests</w:t>
      </w:r>
      <w:r w:rsidR="00005CAB">
        <w:rPr>
          <w:lang w:val="en-US"/>
        </w:rPr>
        <w:t>)</w:t>
      </w:r>
      <w:r w:rsidR="00EF66B5">
        <w:rPr>
          <w:lang w:val="en-US"/>
        </w:rPr>
        <w:t>.</w:t>
      </w:r>
      <w:r w:rsidR="00401D2A">
        <w:rPr>
          <w:lang w:val="en-US"/>
        </w:rPr>
        <w:t xml:space="preserve"> </w:t>
      </w:r>
      <w:r w:rsidR="00401D2A" w:rsidRPr="00401D2A">
        <w:rPr>
          <w:lang w:val="en-US"/>
        </w:rPr>
        <w:t xml:space="preserve">As can be seen in Figure 4, Japan ranked first </w:t>
      </w:r>
      <w:r w:rsidR="00777A34">
        <w:rPr>
          <w:lang w:val="en-US"/>
        </w:rPr>
        <w:t xml:space="preserve">in Math </w:t>
      </w:r>
      <w:r w:rsidR="00401D2A" w:rsidRPr="00401D2A">
        <w:rPr>
          <w:lang w:val="en-US"/>
        </w:rPr>
        <w:t>w</w:t>
      </w:r>
      <w:r w:rsidR="00401D2A">
        <w:rPr>
          <w:lang w:val="en-US"/>
        </w:rPr>
        <w:t>ith 557 points, whereas</w:t>
      </w:r>
      <w:r w:rsidR="00576B11">
        <w:rPr>
          <w:lang w:val="en-US"/>
        </w:rPr>
        <w:t xml:space="preserve"> Peru</w:t>
      </w:r>
      <w:r w:rsidR="002C4248">
        <w:rPr>
          <w:lang w:val="en-US"/>
        </w:rPr>
        <w:t>, with 312 points,</w:t>
      </w:r>
      <w:r w:rsidR="00576B11">
        <w:rPr>
          <w:lang w:val="en-US"/>
        </w:rPr>
        <w:t xml:space="preserve"> c</w:t>
      </w:r>
      <w:r w:rsidR="002C4248">
        <w:rPr>
          <w:lang w:val="en-US"/>
        </w:rPr>
        <w:t>ould not</w:t>
      </w:r>
      <w:r w:rsidR="00576B11">
        <w:rPr>
          <w:lang w:val="en-US"/>
        </w:rPr>
        <w:t xml:space="preserve"> even achieve the </w:t>
      </w:r>
      <w:r w:rsidR="002C4248">
        <w:rPr>
          <w:lang w:val="en-US"/>
        </w:rPr>
        <w:t>minimum</w:t>
      </w:r>
      <w:r w:rsidR="001D1D12">
        <w:rPr>
          <w:lang w:val="en-US"/>
        </w:rPr>
        <w:t xml:space="preserve"> required level</w:t>
      </w:r>
      <w:r w:rsidR="00E91E9C">
        <w:rPr>
          <w:lang w:val="en-US"/>
        </w:rPr>
        <w:t>.</w:t>
      </w:r>
      <w:r w:rsidR="00777A34">
        <w:rPr>
          <w:lang w:val="en-US"/>
        </w:rPr>
        <w:t xml:space="preserve"> Something similar happened for Reading</w:t>
      </w:r>
      <w:r w:rsidR="006B5C3F">
        <w:rPr>
          <w:lang w:val="en-US"/>
        </w:rPr>
        <w:t>: Peru got 307 points and ranked last.</w:t>
      </w:r>
    </w:p>
    <w:p w:rsidR="006B5C3F" w:rsidRDefault="008E5962" w:rsidP="00640AF6">
      <w:pPr>
        <w:jc w:val="both"/>
        <w:rPr>
          <w:lang w:val="en-US"/>
        </w:rPr>
      </w:pPr>
      <w:r w:rsidRPr="008E5962">
        <w:rPr>
          <w:lang w:val="en-US"/>
        </w:rPr>
        <w:t xml:space="preserve">When results </w:t>
      </w:r>
      <w:r w:rsidR="004A4F72">
        <w:rPr>
          <w:lang w:val="en-US"/>
        </w:rPr>
        <w:t>were</w:t>
      </w:r>
      <w:r w:rsidRPr="008E5962">
        <w:rPr>
          <w:lang w:val="en-US"/>
        </w:rPr>
        <w:t xml:space="preserve"> review</w:t>
      </w:r>
      <w:r>
        <w:rPr>
          <w:lang w:val="en-US"/>
        </w:rPr>
        <w:t>e</w:t>
      </w:r>
      <w:r w:rsidR="004C354A">
        <w:rPr>
          <w:lang w:val="en-US"/>
        </w:rPr>
        <w:t>d o</w:t>
      </w:r>
      <w:r>
        <w:rPr>
          <w:lang w:val="en-US"/>
        </w:rPr>
        <w:t xml:space="preserve">n detail, </w:t>
      </w:r>
      <w:r w:rsidR="005A28F2">
        <w:rPr>
          <w:lang w:val="en-US"/>
        </w:rPr>
        <w:t xml:space="preserve">it </w:t>
      </w:r>
      <w:r w:rsidR="004A4F72">
        <w:rPr>
          <w:lang w:val="en-US"/>
        </w:rPr>
        <w:t>was</w:t>
      </w:r>
      <w:r w:rsidR="005A28F2">
        <w:rPr>
          <w:lang w:val="en-US"/>
        </w:rPr>
        <w:t xml:space="preserve"> found no significant difference between </w:t>
      </w:r>
      <w:r w:rsidR="006D1BD2">
        <w:rPr>
          <w:lang w:val="en-US"/>
        </w:rPr>
        <w:t xml:space="preserve">test score of </w:t>
      </w:r>
      <w:r w:rsidR="005A28F2">
        <w:rPr>
          <w:lang w:val="en-US"/>
        </w:rPr>
        <w:t>men and women</w:t>
      </w:r>
      <w:r w:rsidR="00EF2E22">
        <w:rPr>
          <w:lang w:val="en-US"/>
        </w:rPr>
        <w:t xml:space="preserve">. </w:t>
      </w:r>
      <w:r w:rsidR="00EF2E22" w:rsidRPr="006D1BD2">
        <w:rPr>
          <w:lang w:val="en-US"/>
        </w:rPr>
        <w:t xml:space="preserve">However, </w:t>
      </w:r>
      <w:r w:rsidR="006D1BD2" w:rsidRPr="006D1BD2">
        <w:rPr>
          <w:lang w:val="en-US"/>
        </w:rPr>
        <w:t xml:space="preserve">when public schools with private </w:t>
      </w:r>
      <w:r w:rsidR="004C354A">
        <w:rPr>
          <w:lang w:val="en-US"/>
        </w:rPr>
        <w:t>schools were compared</w:t>
      </w:r>
      <w:r w:rsidR="006D1BD2">
        <w:rPr>
          <w:lang w:val="en-US"/>
        </w:rPr>
        <w:t>,</w:t>
      </w:r>
      <w:r w:rsidR="00167961">
        <w:rPr>
          <w:lang w:val="en-US"/>
        </w:rPr>
        <w:t xml:space="preserve"> a huge gap </w:t>
      </w:r>
      <w:r w:rsidR="006D1BD2">
        <w:rPr>
          <w:lang w:val="en-US"/>
        </w:rPr>
        <w:t>was found</w:t>
      </w:r>
      <w:r w:rsidR="00EE30B8">
        <w:rPr>
          <w:lang w:val="en-US"/>
        </w:rPr>
        <w:t xml:space="preserve">, </w:t>
      </w:r>
      <w:r w:rsidR="004A4F72">
        <w:rPr>
          <w:lang w:val="en-US"/>
        </w:rPr>
        <w:t xml:space="preserve">showing clearly that public education </w:t>
      </w:r>
      <w:r w:rsidR="0076326E">
        <w:rPr>
          <w:lang w:val="en-US"/>
        </w:rPr>
        <w:t>needs a lot of effort to improve quality</w:t>
      </w:r>
      <w:r w:rsidR="00DB042F">
        <w:rPr>
          <w:lang w:val="en-US"/>
        </w:rPr>
        <w:t>.</w:t>
      </w:r>
    </w:p>
    <w:p w:rsidR="00F31DDD" w:rsidRPr="00401D2A" w:rsidRDefault="00401D2A" w:rsidP="00576B11">
      <w:pPr>
        <w:pStyle w:val="Caption"/>
        <w:spacing w:after="0" w:line="276" w:lineRule="auto"/>
        <w:jc w:val="center"/>
        <w:rPr>
          <w:lang w:val="en-US"/>
        </w:rPr>
      </w:pPr>
      <w:bookmarkStart w:id="5" w:name="_Ref247562618"/>
      <w:r w:rsidRPr="00401D2A">
        <w:rPr>
          <w:sz w:val="22"/>
          <w:szCs w:val="22"/>
          <w:lang w:val="en-US"/>
        </w:rPr>
        <w:t>Figure</w:t>
      </w:r>
      <w:r w:rsidR="00F31DDD" w:rsidRPr="00401D2A">
        <w:rPr>
          <w:sz w:val="22"/>
          <w:szCs w:val="22"/>
          <w:lang w:val="en-US"/>
        </w:rPr>
        <w:t xml:space="preserve"> </w:t>
      </w:r>
      <w:bookmarkEnd w:id="5"/>
      <w:r w:rsidR="00874848" w:rsidRPr="00874848">
        <w:rPr>
          <w:sz w:val="22"/>
          <w:szCs w:val="22"/>
          <w:lang w:val="en-US"/>
        </w:rPr>
        <w:t>4</w:t>
      </w:r>
      <w:r w:rsidR="00F31DDD" w:rsidRPr="00401D2A">
        <w:rPr>
          <w:sz w:val="22"/>
          <w:szCs w:val="22"/>
          <w:lang w:val="en-US"/>
        </w:rPr>
        <w:t xml:space="preserve">: </w:t>
      </w:r>
      <w:r w:rsidR="007404E6" w:rsidRPr="00401D2A">
        <w:rPr>
          <w:sz w:val="22"/>
          <w:szCs w:val="22"/>
          <w:lang w:val="en-US"/>
        </w:rPr>
        <w:t xml:space="preserve">Math and Reading </w:t>
      </w:r>
      <w:r w:rsidR="007404E6">
        <w:rPr>
          <w:sz w:val="22"/>
          <w:szCs w:val="22"/>
          <w:lang w:val="en-US"/>
        </w:rPr>
        <w:t xml:space="preserve">Score Ranking for </w:t>
      </w:r>
      <w:r w:rsidR="00D264B8">
        <w:rPr>
          <w:sz w:val="22"/>
          <w:szCs w:val="22"/>
          <w:lang w:val="en-US"/>
        </w:rPr>
        <w:t>PISA 2000</w:t>
      </w:r>
      <w:r w:rsidRPr="00401D2A">
        <w:rPr>
          <w:sz w:val="22"/>
          <w:szCs w:val="22"/>
          <w:lang w:val="en-US"/>
        </w:rPr>
        <w:t xml:space="preserve"> </w:t>
      </w:r>
      <w:r w:rsidR="007404E6">
        <w:rPr>
          <w:sz w:val="22"/>
          <w:szCs w:val="22"/>
          <w:lang w:val="en-US"/>
        </w:rPr>
        <w:t>evaluation</w:t>
      </w:r>
      <w:r w:rsidRPr="00401D2A">
        <w:rPr>
          <w:sz w:val="22"/>
          <w:szCs w:val="22"/>
          <w:lang w:val="en-US"/>
        </w:rPr>
        <w:t xml:space="preserve"> </w:t>
      </w:r>
      <w:r w:rsidR="00F31DDD" w:rsidRPr="00F31DDD">
        <w:rPr>
          <w:noProof/>
          <w:lang w:val="en-US"/>
        </w:rPr>
        <w:drawing>
          <wp:inline distT="0" distB="0" distL="0" distR="0">
            <wp:extent cx="2600325" cy="2571750"/>
            <wp:effectExtent l="19050" t="0" r="9525" b="0"/>
            <wp:docPr id="35"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00F31DDD" w:rsidRPr="00F31DDD">
        <w:rPr>
          <w:noProof/>
          <w:lang w:val="en-US"/>
        </w:rPr>
        <w:drawing>
          <wp:inline distT="0" distB="0" distL="0" distR="0">
            <wp:extent cx="2600325" cy="2571750"/>
            <wp:effectExtent l="19050" t="0" r="9525" b="0"/>
            <wp:docPr id="36"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2A1A73" w:rsidRPr="00F60E62" w:rsidRDefault="003B29B3" w:rsidP="00640AF6">
      <w:pPr>
        <w:rPr>
          <w:sz w:val="16"/>
          <w:szCs w:val="16"/>
          <w:lang w:val="en-US"/>
        </w:rPr>
      </w:pPr>
      <w:r w:rsidRPr="00F60E62">
        <w:rPr>
          <w:sz w:val="16"/>
          <w:szCs w:val="16"/>
          <w:lang w:val="en-US"/>
        </w:rPr>
        <w:t>Source:</w:t>
      </w:r>
      <w:r w:rsidR="00302506">
        <w:rPr>
          <w:sz w:val="16"/>
          <w:szCs w:val="16"/>
          <w:lang w:val="en-US"/>
        </w:rPr>
        <w:t xml:space="preserve"> PISA 2000.</w:t>
      </w:r>
    </w:p>
    <w:p w:rsidR="00100795" w:rsidRPr="00C05E74" w:rsidRDefault="00100795" w:rsidP="00640AF6">
      <w:pPr>
        <w:jc w:val="both"/>
        <w:rPr>
          <w:lang w:val="en-US"/>
        </w:rPr>
      </w:pPr>
      <w:r w:rsidRPr="00100795">
        <w:rPr>
          <w:lang w:val="en-US"/>
        </w:rPr>
        <w:lastRenderedPageBreak/>
        <w:t>Similar conclusions were obtained w</w:t>
      </w:r>
      <w:r>
        <w:rPr>
          <w:lang w:val="en-US"/>
        </w:rPr>
        <w:t>hen national evaluations</w:t>
      </w:r>
      <w:r w:rsidR="005915D0">
        <w:rPr>
          <w:lang w:val="en-US"/>
        </w:rPr>
        <w:t xml:space="preserve"> were analyzed. </w:t>
      </w:r>
      <w:r w:rsidR="005915D0" w:rsidRPr="00284C6B">
        <w:rPr>
          <w:lang w:val="en-US"/>
        </w:rPr>
        <w:t xml:space="preserve">The </w:t>
      </w:r>
      <w:r w:rsidR="00B636FA">
        <w:rPr>
          <w:lang w:val="en-US"/>
        </w:rPr>
        <w:t>“</w:t>
      </w:r>
      <w:r w:rsidR="004C354A">
        <w:rPr>
          <w:lang w:val="en-US"/>
        </w:rPr>
        <w:t>National Student Evaluation</w:t>
      </w:r>
      <w:r w:rsidR="00B636FA">
        <w:rPr>
          <w:lang w:val="en-US"/>
        </w:rPr>
        <w:t>”</w:t>
      </w:r>
      <w:r w:rsidR="005915D0" w:rsidRPr="00284C6B">
        <w:rPr>
          <w:lang w:val="en-US"/>
        </w:rPr>
        <w:t xml:space="preserve"> (ECE) is the main </w:t>
      </w:r>
      <w:r w:rsidR="00284C6B" w:rsidRPr="00284C6B">
        <w:rPr>
          <w:lang w:val="en-US"/>
        </w:rPr>
        <w:t>nationa</w:t>
      </w:r>
      <w:r w:rsidR="00284C6B">
        <w:rPr>
          <w:lang w:val="en-US"/>
        </w:rPr>
        <w:t xml:space="preserve">l </w:t>
      </w:r>
      <w:r w:rsidR="00284C6B" w:rsidRPr="00284C6B">
        <w:rPr>
          <w:lang w:val="en-US"/>
        </w:rPr>
        <w:t>test</w:t>
      </w:r>
      <w:r w:rsidR="00CF3DA4">
        <w:rPr>
          <w:lang w:val="en-US"/>
        </w:rPr>
        <w:t xml:space="preserve">, </w:t>
      </w:r>
      <w:r w:rsidR="004C354A">
        <w:rPr>
          <w:lang w:val="en-US"/>
        </w:rPr>
        <w:t>administered</w:t>
      </w:r>
      <w:r w:rsidR="00CF3DA4">
        <w:rPr>
          <w:lang w:val="en-US"/>
        </w:rPr>
        <w:t xml:space="preserve"> annually by the MINEDU.</w:t>
      </w:r>
      <w:r w:rsidR="00D53F72">
        <w:rPr>
          <w:lang w:val="en-US"/>
        </w:rPr>
        <w:t xml:space="preserve"> </w:t>
      </w:r>
      <w:r w:rsidR="00D53F72" w:rsidRPr="00C05E74">
        <w:rPr>
          <w:lang w:val="en-US"/>
        </w:rPr>
        <w:t xml:space="preserve">Table 1 </w:t>
      </w:r>
      <w:r w:rsidR="004C354A" w:rsidRPr="00C05E74">
        <w:rPr>
          <w:lang w:val="en-US"/>
        </w:rPr>
        <w:t>show</w:t>
      </w:r>
      <w:r w:rsidR="00B636FA" w:rsidRPr="00C05E74">
        <w:rPr>
          <w:lang w:val="en-US"/>
        </w:rPr>
        <w:t xml:space="preserve"> </w:t>
      </w:r>
      <w:r w:rsidR="00D53F72" w:rsidRPr="00C05E74">
        <w:rPr>
          <w:lang w:val="en-US"/>
        </w:rPr>
        <w:t>t</w:t>
      </w:r>
      <w:r w:rsidR="00B636FA" w:rsidRPr="00C05E74">
        <w:rPr>
          <w:lang w:val="en-US"/>
        </w:rPr>
        <w:t>he 2008</w:t>
      </w:r>
      <w:r w:rsidR="009358C5" w:rsidRPr="00C05E74">
        <w:rPr>
          <w:lang w:val="en-US"/>
        </w:rPr>
        <w:t xml:space="preserve"> </w:t>
      </w:r>
      <w:r w:rsidR="004C354A" w:rsidRPr="00C05E74">
        <w:rPr>
          <w:lang w:val="en-US"/>
        </w:rPr>
        <w:t xml:space="preserve">ECE </w:t>
      </w:r>
      <w:r w:rsidR="009358C5" w:rsidRPr="00C05E74">
        <w:rPr>
          <w:lang w:val="en-US"/>
        </w:rPr>
        <w:t>results</w:t>
      </w:r>
      <w:r w:rsidR="004C354A">
        <w:rPr>
          <w:lang w:val="en-US"/>
        </w:rPr>
        <w:t>;</w:t>
      </w:r>
      <w:r w:rsidR="00C05E74" w:rsidRPr="00C05E74">
        <w:rPr>
          <w:lang w:val="en-US"/>
        </w:rPr>
        <w:t xml:space="preserve"> it is quite e</w:t>
      </w:r>
      <w:r w:rsidR="00C05E74">
        <w:rPr>
          <w:lang w:val="en-US"/>
        </w:rPr>
        <w:t>vident</w:t>
      </w:r>
      <w:r w:rsidR="005476FD">
        <w:rPr>
          <w:lang w:val="en-US"/>
        </w:rPr>
        <w:t xml:space="preserve"> the </w:t>
      </w:r>
      <w:r w:rsidR="00A74299">
        <w:rPr>
          <w:lang w:val="en-US"/>
        </w:rPr>
        <w:t>low quality performance. In Reading, just 16% of students achieved the second level, while 53.1%</w:t>
      </w:r>
      <w:r w:rsidR="00EB445A">
        <w:rPr>
          <w:lang w:val="en-US"/>
        </w:rPr>
        <w:t xml:space="preserve"> got level 1 and 30% were </w:t>
      </w:r>
      <w:r w:rsidR="00EA06EF">
        <w:rPr>
          <w:lang w:val="en-US"/>
        </w:rPr>
        <w:t>below</w:t>
      </w:r>
      <w:r w:rsidR="00EB445A">
        <w:rPr>
          <w:lang w:val="en-US"/>
        </w:rPr>
        <w:t xml:space="preserve"> it.</w:t>
      </w:r>
      <w:r w:rsidR="00EA06EF">
        <w:rPr>
          <w:lang w:val="en-US"/>
        </w:rPr>
        <w:t xml:space="preserve"> In the case of Math</w:t>
      </w:r>
      <w:r w:rsidR="004C354A">
        <w:rPr>
          <w:lang w:val="en-US"/>
        </w:rPr>
        <w:t>, it</w:t>
      </w:r>
      <w:r w:rsidR="00EA06EF">
        <w:rPr>
          <w:lang w:val="en-US"/>
        </w:rPr>
        <w:t xml:space="preserve"> is worst: just 9.7% could achieve the highest level and 54.1% of students were below level 1.</w:t>
      </w:r>
      <w:r w:rsidR="001C2BF4">
        <w:rPr>
          <w:lang w:val="en-US"/>
        </w:rPr>
        <w:t xml:space="preserve"> Moreover, it was also clear the </w:t>
      </w:r>
      <w:r w:rsidR="004C354A">
        <w:rPr>
          <w:lang w:val="en-US"/>
        </w:rPr>
        <w:t xml:space="preserve">existence of </w:t>
      </w:r>
      <w:r w:rsidR="001C2BF4">
        <w:rPr>
          <w:lang w:val="en-US"/>
        </w:rPr>
        <w:t>p</w:t>
      </w:r>
      <w:r w:rsidR="005476FD">
        <w:rPr>
          <w:lang w:val="en-US"/>
        </w:rPr>
        <w:t>rivate/public gap, as well as the urban/rural gap.</w:t>
      </w:r>
      <w:r w:rsidR="00A74299">
        <w:rPr>
          <w:lang w:val="en-US"/>
        </w:rPr>
        <w:t xml:space="preserve"> </w:t>
      </w:r>
    </w:p>
    <w:p w:rsidR="00211AAB" w:rsidRPr="005A0EAA" w:rsidRDefault="00D53F72" w:rsidP="004C3BE4">
      <w:pPr>
        <w:pStyle w:val="Caption"/>
        <w:spacing w:after="0" w:line="276" w:lineRule="auto"/>
        <w:ind w:left="-426" w:right="-283"/>
        <w:jc w:val="center"/>
        <w:rPr>
          <w:rFonts w:cs="Arial"/>
          <w:sz w:val="22"/>
          <w:szCs w:val="22"/>
          <w:lang w:val="en-US"/>
        </w:rPr>
      </w:pPr>
      <w:bookmarkStart w:id="6" w:name="_Ref245987217"/>
      <w:r w:rsidRPr="005A0EAA">
        <w:rPr>
          <w:rFonts w:cs="Arial"/>
          <w:sz w:val="22"/>
          <w:szCs w:val="22"/>
          <w:lang w:val="en-US"/>
        </w:rPr>
        <w:t>Table</w:t>
      </w:r>
      <w:r w:rsidR="00B749CD" w:rsidRPr="005A0EAA">
        <w:rPr>
          <w:rFonts w:cs="Arial"/>
          <w:sz w:val="22"/>
          <w:szCs w:val="22"/>
          <w:lang w:val="en-US"/>
        </w:rPr>
        <w:t xml:space="preserve"> </w:t>
      </w:r>
      <w:r w:rsidR="0019273C" w:rsidRPr="005A0EAA">
        <w:rPr>
          <w:rFonts w:cs="Arial"/>
          <w:sz w:val="22"/>
          <w:szCs w:val="22"/>
        </w:rPr>
        <w:fldChar w:fldCharType="begin"/>
      </w:r>
      <w:r w:rsidR="00B749CD" w:rsidRPr="005A0EAA">
        <w:rPr>
          <w:rFonts w:cs="Arial"/>
          <w:sz w:val="22"/>
          <w:szCs w:val="22"/>
          <w:lang w:val="en-US"/>
        </w:rPr>
        <w:instrText xml:space="preserve"> SEQ Cuadro \* ARABIC </w:instrText>
      </w:r>
      <w:r w:rsidR="0019273C" w:rsidRPr="005A0EAA">
        <w:rPr>
          <w:rFonts w:cs="Arial"/>
          <w:sz w:val="22"/>
          <w:szCs w:val="22"/>
        </w:rPr>
        <w:fldChar w:fldCharType="separate"/>
      </w:r>
      <w:r w:rsidR="001A62FF">
        <w:rPr>
          <w:rFonts w:cs="Arial"/>
          <w:noProof/>
          <w:sz w:val="22"/>
          <w:szCs w:val="22"/>
          <w:lang w:val="en-US"/>
        </w:rPr>
        <w:t>1</w:t>
      </w:r>
      <w:r w:rsidR="0019273C" w:rsidRPr="005A0EAA">
        <w:rPr>
          <w:rFonts w:cs="Arial"/>
          <w:sz w:val="22"/>
          <w:szCs w:val="22"/>
        </w:rPr>
        <w:fldChar w:fldCharType="end"/>
      </w:r>
      <w:bookmarkEnd w:id="6"/>
      <w:r w:rsidR="00B749CD" w:rsidRPr="005A0EAA">
        <w:rPr>
          <w:rFonts w:cs="Arial"/>
          <w:sz w:val="22"/>
          <w:szCs w:val="22"/>
          <w:lang w:val="en-US"/>
        </w:rPr>
        <w:t xml:space="preserve">: </w:t>
      </w:r>
      <w:r w:rsidR="00211AAB" w:rsidRPr="005A0EAA">
        <w:rPr>
          <w:rFonts w:cs="Arial"/>
          <w:sz w:val="22"/>
          <w:szCs w:val="22"/>
          <w:lang w:val="en-US"/>
        </w:rPr>
        <w:t>ECE 2008 performance results in Math and Reading, by sex, type of school and area (%)</w:t>
      </w:r>
    </w:p>
    <w:tbl>
      <w:tblPr>
        <w:tblW w:w="8789" w:type="dxa"/>
        <w:tblInd w:w="-214" w:type="dxa"/>
        <w:tblCellMar>
          <w:left w:w="70" w:type="dxa"/>
          <w:right w:w="70" w:type="dxa"/>
        </w:tblCellMar>
        <w:tblLook w:val="04A0"/>
      </w:tblPr>
      <w:tblGrid>
        <w:gridCol w:w="1702"/>
        <w:gridCol w:w="850"/>
        <w:gridCol w:w="709"/>
        <w:gridCol w:w="1276"/>
        <w:gridCol w:w="709"/>
        <w:gridCol w:w="708"/>
        <w:gridCol w:w="709"/>
        <w:gridCol w:w="1317"/>
        <w:gridCol w:w="809"/>
      </w:tblGrid>
      <w:tr w:rsidR="00EF76F0" w:rsidRPr="00881017" w:rsidTr="00CD3F2E">
        <w:trPr>
          <w:trHeight w:val="375"/>
        </w:trPr>
        <w:tc>
          <w:tcPr>
            <w:tcW w:w="1702" w:type="dxa"/>
            <w:tcBorders>
              <w:top w:val="nil"/>
              <w:left w:val="nil"/>
              <w:bottom w:val="nil"/>
              <w:right w:val="nil"/>
            </w:tcBorders>
            <w:shd w:val="clear" w:color="000000" w:fill="FFFFFF"/>
            <w:noWrap/>
            <w:vAlign w:val="bottom"/>
          </w:tcPr>
          <w:p w:rsidR="00EF76F0" w:rsidRPr="00211AAB" w:rsidRDefault="00EF76F0" w:rsidP="004C3BE4">
            <w:pPr>
              <w:spacing w:after="0"/>
              <w:ind w:left="-426" w:right="-283"/>
              <w:rPr>
                <w:rFonts w:ascii="Arial" w:eastAsia="Times New Roman" w:hAnsi="Arial" w:cs="Arial"/>
                <w:sz w:val="18"/>
                <w:szCs w:val="18"/>
                <w:lang w:val="en-US" w:eastAsia="es-ES"/>
              </w:rPr>
            </w:pPr>
            <w:r w:rsidRPr="00211AAB">
              <w:rPr>
                <w:rFonts w:ascii="Arial" w:eastAsia="Times New Roman" w:hAnsi="Arial" w:cs="Arial"/>
                <w:sz w:val="18"/>
                <w:szCs w:val="18"/>
                <w:lang w:val="en-US" w:eastAsia="es-ES"/>
              </w:rPr>
              <w:t> </w:t>
            </w:r>
          </w:p>
        </w:tc>
        <w:tc>
          <w:tcPr>
            <w:tcW w:w="3544" w:type="dxa"/>
            <w:gridSpan w:val="4"/>
            <w:tcBorders>
              <w:top w:val="single" w:sz="8" w:space="0" w:color="auto"/>
              <w:left w:val="single" w:sz="8" w:space="0" w:color="auto"/>
              <w:bottom w:val="nil"/>
              <w:right w:val="single" w:sz="8" w:space="0" w:color="000000"/>
            </w:tcBorders>
            <w:shd w:val="clear" w:color="000000" w:fill="538ED5"/>
          </w:tcPr>
          <w:p w:rsidR="00EF76F0" w:rsidRPr="00881017" w:rsidRDefault="00EF76F0" w:rsidP="00640AF6">
            <w:pPr>
              <w:spacing w:after="0"/>
              <w:ind w:left="-426" w:right="-283"/>
              <w:jc w:val="center"/>
              <w:rPr>
                <w:rFonts w:ascii="Arial" w:eastAsia="Times New Roman" w:hAnsi="Arial" w:cs="Arial"/>
                <w:b/>
                <w:bCs/>
                <w:sz w:val="18"/>
                <w:szCs w:val="18"/>
                <w:lang w:eastAsia="es-ES"/>
              </w:rPr>
            </w:pPr>
            <w:proofErr w:type="spellStart"/>
            <w:r>
              <w:rPr>
                <w:rFonts w:ascii="Arial" w:eastAsia="Times New Roman" w:hAnsi="Arial" w:cs="Arial"/>
                <w:b/>
                <w:bCs/>
                <w:sz w:val="18"/>
                <w:szCs w:val="18"/>
                <w:lang w:eastAsia="es-ES"/>
              </w:rPr>
              <w:t>Math</w:t>
            </w:r>
            <w:proofErr w:type="spellEnd"/>
          </w:p>
        </w:tc>
        <w:tc>
          <w:tcPr>
            <w:tcW w:w="3543" w:type="dxa"/>
            <w:gridSpan w:val="4"/>
            <w:tcBorders>
              <w:top w:val="single" w:sz="8" w:space="0" w:color="auto"/>
              <w:left w:val="nil"/>
              <w:bottom w:val="nil"/>
              <w:right w:val="single" w:sz="8" w:space="0" w:color="000000"/>
            </w:tcBorders>
            <w:shd w:val="clear" w:color="auto" w:fill="92D050"/>
          </w:tcPr>
          <w:p w:rsidR="00EF76F0" w:rsidRPr="00881017" w:rsidRDefault="00EF76F0" w:rsidP="00640AF6">
            <w:pPr>
              <w:spacing w:after="0"/>
              <w:ind w:left="-426" w:right="-283"/>
              <w:jc w:val="center"/>
              <w:rPr>
                <w:rFonts w:ascii="Arial" w:eastAsia="Times New Roman" w:hAnsi="Arial" w:cs="Arial"/>
                <w:b/>
                <w:bCs/>
                <w:sz w:val="18"/>
                <w:szCs w:val="18"/>
                <w:lang w:eastAsia="es-ES"/>
              </w:rPr>
            </w:pPr>
            <w:r>
              <w:rPr>
                <w:rFonts w:ascii="Arial" w:eastAsia="Times New Roman" w:hAnsi="Arial" w:cs="Arial"/>
                <w:b/>
                <w:bCs/>
                <w:sz w:val="18"/>
                <w:szCs w:val="18"/>
                <w:lang w:eastAsia="es-ES"/>
              </w:rPr>
              <w:t>Reading</w:t>
            </w:r>
          </w:p>
        </w:tc>
      </w:tr>
      <w:tr w:rsidR="00076C22" w:rsidRPr="00881017" w:rsidTr="00076C22">
        <w:trPr>
          <w:trHeight w:val="315"/>
        </w:trPr>
        <w:tc>
          <w:tcPr>
            <w:tcW w:w="1702" w:type="dxa"/>
            <w:tcBorders>
              <w:top w:val="nil"/>
              <w:left w:val="nil"/>
              <w:bottom w:val="nil"/>
              <w:right w:val="nil"/>
            </w:tcBorders>
            <w:shd w:val="clear" w:color="000000" w:fill="FFFFFF"/>
            <w:vAlign w:val="center"/>
          </w:tcPr>
          <w:p w:rsidR="00076C22" w:rsidRPr="00881017" w:rsidRDefault="00076C22" w:rsidP="00640AF6">
            <w:pPr>
              <w:spacing w:after="0"/>
              <w:ind w:left="-426" w:right="-283"/>
              <w:rPr>
                <w:rFonts w:ascii="Arial" w:eastAsia="Times New Roman" w:hAnsi="Arial" w:cs="Arial"/>
                <w:b/>
                <w:bCs/>
                <w:sz w:val="18"/>
                <w:szCs w:val="18"/>
                <w:lang w:eastAsia="es-ES"/>
              </w:rPr>
            </w:pPr>
            <w:r w:rsidRPr="00881017">
              <w:rPr>
                <w:rFonts w:ascii="Arial" w:eastAsia="Times New Roman" w:hAnsi="Arial" w:cs="Arial"/>
                <w:b/>
                <w:bCs/>
                <w:sz w:val="18"/>
                <w:szCs w:val="18"/>
                <w:lang w:eastAsia="es-ES"/>
              </w:rPr>
              <w:t> </w:t>
            </w:r>
          </w:p>
        </w:tc>
        <w:tc>
          <w:tcPr>
            <w:tcW w:w="850" w:type="dxa"/>
            <w:tcBorders>
              <w:top w:val="nil"/>
              <w:left w:val="single" w:sz="8" w:space="0" w:color="auto"/>
              <w:bottom w:val="nil"/>
              <w:right w:val="nil"/>
            </w:tcBorders>
            <w:shd w:val="clear" w:color="000000" w:fill="538ED5"/>
            <w:vAlign w:val="center"/>
          </w:tcPr>
          <w:p w:rsidR="00076C22" w:rsidRPr="00881017" w:rsidRDefault="00076C22" w:rsidP="00640AF6">
            <w:pPr>
              <w:spacing w:after="0"/>
              <w:ind w:left="-426" w:right="-283"/>
              <w:jc w:val="center"/>
              <w:rPr>
                <w:rFonts w:ascii="Arial" w:eastAsia="Times New Roman" w:hAnsi="Arial" w:cs="Arial"/>
                <w:b/>
                <w:bCs/>
                <w:sz w:val="18"/>
                <w:szCs w:val="18"/>
                <w:lang w:eastAsia="es-ES"/>
              </w:rPr>
            </w:pPr>
            <w:proofErr w:type="spellStart"/>
            <w:r>
              <w:rPr>
                <w:rFonts w:ascii="Arial" w:eastAsia="Times New Roman" w:hAnsi="Arial" w:cs="Arial"/>
                <w:b/>
                <w:bCs/>
                <w:sz w:val="18"/>
                <w:szCs w:val="18"/>
                <w:lang w:eastAsia="es-ES"/>
              </w:rPr>
              <w:t>Level</w:t>
            </w:r>
            <w:proofErr w:type="spellEnd"/>
            <w:r>
              <w:rPr>
                <w:rFonts w:ascii="Arial" w:eastAsia="Times New Roman" w:hAnsi="Arial" w:cs="Arial"/>
                <w:b/>
                <w:bCs/>
                <w:sz w:val="18"/>
                <w:szCs w:val="18"/>
                <w:lang w:eastAsia="es-ES"/>
              </w:rPr>
              <w:t xml:space="preserve"> </w:t>
            </w:r>
            <w:r w:rsidRPr="00881017">
              <w:rPr>
                <w:rFonts w:ascii="Arial" w:eastAsia="Times New Roman" w:hAnsi="Arial" w:cs="Arial"/>
                <w:b/>
                <w:bCs/>
                <w:sz w:val="18"/>
                <w:szCs w:val="18"/>
                <w:lang w:eastAsia="es-ES"/>
              </w:rPr>
              <w:t>2</w:t>
            </w:r>
            <w:r w:rsidRPr="00881017">
              <w:rPr>
                <w:rFonts w:ascii="Arial" w:eastAsia="Times New Roman" w:hAnsi="Arial" w:cs="Arial"/>
                <w:sz w:val="18"/>
                <w:szCs w:val="18"/>
                <w:lang w:eastAsia="es-ES"/>
              </w:rPr>
              <w:t xml:space="preserve"> </w:t>
            </w:r>
          </w:p>
        </w:tc>
        <w:tc>
          <w:tcPr>
            <w:tcW w:w="709" w:type="dxa"/>
            <w:tcBorders>
              <w:top w:val="nil"/>
              <w:left w:val="nil"/>
              <w:bottom w:val="nil"/>
              <w:right w:val="nil"/>
            </w:tcBorders>
            <w:shd w:val="clear" w:color="000000" w:fill="538ED5"/>
            <w:vAlign w:val="center"/>
          </w:tcPr>
          <w:p w:rsidR="00076C22" w:rsidRPr="00881017" w:rsidRDefault="00076C22" w:rsidP="00640AF6">
            <w:pPr>
              <w:spacing w:after="0"/>
              <w:ind w:left="-426" w:right="-283"/>
              <w:jc w:val="center"/>
              <w:rPr>
                <w:rFonts w:ascii="Arial" w:eastAsia="Times New Roman" w:hAnsi="Arial" w:cs="Arial"/>
                <w:b/>
                <w:bCs/>
                <w:sz w:val="18"/>
                <w:szCs w:val="18"/>
                <w:lang w:eastAsia="es-ES"/>
              </w:rPr>
            </w:pPr>
            <w:proofErr w:type="spellStart"/>
            <w:r>
              <w:rPr>
                <w:rFonts w:ascii="Arial" w:eastAsia="Times New Roman" w:hAnsi="Arial" w:cs="Arial"/>
                <w:b/>
                <w:bCs/>
                <w:sz w:val="18"/>
                <w:szCs w:val="18"/>
                <w:lang w:eastAsia="es-ES"/>
              </w:rPr>
              <w:t>Level</w:t>
            </w:r>
            <w:proofErr w:type="spellEnd"/>
            <w:r w:rsidRPr="00881017">
              <w:rPr>
                <w:rFonts w:ascii="Arial" w:eastAsia="Times New Roman" w:hAnsi="Arial" w:cs="Arial"/>
                <w:b/>
                <w:bCs/>
                <w:sz w:val="18"/>
                <w:szCs w:val="18"/>
                <w:lang w:eastAsia="es-ES"/>
              </w:rPr>
              <w:t xml:space="preserve"> 1</w:t>
            </w:r>
            <w:r w:rsidRPr="00881017">
              <w:rPr>
                <w:rFonts w:ascii="Arial" w:eastAsia="Times New Roman" w:hAnsi="Arial" w:cs="Arial"/>
                <w:sz w:val="18"/>
                <w:szCs w:val="18"/>
                <w:lang w:eastAsia="es-ES"/>
              </w:rPr>
              <w:t xml:space="preserve"> </w:t>
            </w:r>
          </w:p>
        </w:tc>
        <w:tc>
          <w:tcPr>
            <w:tcW w:w="1276" w:type="dxa"/>
            <w:tcBorders>
              <w:top w:val="nil"/>
              <w:left w:val="nil"/>
              <w:bottom w:val="nil"/>
              <w:right w:val="nil"/>
            </w:tcBorders>
            <w:shd w:val="clear" w:color="000000" w:fill="538ED5"/>
            <w:vAlign w:val="center"/>
          </w:tcPr>
          <w:p w:rsidR="00076C22" w:rsidRPr="00881017" w:rsidRDefault="00076C22" w:rsidP="00CD3F2E">
            <w:pPr>
              <w:spacing w:after="0"/>
              <w:ind w:left="-426" w:right="-283"/>
              <w:jc w:val="center"/>
              <w:rPr>
                <w:rFonts w:ascii="Arial" w:eastAsia="Times New Roman" w:hAnsi="Arial" w:cs="Arial"/>
                <w:b/>
                <w:bCs/>
                <w:sz w:val="18"/>
                <w:szCs w:val="18"/>
                <w:lang w:eastAsia="es-ES"/>
              </w:rPr>
            </w:pPr>
            <w:proofErr w:type="spellStart"/>
            <w:r>
              <w:rPr>
                <w:rFonts w:ascii="Arial" w:eastAsia="Times New Roman" w:hAnsi="Arial" w:cs="Arial"/>
                <w:b/>
                <w:bCs/>
                <w:sz w:val="18"/>
                <w:szCs w:val="18"/>
                <w:lang w:eastAsia="es-ES"/>
              </w:rPr>
              <w:t>Below</w:t>
            </w:r>
            <w:proofErr w:type="spellEnd"/>
            <w:r w:rsidRPr="00881017">
              <w:rPr>
                <w:rFonts w:ascii="Arial" w:eastAsia="Times New Roman" w:hAnsi="Arial" w:cs="Arial"/>
                <w:b/>
                <w:bCs/>
                <w:sz w:val="18"/>
                <w:szCs w:val="18"/>
                <w:lang w:eastAsia="es-ES"/>
              </w:rPr>
              <w:t xml:space="preserve"> </w:t>
            </w:r>
            <w:proofErr w:type="spellStart"/>
            <w:r>
              <w:rPr>
                <w:rFonts w:ascii="Arial" w:eastAsia="Times New Roman" w:hAnsi="Arial" w:cs="Arial"/>
                <w:b/>
                <w:bCs/>
                <w:sz w:val="18"/>
                <w:szCs w:val="18"/>
                <w:lang w:eastAsia="es-ES"/>
              </w:rPr>
              <w:t>level</w:t>
            </w:r>
            <w:proofErr w:type="spellEnd"/>
            <w:r w:rsidRPr="00881017">
              <w:rPr>
                <w:rFonts w:ascii="Arial" w:eastAsia="Times New Roman" w:hAnsi="Arial" w:cs="Arial"/>
                <w:b/>
                <w:bCs/>
                <w:sz w:val="18"/>
                <w:szCs w:val="18"/>
                <w:lang w:eastAsia="es-ES"/>
              </w:rPr>
              <w:t xml:space="preserve"> 1</w:t>
            </w:r>
            <w:r w:rsidRPr="00881017">
              <w:rPr>
                <w:rFonts w:ascii="Arial" w:eastAsia="Times New Roman" w:hAnsi="Arial" w:cs="Arial"/>
                <w:sz w:val="18"/>
                <w:szCs w:val="18"/>
                <w:lang w:eastAsia="es-ES"/>
              </w:rPr>
              <w:t xml:space="preserve"> </w:t>
            </w:r>
          </w:p>
        </w:tc>
        <w:tc>
          <w:tcPr>
            <w:tcW w:w="709" w:type="dxa"/>
            <w:tcBorders>
              <w:top w:val="nil"/>
              <w:left w:val="nil"/>
              <w:bottom w:val="nil"/>
              <w:right w:val="single" w:sz="8" w:space="0" w:color="auto"/>
            </w:tcBorders>
            <w:shd w:val="clear" w:color="000000" w:fill="538ED5"/>
            <w:vAlign w:val="center"/>
          </w:tcPr>
          <w:p w:rsidR="00076C22" w:rsidRPr="00881017" w:rsidRDefault="00076C22" w:rsidP="008A201C">
            <w:pPr>
              <w:spacing w:after="0"/>
              <w:ind w:left="-426" w:right="-283"/>
              <w:jc w:val="center"/>
              <w:rPr>
                <w:rFonts w:ascii="Arial" w:eastAsia="Times New Roman" w:hAnsi="Arial" w:cs="Arial"/>
                <w:b/>
                <w:bCs/>
                <w:sz w:val="18"/>
                <w:szCs w:val="18"/>
                <w:lang w:eastAsia="es-ES"/>
              </w:rPr>
            </w:pPr>
            <w:r>
              <w:rPr>
                <w:rFonts w:ascii="Arial" w:eastAsia="Times New Roman" w:hAnsi="Arial" w:cs="Arial"/>
                <w:b/>
                <w:bCs/>
                <w:sz w:val="18"/>
                <w:szCs w:val="18"/>
                <w:lang w:eastAsia="es-ES"/>
              </w:rPr>
              <w:t>TOTAL</w:t>
            </w:r>
          </w:p>
        </w:tc>
        <w:tc>
          <w:tcPr>
            <w:tcW w:w="708" w:type="dxa"/>
            <w:tcBorders>
              <w:top w:val="nil"/>
              <w:left w:val="nil"/>
              <w:bottom w:val="nil"/>
              <w:right w:val="nil"/>
            </w:tcBorders>
            <w:shd w:val="clear" w:color="auto" w:fill="92D050"/>
            <w:vAlign w:val="center"/>
          </w:tcPr>
          <w:p w:rsidR="00076C22" w:rsidRPr="00881017" w:rsidRDefault="00076C22" w:rsidP="00CD3F2E">
            <w:pPr>
              <w:spacing w:after="0"/>
              <w:ind w:left="-426" w:right="-283"/>
              <w:jc w:val="center"/>
              <w:rPr>
                <w:rFonts w:ascii="Arial" w:eastAsia="Times New Roman" w:hAnsi="Arial" w:cs="Arial"/>
                <w:b/>
                <w:bCs/>
                <w:sz w:val="18"/>
                <w:szCs w:val="18"/>
                <w:lang w:eastAsia="es-ES"/>
              </w:rPr>
            </w:pPr>
            <w:proofErr w:type="spellStart"/>
            <w:r>
              <w:rPr>
                <w:rFonts w:ascii="Arial" w:eastAsia="Times New Roman" w:hAnsi="Arial" w:cs="Arial"/>
                <w:b/>
                <w:bCs/>
                <w:sz w:val="18"/>
                <w:szCs w:val="18"/>
                <w:lang w:eastAsia="es-ES"/>
              </w:rPr>
              <w:t>Level</w:t>
            </w:r>
            <w:proofErr w:type="spellEnd"/>
            <w:r w:rsidRPr="00881017">
              <w:rPr>
                <w:rFonts w:ascii="Arial" w:eastAsia="Times New Roman" w:hAnsi="Arial" w:cs="Arial"/>
                <w:b/>
                <w:bCs/>
                <w:sz w:val="18"/>
                <w:szCs w:val="18"/>
                <w:lang w:eastAsia="es-ES"/>
              </w:rPr>
              <w:t xml:space="preserve"> 2</w:t>
            </w:r>
            <w:r w:rsidRPr="00881017">
              <w:rPr>
                <w:rFonts w:ascii="Arial" w:eastAsia="Times New Roman" w:hAnsi="Arial" w:cs="Arial"/>
                <w:sz w:val="18"/>
                <w:szCs w:val="18"/>
                <w:lang w:eastAsia="es-ES"/>
              </w:rPr>
              <w:t xml:space="preserve"> </w:t>
            </w:r>
          </w:p>
        </w:tc>
        <w:tc>
          <w:tcPr>
            <w:tcW w:w="709" w:type="dxa"/>
            <w:tcBorders>
              <w:top w:val="nil"/>
              <w:left w:val="nil"/>
              <w:bottom w:val="nil"/>
              <w:right w:val="nil"/>
            </w:tcBorders>
            <w:shd w:val="clear" w:color="auto" w:fill="92D050"/>
            <w:vAlign w:val="center"/>
          </w:tcPr>
          <w:p w:rsidR="00076C22" w:rsidRPr="00881017" w:rsidRDefault="00076C22" w:rsidP="00CD3F2E">
            <w:pPr>
              <w:spacing w:after="0"/>
              <w:ind w:left="-426" w:right="-283"/>
              <w:jc w:val="center"/>
              <w:rPr>
                <w:rFonts w:ascii="Arial" w:eastAsia="Times New Roman" w:hAnsi="Arial" w:cs="Arial"/>
                <w:b/>
                <w:bCs/>
                <w:sz w:val="18"/>
                <w:szCs w:val="18"/>
                <w:lang w:eastAsia="es-ES"/>
              </w:rPr>
            </w:pPr>
            <w:proofErr w:type="spellStart"/>
            <w:r>
              <w:rPr>
                <w:rFonts w:ascii="Arial" w:eastAsia="Times New Roman" w:hAnsi="Arial" w:cs="Arial"/>
                <w:b/>
                <w:bCs/>
                <w:sz w:val="18"/>
                <w:szCs w:val="18"/>
                <w:lang w:eastAsia="es-ES"/>
              </w:rPr>
              <w:t>Level</w:t>
            </w:r>
            <w:proofErr w:type="spellEnd"/>
            <w:r w:rsidRPr="00881017">
              <w:rPr>
                <w:rFonts w:ascii="Arial" w:eastAsia="Times New Roman" w:hAnsi="Arial" w:cs="Arial"/>
                <w:b/>
                <w:bCs/>
                <w:sz w:val="18"/>
                <w:szCs w:val="18"/>
                <w:lang w:eastAsia="es-ES"/>
              </w:rPr>
              <w:t xml:space="preserve"> 1</w:t>
            </w:r>
            <w:r w:rsidRPr="00881017">
              <w:rPr>
                <w:rFonts w:ascii="Arial" w:eastAsia="Times New Roman" w:hAnsi="Arial" w:cs="Arial"/>
                <w:sz w:val="18"/>
                <w:szCs w:val="18"/>
                <w:lang w:eastAsia="es-ES"/>
              </w:rPr>
              <w:t xml:space="preserve"> </w:t>
            </w:r>
          </w:p>
        </w:tc>
        <w:tc>
          <w:tcPr>
            <w:tcW w:w="1317" w:type="dxa"/>
            <w:tcBorders>
              <w:top w:val="nil"/>
              <w:left w:val="nil"/>
              <w:bottom w:val="nil"/>
              <w:right w:val="nil"/>
            </w:tcBorders>
            <w:shd w:val="clear" w:color="auto" w:fill="92D050"/>
            <w:vAlign w:val="center"/>
          </w:tcPr>
          <w:p w:rsidR="00076C22" w:rsidRPr="00881017" w:rsidRDefault="00076C22" w:rsidP="00CD3F2E">
            <w:pPr>
              <w:spacing w:after="0"/>
              <w:ind w:left="-426" w:right="-283"/>
              <w:jc w:val="center"/>
              <w:rPr>
                <w:rFonts w:ascii="Arial" w:eastAsia="Times New Roman" w:hAnsi="Arial" w:cs="Arial"/>
                <w:b/>
                <w:bCs/>
                <w:sz w:val="18"/>
                <w:szCs w:val="18"/>
                <w:lang w:eastAsia="es-ES"/>
              </w:rPr>
            </w:pPr>
            <w:proofErr w:type="spellStart"/>
            <w:r>
              <w:rPr>
                <w:rFonts w:ascii="Arial" w:eastAsia="Times New Roman" w:hAnsi="Arial" w:cs="Arial"/>
                <w:b/>
                <w:bCs/>
                <w:sz w:val="18"/>
                <w:szCs w:val="18"/>
                <w:lang w:eastAsia="es-ES"/>
              </w:rPr>
              <w:t>Below</w:t>
            </w:r>
            <w:proofErr w:type="spellEnd"/>
            <w:r w:rsidRPr="00881017">
              <w:rPr>
                <w:rFonts w:ascii="Arial" w:eastAsia="Times New Roman" w:hAnsi="Arial" w:cs="Arial"/>
                <w:b/>
                <w:bCs/>
                <w:sz w:val="18"/>
                <w:szCs w:val="18"/>
                <w:lang w:eastAsia="es-ES"/>
              </w:rPr>
              <w:t xml:space="preserve"> </w:t>
            </w:r>
            <w:proofErr w:type="spellStart"/>
            <w:r>
              <w:rPr>
                <w:rFonts w:ascii="Arial" w:eastAsia="Times New Roman" w:hAnsi="Arial" w:cs="Arial"/>
                <w:b/>
                <w:bCs/>
                <w:sz w:val="18"/>
                <w:szCs w:val="18"/>
                <w:lang w:eastAsia="es-ES"/>
              </w:rPr>
              <w:t>Level</w:t>
            </w:r>
            <w:proofErr w:type="spellEnd"/>
            <w:r w:rsidRPr="00881017">
              <w:rPr>
                <w:rFonts w:ascii="Arial" w:eastAsia="Times New Roman" w:hAnsi="Arial" w:cs="Arial"/>
                <w:b/>
                <w:bCs/>
                <w:sz w:val="18"/>
                <w:szCs w:val="18"/>
                <w:lang w:eastAsia="es-ES"/>
              </w:rPr>
              <w:t xml:space="preserve"> 1</w:t>
            </w:r>
            <w:r w:rsidRPr="00881017">
              <w:rPr>
                <w:rFonts w:ascii="Arial" w:eastAsia="Times New Roman" w:hAnsi="Arial" w:cs="Arial"/>
                <w:sz w:val="18"/>
                <w:szCs w:val="18"/>
                <w:lang w:eastAsia="es-ES"/>
              </w:rPr>
              <w:t xml:space="preserve"> </w:t>
            </w:r>
          </w:p>
        </w:tc>
        <w:tc>
          <w:tcPr>
            <w:tcW w:w="809" w:type="dxa"/>
            <w:tcBorders>
              <w:top w:val="nil"/>
              <w:left w:val="nil"/>
              <w:bottom w:val="nil"/>
              <w:right w:val="single" w:sz="8" w:space="0" w:color="auto"/>
            </w:tcBorders>
            <w:shd w:val="clear" w:color="auto" w:fill="92D050"/>
            <w:vAlign w:val="center"/>
          </w:tcPr>
          <w:p w:rsidR="00076C22" w:rsidRPr="00881017" w:rsidRDefault="00076C22" w:rsidP="008A201C">
            <w:pPr>
              <w:spacing w:after="0"/>
              <w:ind w:left="-426" w:right="-283"/>
              <w:jc w:val="center"/>
              <w:rPr>
                <w:rFonts w:ascii="Arial" w:eastAsia="Times New Roman" w:hAnsi="Arial" w:cs="Arial"/>
                <w:b/>
                <w:bCs/>
                <w:sz w:val="18"/>
                <w:szCs w:val="18"/>
                <w:lang w:eastAsia="es-ES"/>
              </w:rPr>
            </w:pPr>
            <w:r>
              <w:rPr>
                <w:rFonts w:ascii="Arial" w:eastAsia="Times New Roman" w:hAnsi="Arial" w:cs="Arial"/>
                <w:b/>
                <w:bCs/>
                <w:sz w:val="18"/>
                <w:szCs w:val="18"/>
                <w:lang w:eastAsia="es-ES"/>
              </w:rPr>
              <w:t>TOTAL</w:t>
            </w:r>
          </w:p>
        </w:tc>
      </w:tr>
      <w:tr w:rsidR="00076C22" w:rsidRPr="00881017" w:rsidTr="00076C22">
        <w:trPr>
          <w:trHeight w:val="132"/>
        </w:trPr>
        <w:tc>
          <w:tcPr>
            <w:tcW w:w="1702" w:type="dxa"/>
            <w:tcBorders>
              <w:top w:val="double" w:sz="6" w:space="0" w:color="auto"/>
              <w:left w:val="nil"/>
              <w:bottom w:val="nil"/>
              <w:right w:val="nil"/>
            </w:tcBorders>
            <w:shd w:val="clear" w:color="000000" w:fill="FFFFFF"/>
            <w:vAlign w:val="center"/>
          </w:tcPr>
          <w:p w:rsidR="00076C22" w:rsidRPr="00881017" w:rsidRDefault="00076C22" w:rsidP="00640AF6">
            <w:pPr>
              <w:spacing w:after="0"/>
              <w:ind w:left="-426" w:right="-283"/>
              <w:jc w:val="center"/>
              <w:rPr>
                <w:rFonts w:ascii="Arial" w:eastAsia="Times New Roman" w:hAnsi="Arial" w:cs="Arial"/>
                <w:b/>
                <w:bCs/>
                <w:i/>
                <w:iCs/>
                <w:sz w:val="18"/>
                <w:szCs w:val="18"/>
                <w:lang w:eastAsia="es-ES"/>
              </w:rPr>
            </w:pPr>
            <w:proofErr w:type="spellStart"/>
            <w:r>
              <w:rPr>
                <w:rFonts w:ascii="Arial" w:eastAsia="Times New Roman" w:hAnsi="Arial" w:cs="Arial"/>
                <w:b/>
                <w:bCs/>
                <w:i/>
                <w:iCs/>
                <w:sz w:val="18"/>
                <w:szCs w:val="18"/>
                <w:lang w:eastAsia="es-ES"/>
              </w:rPr>
              <w:t>Male</w:t>
            </w:r>
            <w:proofErr w:type="spellEnd"/>
          </w:p>
        </w:tc>
        <w:tc>
          <w:tcPr>
            <w:tcW w:w="850" w:type="dxa"/>
            <w:tcBorders>
              <w:top w:val="double" w:sz="6" w:space="0" w:color="auto"/>
              <w:left w:val="nil"/>
              <w:bottom w:val="nil"/>
              <w:right w:val="nil"/>
            </w:tcBorders>
            <w:shd w:val="clear" w:color="000000" w:fill="DBE5F1"/>
            <w:vAlign w:val="bottom"/>
          </w:tcPr>
          <w:p w:rsidR="00076C22" w:rsidRPr="00881017" w:rsidRDefault="00076C22" w:rsidP="00640AF6">
            <w:pPr>
              <w:spacing w:after="0"/>
              <w:ind w:left="-426" w:right="-283"/>
              <w:jc w:val="center"/>
              <w:rPr>
                <w:rFonts w:ascii="Arial" w:eastAsia="Times New Roman" w:hAnsi="Arial" w:cs="Arial"/>
                <w:sz w:val="18"/>
                <w:szCs w:val="18"/>
                <w:lang w:eastAsia="es-ES"/>
              </w:rPr>
            </w:pPr>
            <w:r w:rsidRPr="00881017">
              <w:rPr>
                <w:rFonts w:ascii="Arial" w:eastAsia="Times New Roman" w:hAnsi="Arial" w:cs="Arial"/>
                <w:sz w:val="18"/>
                <w:szCs w:val="18"/>
                <w:lang w:eastAsia="es-ES"/>
              </w:rPr>
              <w:t>9.9</w:t>
            </w:r>
          </w:p>
        </w:tc>
        <w:tc>
          <w:tcPr>
            <w:tcW w:w="709" w:type="dxa"/>
            <w:tcBorders>
              <w:top w:val="double" w:sz="6" w:space="0" w:color="auto"/>
              <w:left w:val="nil"/>
              <w:bottom w:val="nil"/>
              <w:right w:val="nil"/>
            </w:tcBorders>
            <w:shd w:val="clear" w:color="000000" w:fill="DBE5F1"/>
            <w:vAlign w:val="bottom"/>
          </w:tcPr>
          <w:p w:rsidR="00076C22" w:rsidRPr="00881017" w:rsidRDefault="00076C22" w:rsidP="00640AF6">
            <w:pPr>
              <w:spacing w:after="0"/>
              <w:ind w:left="-426" w:right="-283"/>
              <w:jc w:val="center"/>
              <w:rPr>
                <w:rFonts w:ascii="Arial" w:eastAsia="Times New Roman" w:hAnsi="Arial" w:cs="Arial"/>
                <w:sz w:val="18"/>
                <w:szCs w:val="18"/>
                <w:lang w:eastAsia="es-ES"/>
              </w:rPr>
            </w:pPr>
            <w:r w:rsidRPr="00881017">
              <w:rPr>
                <w:rFonts w:ascii="Arial" w:eastAsia="Times New Roman" w:hAnsi="Arial" w:cs="Arial"/>
                <w:sz w:val="18"/>
                <w:szCs w:val="18"/>
                <w:lang w:eastAsia="es-ES"/>
              </w:rPr>
              <w:t>36.1</w:t>
            </w:r>
          </w:p>
        </w:tc>
        <w:tc>
          <w:tcPr>
            <w:tcW w:w="1276" w:type="dxa"/>
            <w:tcBorders>
              <w:top w:val="double" w:sz="6" w:space="0" w:color="auto"/>
              <w:left w:val="nil"/>
              <w:bottom w:val="nil"/>
              <w:right w:val="nil"/>
            </w:tcBorders>
            <w:shd w:val="clear" w:color="000000" w:fill="DBE5F1"/>
            <w:vAlign w:val="bottom"/>
          </w:tcPr>
          <w:p w:rsidR="00076C22" w:rsidRPr="00881017" w:rsidRDefault="00076C22" w:rsidP="00CD3F2E">
            <w:pPr>
              <w:spacing w:after="0"/>
              <w:ind w:left="-426" w:right="-283"/>
              <w:jc w:val="center"/>
              <w:rPr>
                <w:rFonts w:ascii="Arial" w:eastAsia="Times New Roman" w:hAnsi="Arial" w:cs="Arial"/>
                <w:sz w:val="18"/>
                <w:szCs w:val="18"/>
                <w:lang w:eastAsia="es-ES"/>
              </w:rPr>
            </w:pPr>
            <w:r w:rsidRPr="00881017">
              <w:rPr>
                <w:rFonts w:ascii="Arial" w:eastAsia="Times New Roman" w:hAnsi="Arial" w:cs="Arial"/>
                <w:sz w:val="18"/>
                <w:szCs w:val="18"/>
                <w:lang w:eastAsia="es-ES"/>
              </w:rPr>
              <w:t>54</w:t>
            </w:r>
          </w:p>
        </w:tc>
        <w:tc>
          <w:tcPr>
            <w:tcW w:w="709" w:type="dxa"/>
            <w:tcBorders>
              <w:top w:val="double" w:sz="6" w:space="0" w:color="auto"/>
              <w:left w:val="nil"/>
              <w:bottom w:val="nil"/>
              <w:right w:val="nil"/>
            </w:tcBorders>
            <w:shd w:val="clear" w:color="000000" w:fill="DBE5F1"/>
            <w:vAlign w:val="bottom"/>
          </w:tcPr>
          <w:p w:rsidR="00076C22" w:rsidRPr="00881017" w:rsidRDefault="00076C22" w:rsidP="00CD3F2E">
            <w:pPr>
              <w:spacing w:after="0"/>
              <w:ind w:left="-426" w:right="-283"/>
              <w:jc w:val="center"/>
              <w:rPr>
                <w:rFonts w:ascii="Arial" w:eastAsia="Times New Roman" w:hAnsi="Arial" w:cs="Arial"/>
                <w:sz w:val="18"/>
                <w:szCs w:val="18"/>
                <w:lang w:eastAsia="es-ES"/>
              </w:rPr>
            </w:pPr>
            <w:r>
              <w:rPr>
                <w:rFonts w:ascii="Arial" w:eastAsia="Times New Roman" w:hAnsi="Arial" w:cs="Arial"/>
                <w:sz w:val="18"/>
                <w:szCs w:val="18"/>
                <w:lang w:eastAsia="es-ES"/>
              </w:rPr>
              <w:t>100</w:t>
            </w:r>
          </w:p>
        </w:tc>
        <w:tc>
          <w:tcPr>
            <w:tcW w:w="708" w:type="dxa"/>
            <w:tcBorders>
              <w:top w:val="double" w:sz="6" w:space="0" w:color="auto"/>
              <w:left w:val="nil"/>
              <w:bottom w:val="nil"/>
              <w:right w:val="nil"/>
            </w:tcBorders>
            <w:shd w:val="clear" w:color="auto" w:fill="EEFED0"/>
            <w:vAlign w:val="bottom"/>
          </w:tcPr>
          <w:p w:rsidR="00076C22" w:rsidRPr="00881017" w:rsidRDefault="00076C22" w:rsidP="00CD3F2E">
            <w:pPr>
              <w:spacing w:after="0"/>
              <w:ind w:left="-426" w:right="-283"/>
              <w:jc w:val="center"/>
              <w:rPr>
                <w:rFonts w:ascii="Arial" w:eastAsia="Times New Roman" w:hAnsi="Arial" w:cs="Arial"/>
                <w:sz w:val="18"/>
                <w:szCs w:val="18"/>
                <w:lang w:eastAsia="es-ES"/>
              </w:rPr>
            </w:pPr>
            <w:r w:rsidRPr="00881017">
              <w:rPr>
                <w:rFonts w:ascii="Arial" w:eastAsia="Times New Roman" w:hAnsi="Arial" w:cs="Arial"/>
                <w:sz w:val="18"/>
                <w:szCs w:val="18"/>
                <w:lang w:eastAsia="es-ES"/>
              </w:rPr>
              <w:t>15.2</w:t>
            </w:r>
          </w:p>
        </w:tc>
        <w:tc>
          <w:tcPr>
            <w:tcW w:w="709" w:type="dxa"/>
            <w:tcBorders>
              <w:top w:val="double" w:sz="6" w:space="0" w:color="auto"/>
              <w:left w:val="nil"/>
              <w:bottom w:val="nil"/>
              <w:right w:val="nil"/>
            </w:tcBorders>
            <w:shd w:val="clear" w:color="auto" w:fill="EEFED0"/>
            <w:vAlign w:val="bottom"/>
          </w:tcPr>
          <w:p w:rsidR="00076C22" w:rsidRPr="00881017" w:rsidRDefault="00076C22" w:rsidP="00CD3F2E">
            <w:pPr>
              <w:spacing w:after="0"/>
              <w:ind w:left="-426" w:right="-283"/>
              <w:jc w:val="center"/>
              <w:rPr>
                <w:rFonts w:ascii="Arial" w:eastAsia="Times New Roman" w:hAnsi="Arial" w:cs="Arial"/>
                <w:sz w:val="18"/>
                <w:szCs w:val="18"/>
                <w:lang w:eastAsia="es-ES"/>
              </w:rPr>
            </w:pPr>
            <w:r w:rsidRPr="00881017">
              <w:rPr>
                <w:rFonts w:ascii="Arial" w:eastAsia="Times New Roman" w:hAnsi="Arial" w:cs="Arial"/>
                <w:sz w:val="18"/>
                <w:szCs w:val="18"/>
                <w:lang w:eastAsia="es-ES"/>
              </w:rPr>
              <w:t>53.6</w:t>
            </w:r>
          </w:p>
        </w:tc>
        <w:tc>
          <w:tcPr>
            <w:tcW w:w="1317" w:type="dxa"/>
            <w:tcBorders>
              <w:top w:val="double" w:sz="6" w:space="0" w:color="auto"/>
              <w:left w:val="nil"/>
              <w:bottom w:val="nil"/>
              <w:right w:val="nil"/>
            </w:tcBorders>
            <w:shd w:val="clear" w:color="auto" w:fill="EEFED0"/>
            <w:vAlign w:val="bottom"/>
          </w:tcPr>
          <w:p w:rsidR="00076C22" w:rsidRPr="00881017" w:rsidRDefault="00076C22" w:rsidP="00CD3F2E">
            <w:pPr>
              <w:spacing w:after="0"/>
              <w:ind w:left="-426" w:right="-283"/>
              <w:jc w:val="center"/>
              <w:rPr>
                <w:rFonts w:ascii="Arial" w:eastAsia="Times New Roman" w:hAnsi="Arial" w:cs="Arial"/>
                <w:sz w:val="18"/>
                <w:szCs w:val="18"/>
                <w:lang w:eastAsia="es-ES"/>
              </w:rPr>
            </w:pPr>
            <w:r w:rsidRPr="00881017">
              <w:rPr>
                <w:rFonts w:ascii="Arial" w:eastAsia="Times New Roman" w:hAnsi="Arial" w:cs="Arial"/>
                <w:sz w:val="18"/>
                <w:szCs w:val="18"/>
                <w:lang w:eastAsia="es-ES"/>
              </w:rPr>
              <w:t>31.2</w:t>
            </w:r>
          </w:p>
        </w:tc>
        <w:tc>
          <w:tcPr>
            <w:tcW w:w="809" w:type="dxa"/>
            <w:tcBorders>
              <w:top w:val="double" w:sz="6" w:space="0" w:color="auto"/>
              <w:left w:val="nil"/>
              <w:bottom w:val="nil"/>
              <w:right w:val="nil"/>
            </w:tcBorders>
            <w:shd w:val="clear" w:color="auto" w:fill="EEFED0"/>
            <w:vAlign w:val="bottom"/>
          </w:tcPr>
          <w:p w:rsidR="00076C22" w:rsidRPr="00881017" w:rsidRDefault="00076C22" w:rsidP="00640AF6">
            <w:pPr>
              <w:spacing w:after="0"/>
              <w:ind w:left="-426" w:right="-283"/>
              <w:jc w:val="center"/>
              <w:rPr>
                <w:rFonts w:ascii="Arial" w:eastAsia="Times New Roman" w:hAnsi="Arial" w:cs="Arial"/>
                <w:sz w:val="18"/>
                <w:szCs w:val="18"/>
                <w:lang w:eastAsia="es-ES"/>
              </w:rPr>
            </w:pPr>
            <w:r>
              <w:rPr>
                <w:rFonts w:ascii="Arial" w:eastAsia="Times New Roman" w:hAnsi="Arial" w:cs="Arial"/>
                <w:sz w:val="18"/>
                <w:szCs w:val="18"/>
                <w:lang w:eastAsia="es-ES"/>
              </w:rPr>
              <w:t>100</w:t>
            </w:r>
          </w:p>
        </w:tc>
      </w:tr>
      <w:tr w:rsidR="00076C22" w:rsidRPr="00881017" w:rsidTr="00076C22">
        <w:trPr>
          <w:trHeight w:val="240"/>
        </w:trPr>
        <w:tc>
          <w:tcPr>
            <w:tcW w:w="1702" w:type="dxa"/>
            <w:tcBorders>
              <w:top w:val="nil"/>
              <w:left w:val="nil"/>
              <w:bottom w:val="double" w:sz="6" w:space="0" w:color="auto"/>
              <w:right w:val="nil"/>
            </w:tcBorders>
            <w:shd w:val="clear" w:color="000000" w:fill="FFFFFF"/>
            <w:vAlign w:val="center"/>
          </w:tcPr>
          <w:p w:rsidR="00076C22" w:rsidRPr="00881017" w:rsidRDefault="00076C22" w:rsidP="00640AF6">
            <w:pPr>
              <w:spacing w:after="0"/>
              <w:ind w:left="-426" w:right="-283"/>
              <w:jc w:val="center"/>
              <w:rPr>
                <w:rFonts w:ascii="Arial" w:eastAsia="Times New Roman" w:hAnsi="Arial" w:cs="Arial"/>
                <w:b/>
                <w:bCs/>
                <w:i/>
                <w:iCs/>
                <w:sz w:val="18"/>
                <w:szCs w:val="18"/>
                <w:lang w:eastAsia="es-ES"/>
              </w:rPr>
            </w:pPr>
            <w:proofErr w:type="spellStart"/>
            <w:r>
              <w:rPr>
                <w:rFonts w:ascii="Arial" w:eastAsia="Times New Roman" w:hAnsi="Arial" w:cs="Arial"/>
                <w:b/>
                <w:bCs/>
                <w:i/>
                <w:iCs/>
                <w:sz w:val="18"/>
                <w:szCs w:val="18"/>
                <w:lang w:eastAsia="es-ES"/>
              </w:rPr>
              <w:t>Female</w:t>
            </w:r>
            <w:proofErr w:type="spellEnd"/>
          </w:p>
        </w:tc>
        <w:tc>
          <w:tcPr>
            <w:tcW w:w="850" w:type="dxa"/>
            <w:tcBorders>
              <w:top w:val="nil"/>
              <w:left w:val="nil"/>
              <w:bottom w:val="double" w:sz="6" w:space="0" w:color="auto"/>
              <w:right w:val="nil"/>
            </w:tcBorders>
            <w:shd w:val="clear" w:color="000000" w:fill="DBE5F1"/>
            <w:vAlign w:val="bottom"/>
          </w:tcPr>
          <w:p w:rsidR="00076C22" w:rsidRPr="00881017" w:rsidRDefault="00076C22" w:rsidP="00640AF6">
            <w:pPr>
              <w:spacing w:after="0"/>
              <w:ind w:left="-426" w:right="-283"/>
              <w:jc w:val="center"/>
              <w:rPr>
                <w:rFonts w:ascii="Arial" w:eastAsia="Times New Roman" w:hAnsi="Arial" w:cs="Arial"/>
                <w:sz w:val="18"/>
                <w:szCs w:val="18"/>
                <w:lang w:eastAsia="es-ES"/>
              </w:rPr>
            </w:pPr>
            <w:r w:rsidRPr="00881017">
              <w:rPr>
                <w:rFonts w:ascii="Arial" w:eastAsia="Times New Roman" w:hAnsi="Arial" w:cs="Arial"/>
                <w:sz w:val="18"/>
                <w:szCs w:val="18"/>
                <w:lang w:eastAsia="es-ES"/>
              </w:rPr>
              <w:t>8.9</w:t>
            </w:r>
          </w:p>
        </w:tc>
        <w:tc>
          <w:tcPr>
            <w:tcW w:w="709" w:type="dxa"/>
            <w:tcBorders>
              <w:top w:val="nil"/>
              <w:left w:val="nil"/>
              <w:bottom w:val="double" w:sz="6" w:space="0" w:color="auto"/>
              <w:right w:val="nil"/>
            </w:tcBorders>
            <w:shd w:val="clear" w:color="000000" w:fill="DBE5F1"/>
            <w:vAlign w:val="bottom"/>
          </w:tcPr>
          <w:p w:rsidR="00076C22" w:rsidRPr="00881017" w:rsidRDefault="00076C22" w:rsidP="00640AF6">
            <w:pPr>
              <w:spacing w:after="0"/>
              <w:ind w:left="-426" w:right="-283"/>
              <w:jc w:val="center"/>
              <w:rPr>
                <w:rFonts w:ascii="Arial" w:eastAsia="Times New Roman" w:hAnsi="Arial" w:cs="Arial"/>
                <w:sz w:val="18"/>
                <w:szCs w:val="18"/>
                <w:lang w:eastAsia="es-ES"/>
              </w:rPr>
            </w:pPr>
            <w:r w:rsidRPr="00881017">
              <w:rPr>
                <w:rFonts w:ascii="Arial" w:eastAsia="Times New Roman" w:hAnsi="Arial" w:cs="Arial"/>
                <w:sz w:val="18"/>
                <w:szCs w:val="18"/>
                <w:lang w:eastAsia="es-ES"/>
              </w:rPr>
              <w:t>35.6</w:t>
            </w:r>
          </w:p>
        </w:tc>
        <w:tc>
          <w:tcPr>
            <w:tcW w:w="1276" w:type="dxa"/>
            <w:tcBorders>
              <w:top w:val="nil"/>
              <w:left w:val="nil"/>
              <w:bottom w:val="double" w:sz="6" w:space="0" w:color="auto"/>
              <w:right w:val="nil"/>
            </w:tcBorders>
            <w:shd w:val="clear" w:color="000000" w:fill="DBE5F1"/>
            <w:vAlign w:val="bottom"/>
          </w:tcPr>
          <w:p w:rsidR="00076C22" w:rsidRPr="00881017" w:rsidRDefault="00076C22" w:rsidP="00CD3F2E">
            <w:pPr>
              <w:spacing w:after="0"/>
              <w:ind w:left="-426" w:right="-283"/>
              <w:jc w:val="center"/>
              <w:rPr>
                <w:rFonts w:ascii="Arial" w:eastAsia="Times New Roman" w:hAnsi="Arial" w:cs="Arial"/>
                <w:sz w:val="18"/>
                <w:szCs w:val="18"/>
                <w:lang w:eastAsia="es-ES"/>
              </w:rPr>
            </w:pPr>
            <w:r w:rsidRPr="00881017">
              <w:rPr>
                <w:rFonts w:ascii="Arial" w:eastAsia="Times New Roman" w:hAnsi="Arial" w:cs="Arial"/>
                <w:sz w:val="18"/>
                <w:szCs w:val="18"/>
                <w:lang w:eastAsia="es-ES"/>
              </w:rPr>
              <w:t>55.5</w:t>
            </w:r>
          </w:p>
        </w:tc>
        <w:tc>
          <w:tcPr>
            <w:tcW w:w="709" w:type="dxa"/>
            <w:tcBorders>
              <w:top w:val="nil"/>
              <w:left w:val="nil"/>
              <w:bottom w:val="double" w:sz="6" w:space="0" w:color="auto"/>
              <w:right w:val="nil"/>
            </w:tcBorders>
            <w:shd w:val="clear" w:color="000000" w:fill="DBE5F1"/>
            <w:vAlign w:val="bottom"/>
          </w:tcPr>
          <w:p w:rsidR="00076C22" w:rsidRPr="00881017" w:rsidRDefault="00076C22" w:rsidP="00CD3F2E">
            <w:pPr>
              <w:spacing w:after="0"/>
              <w:ind w:left="-426" w:right="-283"/>
              <w:jc w:val="center"/>
              <w:rPr>
                <w:rFonts w:ascii="Arial" w:eastAsia="Times New Roman" w:hAnsi="Arial" w:cs="Arial"/>
                <w:sz w:val="18"/>
                <w:szCs w:val="18"/>
                <w:lang w:eastAsia="es-ES"/>
              </w:rPr>
            </w:pPr>
            <w:r>
              <w:rPr>
                <w:rFonts w:ascii="Arial" w:eastAsia="Times New Roman" w:hAnsi="Arial" w:cs="Arial"/>
                <w:sz w:val="18"/>
                <w:szCs w:val="18"/>
                <w:lang w:eastAsia="es-ES"/>
              </w:rPr>
              <w:t>100</w:t>
            </w:r>
          </w:p>
        </w:tc>
        <w:tc>
          <w:tcPr>
            <w:tcW w:w="708" w:type="dxa"/>
            <w:tcBorders>
              <w:top w:val="nil"/>
              <w:left w:val="nil"/>
              <w:bottom w:val="double" w:sz="6" w:space="0" w:color="auto"/>
              <w:right w:val="nil"/>
            </w:tcBorders>
            <w:shd w:val="clear" w:color="auto" w:fill="EEFED0"/>
            <w:vAlign w:val="bottom"/>
          </w:tcPr>
          <w:p w:rsidR="00076C22" w:rsidRPr="00881017" w:rsidRDefault="00076C22" w:rsidP="00CD3F2E">
            <w:pPr>
              <w:spacing w:after="0"/>
              <w:ind w:left="-426" w:right="-283"/>
              <w:jc w:val="center"/>
              <w:rPr>
                <w:rFonts w:ascii="Arial" w:eastAsia="Times New Roman" w:hAnsi="Arial" w:cs="Arial"/>
                <w:sz w:val="18"/>
                <w:szCs w:val="18"/>
                <w:lang w:eastAsia="es-ES"/>
              </w:rPr>
            </w:pPr>
            <w:r w:rsidRPr="00881017">
              <w:rPr>
                <w:rFonts w:ascii="Arial" w:eastAsia="Times New Roman" w:hAnsi="Arial" w:cs="Arial"/>
                <w:sz w:val="18"/>
                <w:szCs w:val="18"/>
                <w:lang w:eastAsia="es-ES"/>
              </w:rPr>
              <w:t>18.7</w:t>
            </w:r>
          </w:p>
        </w:tc>
        <w:tc>
          <w:tcPr>
            <w:tcW w:w="709" w:type="dxa"/>
            <w:tcBorders>
              <w:top w:val="nil"/>
              <w:left w:val="nil"/>
              <w:bottom w:val="double" w:sz="6" w:space="0" w:color="auto"/>
              <w:right w:val="nil"/>
            </w:tcBorders>
            <w:shd w:val="clear" w:color="auto" w:fill="EEFED0"/>
            <w:vAlign w:val="bottom"/>
          </w:tcPr>
          <w:p w:rsidR="00076C22" w:rsidRPr="00881017" w:rsidRDefault="00076C22" w:rsidP="00CD3F2E">
            <w:pPr>
              <w:spacing w:after="0"/>
              <w:ind w:left="-426" w:right="-283"/>
              <w:jc w:val="center"/>
              <w:rPr>
                <w:rFonts w:ascii="Arial" w:eastAsia="Times New Roman" w:hAnsi="Arial" w:cs="Arial"/>
                <w:sz w:val="18"/>
                <w:szCs w:val="18"/>
                <w:lang w:eastAsia="es-ES"/>
              </w:rPr>
            </w:pPr>
            <w:r w:rsidRPr="00881017">
              <w:rPr>
                <w:rFonts w:ascii="Arial" w:eastAsia="Times New Roman" w:hAnsi="Arial" w:cs="Arial"/>
                <w:sz w:val="18"/>
                <w:szCs w:val="18"/>
                <w:lang w:eastAsia="es-ES"/>
              </w:rPr>
              <w:t>52.5</w:t>
            </w:r>
          </w:p>
        </w:tc>
        <w:tc>
          <w:tcPr>
            <w:tcW w:w="1317" w:type="dxa"/>
            <w:tcBorders>
              <w:top w:val="nil"/>
              <w:left w:val="nil"/>
              <w:bottom w:val="double" w:sz="6" w:space="0" w:color="auto"/>
              <w:right w:val="nil"/>
            </w:tcBorders>
            <w:shd w:val="clear" w:color="auto" w:fill="EEFED0"/>
            <w:vAlign w:val="bottom"/>
          </w:tcPr>
          <w:p w:rsidR="00076C22" w:rsidRPr="00881017" w:rsidRDefault="00076C22" w:rsidP="00CD3F2E">
            <w:pPr>
              <w:spacing w:after="0"/>
              <w:ind w:left="-426" w:right="-283"/>
              <w:jc w:val="center"/>
              <w:rPr>
                <w:rFonts w:ascii="Arial" w:eastAsia="Times New Roman" w:hAnsi="Arial" w:cs="Arial"/>
                <w:sz w:val="18"/>
                <w:szCs w:val="18"/>
                <w:lang w:eastAsia="es-ES"/>
              </w:rPr>
            </w:pPr>
            <w:r w:rsidRPr="00881017">
              <w:rPr>
                <w:rFonts w:ascii="Arial" w:eastAsia="Times New Roman" w:hAnsi="Arial" w:cs="Arial"/>
                <w:sz w:val="18"/>
                <w:szCs w:val="18"/>
                <w:lang w:eastAsia="es-ES"/>
              </w:rPr>
              <w:t>28.8</w:t>
            </w:r>
          </w:p>
        </w:tc>
        <w:tc>
          <w:tcPr>
            <w:tcW w:w="809" w:type="dxa"/>
            <w:tcBorders>
              <w:top w:val="nil"/>
              <w:left w:val="nil"/>
              <w:bottom w:val="double" w:sz="6" w:space="0" w:color="auto"/>
              <w:right w:val="nil"/>
            </w:tcBorders>
            <w:shd w:val="clear" w:color="auto" w:fill="EEFED0"/>
            <w:vAlign w:val="bottom"/>
          </w:tcPr>
          <w:p w:rsidR="00076C22" w:rsidRPr="00881017" w:rsidRDefault="00076C22" w:rsidP="00640AF6">
            <w:pPr>
              <w:spacing w:after="0"/>
              <w:ind w:left="-426" w:right="-283"/>
              <w:jc w:val="center"/>
              <w:rPr>
                <w:rFonts w:ascii="Arial" w:eastAsia="Times New Roman" w:hAnsi="Arial" w:cs="Arial"/>
                <w:sz w:val="18"/>
                <w:szCs w:val="18"/>
                <w:lang w:eastAsia="es-ES"/>
              </w:rPr>
            </w:pPr>
            <w:r>
              <w:rPr>
                <w:rFonts w:ascii="Arial" w:eastAsia="Times New Roman" w:hAnsi="Arial" w:cs="Arial"/>
                <w:sz w:val="18"/>
                <w:szCs w:val="18"/>
                <w:lang w:eastAsia="es-ES"/>
              </w:rPr>
              <w:t>100</w:t>
            </w:r>
          </w:p>
        </w:tc>
      </w:tr>
      <w:tr w:rsidR="00076C22" w:rsidRPr="00881017" w:rsidTr="00076C22">
        <w:trPr>
          <w:trHeight w:val="98"/>
        </w:trPr>
        <w:tc>
          <w:tcPr>
            <w:tcW w:w="1702" w:type="dxa"/>
            <w:tcBorders>
              <w:top w:val="nil"/>
              <w:left w:val="nil"/>
              <w:bottom w:val="nil"/>
              <w:right w:val="nil"/>
            </w:tcBorders>
            <w:shd w:val="clear" w:color="000000" w:fill="FFFFFF"/>
            <w:vAlign w:val="center"/>
          </w:tcPr>
          <w:p w:rsidR="00076C22" w:rsidRPr="00881017" w:rsidRDefault="00076C22" w:rsidP="00640AF6">
            <w:pPr>
              <w:spacing w:after="0"/>
              <w:ind w:left="-426" w:right="-283"/>
              <w:jc w:val="center"/>
              <w:rPr>
                <w:rFonts w:ascii="Arial" w:eastAsia="Times New Roman" w:hAnsi="Arial" w:cs="Arial"/>
                <w:b/>
                <w:bCs/>
                <w:i/>
                <w:iCs/>
                <w:sz w:val="18"/>
                <w:szCs w:val="18"/>
                <w:lang w:eastAsia="es-ES"/>
              </w:rPr>
            </w:pPr>
            <w:proofErr w:type="spellStart"/>
            <w:r>
              <w:rPr>
                <w:rFonts w:ascii="Arial" w:eastAsia="Times New Roman" w:hAnsi="Arial" w:cs="Arial"/>
                <w:b/>
                <w:bCs/>
                <w:i/>
                <w:iCs/>
                <w:sz w:val="18"/>
                <w:szCs w:val="18"/>
                <w:lang w:eastAsia="es-ES"/>
              </w:rPr>
              <w:t>Public</w:t>
            </w:r>
            <w:proofErr w:type="spellEnd"/>
            <w:r>
              <w:rPr>
                <w:rFonts w:ascii="Arial" w:eastAsia="Times New Roman" w:hAnsi="Arial" w:cs="Arial"/>
                <w:b/>
                <w:bCs/>
                <w:i/>
                <w:iCs/>
                <w:sz w:val="18"/>
                <w:szCs w:val="18"/>
                <w:lang w:eastAsia="es-ES"/>
              </w:rPr>
              <w:t xml:space="preserve"> </w:t>
            </w:r>
            <w:proofErr w:type="spellStart"/>
            <w:r>
              <w:rPr>
                <w:rFonts w:ascii="Arial" w:eastAsia="Times New Roman" w:hAnsi="Arial" w:cs="Arial"/>
                <w:b/>
                <w:bCs/>
                <w:i/>
                <w:iCs/>
                <w:sz w:val="18"/>
                <w:szCs w:val="18"/>
                <w:lang w:eastAsia="es-ES"/>
              </w:rPr>
              <w:t>schools</w:t>
            </w:r>
            <w:proofErr w:type="spellEnd"/>
          </w:p>
        </w:tc>
        <w:tc>
          <w:tcPr>
            <w:tcW w:w="850" w:type="dxa"/>
            <w:tcBorders>
              <w:top w:val="nil"/>
              <w:left w:val="nil"/>
              <w:bottom w:val="nil"/>
              <w:right w:val="nil"/>
            </w:tcBorders>
            <w:shd w:val="clear" w:color="000000" w:fill="DBE5F1"/>
            <w:vAlign w:val="bottom"/>
          </w:tcPr>
          <w:p w:rsidR="00076C22" w:rsidRPr="00881017" w:rsidRDefault="00076C22" w:rsidP="00640AF6">
            <w:pPr>
              <w:spacing w:after="0"/>
              <w:ind w:left="-426" w:right="-283"/>
              <w:jc w:val="center"/>
              <w:rPr>
                <w:rFonts w:ascii="Arial" w:eastAsia="Times New Roman" w:hAnsi="Arial" w:cs="Arial"/>
                <w:sz w:val="18"/>
                <w:szCs w:val="18"/>
                <w:lang w:eastAsia="es-ES"/>
              </w:rPr>
            </w:pPr>
            <w:r w:rsidRPr="00881017">
              <w:rPr>
                <w:rFonts w:ascii="Arial" w:eastAsia="Times New Roman" w:hAnsi="Arial" w:cs="Arial"/>
                <w:sz w:val="18"/>
                <w:szCs w:val="18"/>
                <w:lang w:eastAsia="es-ES"/>
              </w:rPr>
              <w:t>8</w:t>
            </w:r>
          </w:p>
        </w:tc>
        <w:tc>
          <w:tcPr>
            <w:tcW w:w="709" w:type="dxa"/>
            <w:tcBorders>
              <w:top w:val="nil"/>
              <w:left w:val="nil"/>
              <w:bottom w:val="nil"/>
              <w:right w:val="nil"/>
            </w:tcBorders>
            <w:shd w:val="clear" w:color="000000" w:fill="DBE5F1"/>
            <w:vAlign w:val="bottom"/>
          </w:tcPr>
          <w:p w:rsidR="00076C22" w:rsidRPr="00881017" w:rsidRDefault="00076C22" w:rsidP="00640AF6">
            <w:pPr>
              <w:spacing w:after="0"/>
              <w:ind w:left="-426" w:right="-283"/>
              <w:jc w:val="center"/>
              <w:rPr>
                <w:rFonts w:ascii="Arial" w:eastAsia="Times New Roman" w:hAnsi="Arial" w:cs="Arial"/>
                <w:sz w:val="18"/>
                <w:szCs w:val="18"/>
                <w:lang w:eastAsia="es-ES"/>
              </w:rPr>
            </w:pPr>
            <w:r w:rsidRPr="00881017">
              <w:rPr>
                <w:rFonts w:ascii="Arial" w:eastAsia="Times New Roman" w:hAnsi="Arial" w:cs="Arial"/>
                <w:sz w:val="18"/>
                <w:szCs w:val="18"/>
                <w:lang w:eastAsia="es-ES"/>
              </w:rPr>
              <w:t>33.8</w:t>
            </w:r>
          </w:p>
        </w:tc>
        <w:tc>
          <w:tcPr>
            <w:tcW w:w="1276" w:type="dxa"/>
            <w:tcBorders>
              <w:top w:val="nil"/>
              <w:left w:val="nil"/>
              <w:bottom w:val="nil"/>
              <w:right w:val="nil"/>
            </w:tcBorders>
            <w:shd w:val="clear" w:color="000000" w:fill="DBE5F1"/>
            <w:vAlign w:val="bottom"/>
          </w:tcPr>
          <w:p w:rsidR="00076C22" w:rsidRPr="00881017" w:rsidRDefault="00076C22" w:rsidP="00CD3F2E">
            <w:pPr>
              <w:spacing w:after="0"/>
              <w:ind w:left="-426" w:right="-283"/>
              <w:jc w:val="center"/>
              <w:rPr>
                <w:rFonts w:ascii="Arial" w:eastAsia="Times New Roman" w:hAnsi="Arial" w:cs="Arial"/>
                <w:sz w:val="18"/>
                <w:szCs w:val="18"/>
                <w:lang w:eastAsia="es-ES"/>
              </w:rPr>
            </w:pPr>
            <w:r w:rsidRPr="00881017">
              <w:rPr>
                <w:rFonts w:ascii="Arial" w:eastAsia="Times New Roman" w:hAnsi="Arial" w:cs="Arial"/>
                <w:sz w:val="18"/>
                <w:szCs w:val="18"/>
                <w:lang w:eastAsia="es-ES"/>
              </w:rPr>
              <w:t>58.2</w:t>
            </w:r>
          </w:p>
        </w:tc>
        <w:tc>
          <w:tcPr>
            <w:tcW w:w="709" w:type="dxa"/>
            <w:tcBorders>
              <w:top w:val="nil"/>
              <w:left w:val="nil"/>
              <w:bottom w:val="nil"/>
              <w:right w:val="nil"/>
            </w:tcBorders>
            <w:shd w:val="clear" w:color="000000" w:fill="DBE5F1"/>
            <w:vAlign w:val="bottom"/>
          </w:tcPr>
          <w:p w:rsidR="00076C22" w:rsidRPr="00881017" w:rsidRDefault="00076C22" w:rsidP="00CD3F2E">
            <w:pPr>
              <w:spacing w:after="0"/>
              <w:ind w:left="-426" w:right="-283"/>
              <w:jc w:val="center"/>
              <w:rPr>
                <w:rFonts w:ascii="Arial" w:eastAsia="Times New Roman" w:hAnsi="Arial" w:cs="Arial"/>
                <w:sz w:val="18"/>
                <w:szCs w:val="18"/>
                <w:lang w:eastAsia="es-ES"/>
              </w:rPr>
            </w:pPr>
            <w:r>
              <w:rPr>
                <w:rFonts w:ascii="Arial" w:eastAsia="Times New Roman" w:hAnsi="Arial" w:cs="Arial"/>
                <w:sz w:val="18"/>
                <w:szCs w:val="18"/>
                <w:lang w:eastAsia="es-ES"/>
              </w:rPr>
              <w:t>100</w:t>
            </w:r>
          </w:p>
        </w:tc>
        <w:tc>
          <w:tcPr>
            <w:tcW w:w="708" w:type="dxa"/>
            <w:tcBorders>
              <w:top w:val="nil"/>
              <w:left w:val="nil"/>
              <w:bottom w:val="nil"/>
              <w:right w:val="nil"/>
            </w:tcBorders>
            <w:shd w:val="clear" w:color="auto" w:fill="EEFED0"/>
            <w:vAlign w:val="bottom"/>
          </w:tcPr>
          <w:p w:rsidR="00076C22" w:rsidRPr="00881017" w:rsidRDefault="00076C22" w:rsidP="00CD3F2E">
            <w:pPr>
              <w:spacing w:after="0"/>
              <w:ind w:left="-426" w:right="-283"/>
              <w:jc w:val="center"/>
              <w:rPr>
                <w:rFonts w:ascii="Arial" w:eastAsia="Times New Roman" w:hAnsi="Arial" w:cs="Arial"/>
                <w:sz w:val="18"/>
                <w:szCs w:val="18"/>
                <w:lang w:eastAsia="es-ES"/>
              </w:rPr>
            </w:pPr>
            <w:r w:rsidRPr="00881017">
              <w:rPr>
                <w:rFonts w:ascii="Arial" w:eastAsia="Times New Roman" w:hAnsi="Arial" w:cs="Arial"/>
                <w:sz w:val="18"/>
                <w:szCs w:val="18"/>
                <w:lang w:eastAsia="es-ES"/>
              </w:rPr>
              <w:t>11.9</w:t>
            </w:r>
          </w:p>
        </w:tc>
        <w:tc>
          <w:tcPr>
            <w:tcW w:w="709" w:type="dxa"/>
            <w:tcBorders>
              <w:top w:val="nil"/>
              <w:left w:val="nil"/>
              <w:bottom w:val="nil"/>
              <w:right w:val="nil"/>
            </w:tcBorders>
            <w:shd w:val="clear" w:color="auto" w:fill="EEFED0"/>
            <w:vAlign w:val="bottom"/>
          </w:tcPr>
          <w:p w:rsidR="00076C22" w:rsidRPr="00881017" w:rsidRDefault="00076C22" w:rsidP="00CD3F2E">
            <w:pPr>
              <w:spacing w:after="0"/>
              <w:ind w:left="-426" w:right="-283"/>
              <w:jc w:val="center"/>
              <w:rPr>
                <w:rFonts w:ascii="Arial" w:eastAsia="Times New Roman" w:hAnsi="Arial" w:cs="Arial"/>
                <w:sz w:val="18"/>
                <w:szCs w:val="18"/>
                <w:lang w:eastAsia="es-ES"/>
              </w:rPr>
            </w:pPr>
            <w:r w:rsidRPr="00881017">
              <w:rPr>
                <w:rFonts w:ascii="Arial" w:eastAsia="Times New Roman" w:hAnsi="Arial" w:cs="Arial"/>
                <w:sz w:val="18"/>
                <w:szCs w:val="18"/>
                <w:lang w:eastAsia="es-ES"/>
              </w:rPr>
              <w:t>52.9</w:t>
            </w:r>
          </w:p>
        </w:tc>
        <w:tc>
          <w:tcPr>
            <w:tcW w:w="1317" w:type="dxa"/>
            <w:tcBorders>
              <w:top w:val="nil"/>
              <w:left w:val="nil"/>
              <w:bottom w:val="nil"/>
              <w:right w:val="nil"/>
            </w:tcBorders>
            <w:shd w:val="clear" w:color="auto" w:fill="EEFED0"/>
            <w:vAlign w:val="bottom"/>
          </w:tcPr>
          <w:p w:rsidR="00076C22" w:rsidRPr="00881017" w:rsidRDefault="00076C22" w:rsidP="00CD3F2E">
            <w:pPr>
              <w:spacing w:after="0"/>
              <w:ind w:left="-426" w:right="-283"/>
              <w:jc w:val="center"/>
              <w:rPr>
                <w:rFonts w:ascii="Arial" w:eastAsia="Times New Roman" w:hAnsi="Arial" w:cs="Arial"/>
                <w:sz w:val="18"/>
                <w:szCs w:val="18"/>
                <w:lang w:eastAsia="es-ES"/>
              </w:rPr>
            </w:pPr>
            <w:r w:rsidRPr="00881017">
              <w:rPr>
                <w:rFonts w:ascii="Arial" w:eastAsia="Times New Roman" w:hAnsi="Arial" w:cs="Arial"/>
                <w:sz w:val="18"/>
                <w:szCs w:val="18"/>
                <w:lang w:eastAsia="es-ES"/>
              </w:rPr>
              <w:t>35.1</w:t>
            </w:r>
          </w:p>
        </w:tc>
        <w:tc>
          <w:tcPr>
            <w:tcW w:w="809" w:type="dxa"/>
            <w:tcBorders>
              <w:top w:val="nil"/>
              <w:left w:val="nil"/>
              <w:bottom w:val="nil"/>
              <w:right w:val="nil"/>
            </w:tcBorders>
            <w:shd w:val="clear" w:color="auto" w:fill="EEFED0"/>
            <w:vAlign w:val="bottom"/>
          </w:tcPr>
          <w:p w:rsidR="00076C22" w:rsidRPr="00881017" w:rsidRDefault="00076C22" w:rsidP="00640AF6">
            <w:pPr>
              <w:spacing w:after="0"/>
              <w:ind w:left="-426" w:right="-283"/>
              <w:jc w:val="center"/>
              <w:rPr>
                <w:rFonts w:ascii="Arial" w:eastAsia="Times New Roman" w:hAnsi="Arial" w:cs="Arial"/>
                <w:sz w:val="18"/>
                <w:szCs w:val="18"/>
                <w:lang w:eastAsia="es-ES"/>
              </w:rPr>
            </w:pPr>
            <w:r>
              <w:rPr>
                <w:rFonts w:ascii="Arial" w:eastAsia="Times New Roman" w:hAnsi="Arial" w:cs="Arial"/>
                <w:sz w:val="18"/>
                <w:szCs w:val="18"/>
                <w:lang w:eastAsia="es-ES"/>
              </w:rPr>
              <w:t>100</w:t>
            </w:r>
          </w:p>
        </w:tc>
      </w:tr>
      <w:tr w:rsidR="00076C22" w:rsidRPr="00881017" w:rsidTr="00076C22">
        <w:trPr>
          <w:trHeight w:val="178"/>
        </w:trPr>
        <w:tc>
          <w:tcPr>
            <w:tcW w:w="1702" w:type="dxa"/>
            <w:tcBorders>
              <w:top w:val="nil"/>
              <w:left w:val="nil"/>
              <w:bottom w:val="double" w:sz="6" w:space="0" w:color="auto"/>
              <w:right w:val="nil"/>
            </w:tcBorders>
            <w:shd w:val="clear" w:color="000000" w:fill="FFFFFF"/>
            <w:vAlign w:val="center"/>
          </w:tcPr>
          <w:p w:rsidR="00076C22" w:rsidRPr="00881017" w:rsidRDefault="00076C22" w:rsidP="00640AF6">
            <w:pPr>
              <w:spacing w:after="0"/>
              <w:ind w:left="-426" w:right="-283"/>
              <w:jc w:val="center"/>
              <w:rPr>
                <w:rFonts w:ascii="Arial" w:eastAsia="Times New Roman" w:hAnsi="Arial" w:cs="Arial"/>
                <w:b/>
                <w:bCs/>
                <w:i/>
                <w:iCs/>
                <w:sz w:val="18"/>
                <w:szCs w:val="18"/>
                <w:lang w:eastAsia="es-ES"/>
              </w:rPr>
            </w:pPr>
            <w:proofErr w:type="spellStart"/>
            <w:r>
              <w:rPr>
                <w:rFonts w:ascii="Arial" w:eastAsia="Times New Roman" w:hAnsi="Arial" w:cs="Arial"/>
                <w:b/>
                <w:bCs/>
                <w:i/>
                <w:iCs/>
                <w:sz w:val="18"/>
                <w:szCs w:val="18"/>
                <w:lang w:eastAsia="es-ES"/>
              </w:rPr>
              <w:t>Private</w:t>
            </w:r>
            <w:proofErr w:type="spellEnd"/>
            <w:r>
              <w:rPr>
                <w:rFonts w:ascii="Arial" w:eastAsia="Times New Roman" w:hAnsi="Arial" w:cs="Arial"/>
                <w:b/>
                <w:bCs/>
                <w:i/>
                <w:iCs/>
                <w:sz w:val="18"/>
                <w:szCs w:val="18"/>
                <w:lang w:eastAsia="es-ES"/>
              </w:rPr>
              <w:t xml:space="preserve"> </w:t>
            </w:r>
            <w:proofErr w:type="spellStart"/>
            <w:r>
              <w:rPr>
                <w:rFonts w:ascii="Arial" w:eastAsia="Times New Roman" w:hAnsi="Arial" w:cs="Arial"/>
                <w:b/>
                <w:bCs/>
                <w:i/>
                <w:iCs/>
                <w:sz w:val="18"/>
                <w:szCs w:val="18"/>
                <w:lang w:eastAsia="es-ES"/>
              </w:rPr>
              <w:t>schools</w:t>
            </w:r>
            <w:proofErr w:type="spellEnd"/>
          </w:p>
        </w:tc>
        <w:tc>
          <w:tcPr>
            <w:tcW w:w="850" w:type="dxa"/>
            <w:tcBorders>
              <w:top w:val="nil"/>
              <w:left w:val="nil"/>
              <w:bottom w:val="double" w:sz="6" w:space="0" w:color="auto"/>
              <w:right w:val="nil"/>
            </w:tcBorders>
            <w:shd w:val="clear" w:color="000000" w:fill="DBE5F1"/>
            <w:vAlign w:val="bottom"/>
          </w:tcPr>
          <w:p w:rsidR="00076C22" w:rsidRPr="00881017" w:rsidRDefault="00076C22" w:rsidP="00640AF6">
            <w:pPr>
              <w:spacing w:after="0"/>
              <w:ind w:left="-426" w:right="-283"/>
              <w:jc w:val="center"/>
              <w:rPr>
                <w:rFonts w:ascii="Arial" w:eastAsia="Times New Roman" w:hAnsi="Arial" w:cs="Arial"/>
                <w:sz w:val="18"/>
                <w:szCs w:val="18"/>
                <w:lang w:eastAsia="es-ES"/>
              </w:rPr>
            </w:pPr>
            <w:r w:rsidRPr="00881017">
              <w:rPr>
                <w:rFonts w:ascii="Arial" w:eastAsia="Times New Roman" w:hAnsi="Arial" w:cs="Arial"/>
                <w:sz w:val="18"/>
                <w:szCs w:val="18"/>
                <w:lang w:eastAsia="es-ES"/>
              </w:rPr>
              <w:t>15.3</w:t>
            </w:r>
          </w:p>
        </w:tc>
        <w:tc>
          <w:tcPr>
            <w:tcW w:w="709" w:type="dxa"/>
            <w:tcBorders>
              <w:top w:val="nil"/>
              <w:left w:val="nil"/>
              <w:bottom w:val="double" w:sz="6" w:space="0" w:color="auto"/>
              <w:right w:val="nil"/>
            </w:tcBorders>
            <w:shd w:val="clear" w:color="000000" w:fill="DBE5F1"/>
            <w:vAlign w:val="bottom"/>
          </w:tcPr>
          <w:p w:rsidR="00076C22" w:rsidRPr="00881017" w:rsidRDefault="00076C22" w:rsidP="00640AF6">
            <w:pPr>
              <w:spacing w:after="0"/>
              <w:ind w:left="-426" w:right="-283"/>
              <w:jc w:val="center"/>
              <w:rPr>
                <w:rFonts w:ascii="Arial" w:eastAsia="Times New Roman" w:hAnsi="Arial" w:cs="Arial"/>
                <w:sz w:val="18"/>
                <w:szCs w:val="18"/>
                <w:lang w:eastAsia="es-ES"/>
              </w:rPr>
            </w:pPr>
            <w:r w:rsidRPr="00881017">
              <w:rPr>
                <w:rFonts w:ascii="Arial" w:eastAsia="Times New Roman" w:hAnsi="Arial" w:cs="Arial"/>
                <w:sz w:val="18"/>
                <w:szCs w:val="18"/>
                <w:lang w:eastAsia="es-ES"/>
              </w:rPr>
              <w:t>44.5</w:t>
            </w:r>
          </w:p>
        </w:tc>
        <w:tc>
          <w:tcPr>
            <w:tcW w:w="1276" w:type="dxa"/>
            <w:tcBorders>
              <w:top w:val="nil"/>
              <w:left w:val="nil"/>
              <w:bottom w:val="double" w:sz="6" w:space="0" w:color="auto"/>
              <w:right w:val="nil"/>
            </w:tcBorders>
            <w:shd w:val="clear" w:color="000000" w:fill="DBE5F1"/>
            <w:vAlign w:val="bottom"/>
          </w:tcPr>
          <w:p w:rsidR="00076C22" w:rsidRPr="00881017" w:rsidRDefault="00076C22" w:rsidP="00CD3F2E">
            <w:pPr>
              <w:spacing w:after="0"/>
              <w:ind w:left="-426" w:right="-283"/>
              <w:jc w:val="center"/>
              <w:rPr>
                <w:rFonts w:ascii="Arial" w:eastAsia="Times New Roman" w:hAnsi="Arial" w:cs="Arial"/>
                <w:sz w:val="18"/>
                <w:szCs w:val="18"/>
                <w:lang w:eastAsia="es-ES"/>
              </w:rPr>
            </w:pPr>
            <w:r w:rsidRPr="00881017">
              <w:rPr>
                <w:rFonts w:ascii="Arial" w:eastAsia="Times New Roman" w:hAnsi="Arial" w:cs="Arial"/>
                <w:sz w:val="18"/>
                <w:szCs w:val="18"/>
                <w:lang w:eastAsia="es-ES"/>
              </w:rPr>
              <w:t>40.2</w:t>
            </w:r>
          </w:p>
        </w:tc>
        <w:tc>
          <w:tcPr>
            <w:tcW w:w="709" w:type="dxa"/>
            <w:tcBorders>
              <w:top w:val="nil"/>
              <w:left w:val="nil"/>
              <w:bottom w:val="double" w:sz="6" w:space="0" w:color="auto"/>
              <w:right w:val="nil"/>
            </w:tcBorders>
            <w:shd w:val="clear" w:color="000000" w:fill="DBE5F1"/>
            <w:vAlign w:val="bottom"/>
          </w:tcPr>
          <w:p w:rsidR="00076C22" w:rsidRPr="00881017" w:rsidRDefault="00076C22" w:rsidP="00CD3F2E">
            <w:pPr>
              <w:spacing w:after="0"/>
              <w:ind w:left="-426" w:right="-283"/>
              <w:jc w:val="center"/>
              <w:rPr>
                <w:rFonts w:ascii="Arial" w:eastAsia="Times New Roman" w:hAnsi="Arial" w:cs="Arial"/>
                <w:sz w:val="18"/>
                <w:szCs w:val="18"/>
                <w:lang w:eastAsia="es-ES"/>
              </w:rPr>
            </w:pPr>
            <w:r>
              <w:rPr>
                <w:rFonts w:ascii="Arial" w:eastAsia="Times New Roman" w:hAnsi="Arial" w:cs="Arial"/>
                <w:sz w:val="18"/>
                <w:szCs w:val="18"/>
                <w:lang w:eastAsia="es-ES"/>
              </w:rPr>
              <w:t>100</w:t>
            </w:r>
          </w:p>
        </w:tc>
        <w:tc>
          <w:tcPr>
            <w:tcW w:w="708" w:type="dxa"/>
            <w:tcBorders>
              <w:top w:val="nil"/>
              <w:left w:val="nil"/>
              <w:bottom w:val="double" w:sz="6" w:space="0" w:color="auto"/>
              <w:right w:val="nil"/>
            </w:tcBorders>
            <w:shd w:val="clear" w:color="auto" w:fill="EEFED0"/>
            <w:vAlign w:val="bottom"/>
          </w:tcPr>
          <w:p w:rsidR="00076C22" w:rsidRPr="00881017" w:rsidRDefault="00076C22" w:rsidP="00CD3F2E">
            <w:pPr>
              <w:spacing w:after="0"/>
              <w:ind w:left="-426" w:right="-283"/>
              <w:jc w:val="center"/>
              <w:rPr>
                <w:rFonts w:ascii="Arial" w:eastAsia="Times New Roman" w:hAnsi="Arial" w:cs="Arial"/>
                <w:sz w:val="18"/>
                <w:szCs w:val="18"/>
                <w:lang w:eastAsia="es-ES"/>
              </w:rPr>
            </w:pPr>
            <w:r w:rsidRPr="00881017">
              <w:rPr>
                <w:rFonts w:ascii="Arial" w:eastAsia="Times New Roman" w:hAnsi="Arial" w:cs="Arial"/>
                <w:sz w:val="18"/>
                <w:szCs w:val="18"/>
                <w:lang w:eastAsia="es-ES"/>
              </w:rPr>
              <w:t>37.7</w:t>
            </w:r>
          </w:p>
        </w:tc>
        <w:tc>
          <w:tcPr>
            <w:tcW w:w="709" w:type="dxa"/>
            <w:tcBorders>
              <w:top w:val="nil"/>
              <w:left w:val="nil"/>
              <w:bottom w:val="double" w:sz="6" w:space="0" w:color="auto"/>
              <w:right w:val="nil"/>
            </w:tcBorders>
            <w:shd w:val="clear" w:color="auto" w:fill="EEFED0"/>
            <w:vAlign w:val="bottom"/>
          </w:tcPr>
          <w:p w:rsidR="00076C22" w:rsidRPr="00881017" w:rsidRDefault="00076C22" w:rsidP="00CD3F2E">
            <w:pPr>
              <w:spacing w:after="0"/>
              <w:ind w:left="-426" w:right="-283"/>
              <w:jc w:val="center"/>
              <w:rPr>
                <w:rFonts w:ascii="Arial" w:eastAsia="Times New Roman" w:hAnsi="Arial" w:cs="Arial"/>
                <w:sz w:val="18"/>
                <w:szCs w:val="18"/>
                <w:lang w:eastAsia="es-ES"/>
              </w:rPr>
            </w:pPr>
            <w:r w:rsidRPr="00881017">
              <w:rPr>
                <w:rFonts w:ascii="Arial" w:eastAsia="Times New Roman" w:hAnsi="Arial" w:cs="Arial"/>
                <w:sz w:val="18"/>
                <w:szCs w:val="18"/>
                <w:lang w:eastAsia="es-ES"/>
              </w:rPr>
              <w:t>53.8</w:t>
            </w:r>
          </w:p>
        </w:tc>
        <w:tc>
          <w:tcPr>
            <w:tcW w:w="1317" w:type="dxa"/>
            <w:tcBorders>
              <w:top w:val="nil"/>
              <w:left w:val="nil"/>
              <w:bottom w:val="double" w:sz="6" w:space="0" w:color="auto"/>
              <w:right w:val="nil"/>
            </w:tcBorders>
            <w:shd w:val="clear" w:color="auto" w:fill="EEFED0"/>
            <w:vAlign w:val="bottom"/>
          </w:tcPr>
          <w:p w:rsidR="00076C22" w:rsidRPr="00881017" w:rsidRDefault="00076C22" w:rsidP="00CD3F2E">
            <w:pPr>
              <w:spacing w:after="0"/>
              <w:ind w:left="-426" w:right="-283"/>
              <w:jc w:val="center"/>
              <w:rPr>
                <w:rFonts w:ascii="Arial" w:eastAsia="Times New Roman" w:hAnsi="Arial" w:cs="Arial"/>
                <w:sz w:val="18"/>
                <w:szCs w:val="18"/>
                <w:lang w:eastAsia="es-ES"/>
              </w:rPr>
            </w:pPr>
            <w:r w:rsidRPr="00881017">
              <w:rPr>
                <w:rFonts w:ascii="Arial" w:eastAsia="Times New Roman" w:hAnsi="Arial" w:cs="Arial"/>
                <w:sz w:val="18"/>
                <w:szCs w:val="18"/>
                <w:lang w:eastAsia="es-ES"/>
              </w:rPr>
              <w:t>8.5</w:t>
            </w:r>
          </w:p>
        </w:tc>
        <w:tc>
          <w:tcPr>
            <w:tcW w:w="809" w:type="dxa"/>
            <w:tcBorders>
              <w:top w:val="nil"/>
              <w:left w:val="nil"/>
              <w:bottom w:val="double" w:sz="6" w:space="0" w:color="auto"/>
              <w:right w:val="nil"/>
            </w:tcBorders>
            <w:shd w:val="clear" w:color="auto" w:fill="EEFED0"/>
            <w:vAlign w:val="bottom"/>
          </w:tcPr>
          <w:p w:rsidR="00076C22" w:rsidRPr="00881017" w:rsidRDefault="00076C22" w:rsidP="00640AF6">
            <w:pPr>
              <w:spacing w:after="0"/>
              <w:ind w:left="-426" w:right="-283"/>
              <w:jc w:val="center"/>
              <w:rPr>
                <w:rFonts w:ascii="Arial" w:eastAsia="Times New Roman" w:hAnsi="Arial" w:cs="Arial"/>
                <w:sz w:val="18"/>
                <w:szCs w:val="18"/>
                <w:lang w:eastAsia="es-ES"/>
              </w:rPr>
            </w:pPr>
            <w:r>
              <w:rPr>
                <w:rFonts w:ascii="Arial" w:eastAsia="Times New Roman" w:hAnsi="Arial" w:cs="Arial"/>
                <w:sz w:val="18"/>
                <w:szCs w:val="18"/>
                <w:lang w:eastAsia="es-ES"/>
              </w:rPr>
              <w:t>100</w:t>
            </w:r>
          </w:p>
        </w:tc>
      </w:tr>
      <w:tr w:rsidR="00076C22" w:rsidRPr="00881017" w:rsidTr="00076C22">
        <w:trPr>
          <w:trHeight w:val="235"/>
        </w:trPr>
        <w:tc>
          <w:tcPr>
            <w:tcW w:w="1702" w:type="dxa"/>
            <w:tcBorders>
              <w:top w:val="nil"/>
              <w:left w:val="nil"/>
              <w:bottom w:val="nil"/>
              <w:right w:val="nil"/>
            </w:tcBorders>
            <w:shd w:val="clear" w:color="000000" w:fill="FFFFFF"/>
            <w:vAlign w:val="center"/>
          </w:tcPr>
          <w:p w:rsidR="00076C22" w:rsidRPr="00881017" w:rsidRDefault="00076C22" w:rsidP="00640AF6">
            <w:pPr>
              <w:spacing w:after="0"/>
              <w:ind w:left="-426" w:right="-283"/>
              <w:jc w:val="center"/>
              <w:rPr>
                <w:rFonts w:ascii="Arial" w:eastAsia="Times New Roman" w:hAnsi="Arial" w:cs="Arial"/>
                <w:b/>
                <w:bCs/>
                <w:i/>
                <w:iCs/>
                <w:sz w:val="18"/>
                <w:szCs w:val="18"/>
                <w:lang w:eastAsia="es-ES"/>
              </w:rPr>
            </w:pPr>
            <w:proofErr w:type="spellStart"/>
            <w:r>
              <w:rPr>
                <w:rFonts w:ascii="Arial" w:eastAsia="Times New Roman" w:hAnsi="Arial" w:cs="Arial"/>
                <w:b/>
                <w:bCs/>
                <w:i/>
                <w:iCs/>
                <w:sz w:val="18"/>
                <w:szCs w:val="18"/>
                <w:lang w:eastAsia="es-ES"/>
              </w:rPr>
              <w:t>Urban</w:t>
            </w:r>
            <w:proofErr w:type="spellEnd"/>
            <w:r>
              <w:rPr>
                <w:rFonts w:ascii="Arial" w:eastAsia="Times New Roman" w:hAnsi="Arial" w:cs="Arial"/>
                <w:b/>
                <w:bCs/>
                <w:i/>
                <w:iCs/>
                <w:sz w:val="18"/>
                <w:szCs w:val="18"/>
                <w:lang w:eastAsia="es-ES"/>
              </w:rPr>
              <w:t xml:space="preserve"> </w:t>
            </w:r>
            <w:proofErr w:type="spellStart"/>
            <w:r>
              <w:rPr>
                <w:rFonts w:ascii="Arial" w:eastAsia="Times New Roman" w:hAnsi="Arial" w:cs="Arial"/>
                <w:b/>
                <w:bCs/>
                <w:i/>
                <w:iCs/>
                <w:sz w:val="18"/>
                <w:szCs w:val="18"/>
                <w:lang w:eastAsia="es-ES"/>
              </w:rPr>
              <w:t>area</w:t>
            </w:r>
            <w:proofErr w:type="spellEnd"/>
          </w:p>
        </w:tc>
        <w:tc>
          <w:tcPr>
            <w:tcW w:w="850" w:type="dxa"/>
            <w:tcBorders>
              <w:top w:val="nil"/>
              <w:left w:val="nil"/>
              <w:bottom w:val="nil"/>
              <w:right w:val="nil"/>
            </w:tcBorders>
            <w:shd w:val="clear" w:color="000000" w:fill="DBE5F1"/>
            <w:vAlign w:val="bottom"/>
          </w:tcPr>
          <w:p w:rsidR="00076C22" w:rsidRPr="00881017" w:rsidRDefault="00076C22" w:rsidP="00640AF6">
            <w:pPr>
              <w:spacing w:after="0"/>
              <w:ind w:left="-426" w:right="-283"/>
              <w:jc w:val="center"/>
              <w:rPr>
                <w:rFonts w:ascii="Arial" w:eastAsia="Times New Roman" w:hAnsi="Arial" w:cs="Arial"/>
                <w:sz w:val="18"/>
                <w:szCs w:val="18"/>
                <w:lang w:eastAsia="es-ES"/>
              </w:rPr>
            </w:pPr>
            <w:r w:rsidRPr="00881017">
              <w:rPr>
                <w:rFonts w:ascii="Arial" w:eastAsia="Times New Roman" w:hAnsi="Arial" w:cs="Arial"/>
                <w:sz w:val="18"/>
                <w:szCs w:val="18"/>
                <w:lang w:eastAsia="es-ES"/>
              </w:rPr>
              <w:t>10.9</w:t>
            </w:r>
          </w:p>
        </w:tc>
        <w:tc>
          <w:tcPr>
            <w:tcW w:w="709" w:type="dxa"/>
            <w:tcBorders>
              <w:top w:val="nil"/>
              <w:left w:val="nil"/>
              <w:bottom w:val="nil"/>
              <w:right w:val="nil"/>
            </w:tcBorders>
            <w:shd w:val="clear" w:color="000000" w:fill="DBE5F1"/>
            <w:vAlign w:val="bottom"/>
          </w:tcPr>
          <w:p w:rsidR="00076C22" w:rsidRPr="00881017" w:rsidRDefault="00076C22" w:rsidP="00640AF6">
            <w:pPr>
              <w:spacing w:after="0"/>
              <w:ind w:left="-426" w:right="-283"/>
              <w:jc w:val="center"/>
              <w:rPr>
                <w:rFonts w:ascii="Arial" w:eastAsia="Times New Roman" w:hAnsi="Arial" w:cs="Arial"/>
                <w:sz w:val="18"/>
                <w:szCs w:val="18"/>
                <w:lang w:eastAsia="es-ES"/>
              </w:rPr>
            </w:pPr>
            <w:r w:rsidRPr="00881017">
              <w:rPr>
                <w:rFonts w:ascii="Arial" w:eastAsia="Times New Roman" w:hAnsi="Arial" w:cs="Arial"/>
                <w:sz w:val="18"/>
                <w:szCs w:val="18"/>
                <w:lang w:eastAsia="es-ES"/>
              </w:rPr>
              <w:t>40.6</w:t>
            </w:r>
          </w:p>
        </w:tc>
        <w:tc>
          <w:tcPr>
            <w:tcW w:w="1276" w:type="dxa"/>
            <w:tcBorders>
              <w:top w:val="nil"/>
              <w:left w:val="nil"/>
              <w:bottom w:val="nil"/>
              <w:right w:val="nil"/>
            </w:tcBorders>
            <w:shd w:val="clear" w:color="000000" w:fill="DBE5F1"/>
            <w:vAlign w:val="bottom"/>
          </w:tcPr>
          <w:p w:rsidR="00076C22" w:rsidRPr="00881017" w:rsidRDefault="00076C22" w:rsidP="00CD3F2E">
            <w:pPr>
              <w:spacing w:after="0"/>
              <w:ind w:left="-426" w:right="-283"/>
              <w:jc w:val="center"/>
              <w:rPr>
                <w:rFonts w:ascii="Arial" w:eastAsia="Times New Roman" w:hAnsi="Arial" w:cs="Arial"/>
                <w:sz w:val="18"/>
                <w:szCs w:val="18"/>
                <w:lang w:eastAsia="es-ES"/>
              </w:rPr>
            </w:pPr>
            <w:r w:rsidRPr="00881017">
              <w:rPr>
                <w:rFonts w:ascii="Arial" w:eastAsia="Times New Roman" w:hAnsi="Arial" w:cs="Arial"/>
                <w:sz w:val="18"/>
                <w:szCs w:val="18"/>
                <w:lang w:eastAsia="es-ES"/>
              </w:rPr>
              <w:t>48.5</w:t>
            </w:r>
          </w:p>
        </w:tc>
        <w:tc>
          <w:tcPr>
            <w:tcW w:w="709" w:type="dxa"/>
            <w:tcBorders>
              <w:top w:val="nil"/>
              <w:left w:val="nil"/>
              <w:bottom w:val="nil"/>
              <w:right w:val="nil"/>
            </w:tcBorders>
            <w:shd w:val="clear" w:color="000000" w:fill="DBE5F1"/>
            <w:vAlign w:val="bottom"/>
          </w:tcPr>
          <w:p w:rsidR="00076C22" w:rsidRPr="00881017" w:rsidRDefault="00076C22" w:rsidP="00CD3F2E">
            <w:pPr>
              <w:spacing w:after="0"/>
              <w:ind w:left="-426" w:right="-283"/>
              <w:jc w:val="center"/>
              <w:rPr>
                <w:rFonts w:ascii="Arial" w:eastAsia="Times New Roman" w:hAnsi="Arial" w:cs="Arial"/>
                <w:sz w:val="18"/>
                <w:szCs w:val="18"/>
                <w:lang w:eastAsia="es-ES"/>
              </w:rPr>
            </w:pPr>
            <w:r>
              <w:rPr>
                <w:rFonts w:ascii="Arial" w:eastAsia="Times New Roman" w:hAnsi="Arial" w:cs="Arial"/>
                <w:sz w:val="18"/>
                <w:szCs w:val="18"/>
                <w:lang w:eastAsia="es-ES"/>
              </w:rPr>
              <w:t>100</w:t>
            </w:r>
          </w:p>
        </w:tc>
        <w:tc>
          <w:tcPr>
            <w:tcW w:w="708" w:type="dxa"/>
            <w:tcBorders>
              <w:top w:val="nil"/>
              <w:left w:val="nil"/>
              <w:bottom w:val="nil"/>
              <w:right w:val="nil"/>
            </w:tcBorders>
            <w:shd w:val="clear" w:color="auto" w:fill="EEFED0"/>
            <w:vAlign w:val="bottom"/>
          </w:tcPr>
          <w:p w:rsidR="00076C22" w:rsidRPr="00881017" w:rsidRDefault="00076C22" w:rsidP="00CD3F2E">
            <w:pPr>
              <w:spacing w:after="0"/>
              <w:ind w:left="-426" w:right="-283"/>
              <w:jc w:val="center"/>
              <w:rPr>
                <w:rFonts w:ascii="Arial" w:eastAsia="Times New Roman" w:hAnsi="Arial" w:cs="Arial"/>
                <w:sz w:val="18"/>
                <w:szCs w:val="18"/>
                <w:lang w:eastAsia="es-ES"/>
              </w:rPr>
            </w:pPr>
            <w:r w:rsidRPr="00881017">
              <w:rPr>
                <w:rFonts w:ascii="Arial" w:eastAsia="Times New Roman" w:hAnsi="Arial" w:cs="Arial"/>
                <w:sz w:val="18"/>
                <w:szCs w:val="18"/>
                <w:lang w:eastAsia="es-ES"/>
              </w:rPr>
              <w:t>22.5</w:t>
            </w:r>
          </w:p>
        </w:tc>
        <w:tc>
          <w:tcPr>
            <w:tcW w:w="709" w:type="dxa"/>
            <w:tcBorders>
              <w:top w:val="nil"/>
              <w:left w:val="nil"/>
              <w:bottom w:val="nil"/>
              <w:right w:val="nil"/>
            </w:tcBorders>
            <w:shd w:val="clear" w:color="auto" w:fill="EEFED0"/>
            <w:vAlign w:val="bottom"/>
          </w:tcPr>
          <w:p w:rsidR="00076C22" w:rsidRPr="00881017" w:rsidRDefault="00076C22" w:rsidP="00CD3F2E">
            <w:pPr>
              <w:spacing w:after="0"/>
              <w:ind w:left="-426" w:right="-283"/>
              <w:jc w:val="center"/>
              <w:rPr>
                <w:rFonts w:ascii="Arial" w:eastAsia="Times New Roman" w:hAnsi="Arial" w:cs="Arial"/>
                <w:sz w:val="18"/>
                <w:szCs w:val="18"/>
                <w:lang w:eastAsia="es-ES"/>
              </w:rPr>
            </w:pPr>
            <w:r w:rsidRPr="00881017">
              <w:rPr>
                <w:rFonts w:ascii="Arial" w:eastAsia="Times New Roman" w:hAnsi="Arial" w:cs="Arial"/>
                <w:sz w:val="18"/>
                <w:szCs w:val="18"/>
                <w:lang w:eastAsia="es-ES"/>
              </w:rPr>
              <w:t>58.5</w:t>
            </w:r>
          </w:p>
        </w:tc>
        <w:tc>
          <w:tcPr>
            <w:tcW w:w="1317" w:type="dxa"/>
            <w:tcBorders>
              <w:top w:val="nil"/>
              <w:left w:val="nil"/>
              <w:bottom w:val="nil"/>
              <w:right w:val="nil"/>
            </w:tcBorders>
            <w:shd w:val="clear" w:color="auto" w:fill="EEFED0"/>
            <w:vAlign w:val="bottom"/>
          </w:tcPr>
          <w:p w:rsidR="00076C22" w:rsidRPr="00881017" w:rsidRDefault="00076C22" w:rsidP="00CD3F2E">
            <w:pPr>
              <w:spacing w:after="0"/>
              <w:ind w:left="-426" w:right="-283"/>
              <w:jc w:val="center"/>
              <w:rPr>
                <w:rFonts w:ascii="Arial" w:eastAsia="Times New Roman" w:hAnsi="Arial" w:cs="Arial"/>
                <w:sz w:val="18"/>
                <w:szCs w:val="18"/>
                <w:lang w:eastAsia="es-ES"/>
              </w:rPr>
            </w:pPr>
            <w:r w:rsidRPr="00881017">
              <w:rPr>
                <w:rFonts w:ascii="Arial" w:eastAsia="Times New Roman" w:hAnsi="Arial" w:cs="Arial"/>
                <w:sz w:val="18"/>
                <w:szCs w:val="18"/>
                <w:lang w:eastAsia="es-ES"/>
              </w:rPr>
              <w:t>19</w:t>
            </w:r>
          </w:p>
        </w:tc>
        <w:tc>
          <w:tcPr>
            <w:tcW w:w="809" w:type="dxa"/>
            <w:tcBorders>
              <w:top w:val="nil"/>
              <w:left w:val="nil"/>
              <w:bottom w:val="nil"/>
              <w:right w:val="nil"/>
            </w:tcBorders>
            <w:shd w:val="clear" w:color="auto" w:fill="EEFED0"/>
            <w:vAlign w:val="bottom"/>
          </w:tcPr>
          <w:p w:rsidR="00076C22" w:rsidRPr="00881017" w:rsidRDefault="00076C22" w:rsidP="00640AF6">
            <w:pPr>
              <w:spacing w:after="0"/>
              <w:ind w:left="-426" w:right="-283"/>
              <w:jc w:val="center"/>
              <w:rPr>
                <w:rFonts w:ascii="Arial" w:eastAsia="Times New Roman" w:hAnsi="Arial" w:cs="Arial"/>
                <w:sz w:val="18"/>
                <w:szCs w:val="18"/>
                <w:lang w:eastAsia="es-ES"/>
              </w:rPr>
            </w:pPr>
            <w:r>
              <w:rPr>
                <w:rFonts w:ascii="Arial" w:eastAsia="Times New Roman" w:hAnsi="Arial" w:cs="Arial"/>
                <w:sz w:val="18"/>
                <w:szCs w:val="18"/>
                <w:lang w:eastAsia="es-ES"/>
              </w:rPr>
              <w:t>100</w:t>
            </w:r>
          </w:p>
        </w:tc>
      </w:tr>
      <w:tr w:rsidR="00076C22" w:rsidRPr="00881017" w:rsidTr="00076C22">
        <w:trPr>
          <w:trHeight w:val="101"/>
        </w:trPr>
        <w:tc>
          <w:tcPr>
            <w:tcW w:w="1702" w:type="dxa"/>
            <w:tcBorders>
              <w:top w:val="nil"/>
              <w:left w:val="nil"/>
              <w:bottom w:val="double" w:sz="6" w:space="0" w:color="auto"/>
              <w:right w:val="nil"/>
            </w:tcBorders>
            <w:shd w:val="clear" w:color="000000" w:fill="FFFFFF"/>
            <w:vAlign w:val="center"/>
          </w:tcPr>
          <w:p w:rsidR="00076C22" w:rsidRPr="00881017" w:rsidRDefault="00076C22" w:rsidP="00640AF6">
            <w:pPr>
              <w:spacing w:after="0"/>
              <w:ind w:left="-426" w:right="-283"/>
              <w:jc w:val="center"/>
              <w:rPr>
                <w:rFonts w:ascii="Arial" w:eastAsia="Times New Roman" w:hAnsi="Arial" w:cs="Arial"/>
                <w:b/>
                <w:bCs/>
                <w:i/>
                <w:iCs/>
                <w:sz w:val="18"/>
                <w:szCs w:val="18"/>
                <w:lang w:eastAsia="es-ES"/>
              </w:rPr>
            </w:pPr>
            <w:r w:rsidRPr="00881017">
              <w:rPr>
                <w:rFonts w:ascii="Arial" w:eastAsia="Times New Roman" w:hAnsi="Arial" w:cs="Arial"/>
                <w:b/>
                <w:bCs/>
                <w:i/>
                <w:iCs/>
                <w:sz w:val="18"/>
                <w:szCs w:val="18"/>
                <w:lang w:eastAsia="es-ES"/>
              </w:rPr>
              <w:t>Rural</w:t>
            </w:r>
            <w:r>
              <w:rPr>
                <w:rFonts w:ascii="Arial" w:eastAsia="Times New Roman" w:hAnsi="Arial" w:cs="Arial"/>
                <w:b/>
                <w:bCs/>
                <w:i/>
                <w:iCs/>
                <w:sz w:val="18"/>
                <w:szCs w:val="18"/>
                <w:lang w:eastAsia="es-ES"/>
              </w:rPr>
              <w:t xml:space="preserve"> </w:t>
            </w:r>
            <w:proofErr w:type="spellStart"/>
            <w:r>
              <w:rPr>
                <w:rFonts w:ascii="Arial" w:eastAsia="Times New Roman" w:hAnsi="Arial" w:cs="Arial"/>
                <w:b/>
                <w:bCs/>
                <w:i/>
                <w:iCs/>
                <w:sz w:val="18"/>
                <w:szCs w:val="18"/>
                <w:lang w:eastAsia="es-ES"/>
              </w:rPr>
              <w:t>area</w:t>
            </w:r>
            <w:proofErr w:type="spellEnd"/>
          </w:p>
        </w:tc>
        <w:tc>
          <w:tcPr>
            <w:tcW w:w="850" w:type="dxa"/>
            <w:tcBorders>
              <w:top w:val="nil"/>
              <w:left w:val="nil"/>
              <w:bottom w:val="double" w:sz="6" w:space="0" w:color="auto"/>
              <w:right w:val="nil"/>
            </w:tcBorders>
            <w:shd w:val="clear" w:color="000000" w:fill="DBE5F1"/>
            <w:vAlign w:val="bottom"/>
          </w:tcPr>
          <w:p w:rsidR="00076C22" w:rsidRPr="00881017" w:rsidRDefault="00076C22" w:rsidP="00640AF6">
            <w:pPr>
              <w:spacing w:after="0"/>
              <w:ind w:left="-426" w:right="-283"/>
              <w:jc w:val="center"/>
              <w:rPr>
                <w:rFonts w:ascii="Arial" w:eastAsia="Times New Roman" w:hAnsi="Arial" w:cs="Arial"/>
                <w:sz w:val="18"/>
                <w:szCs w:val="18"/>
                <w:lang w:eastAsia="es-ES"/>
              </w:rPr>
            </w:pPr>
            <w:r w:rsidRPr="00881017">
              <w:rPr>
                <w:rFonts w:ascii="Arial" w:eastAsia="Times New Roman" w:hAnsi="Arial" w:cs="Arial"/>
                <w:sz w:val="18"/>
                <w:szCs w:val="18"/>
                <w:lang w:eastAsia="es-ES"/>
              </w:rPr>
              <w:t>6.2</w:t>
            </w:r>
          </w:p>
        </w:tc>
        <w:tc>
          <w:tcPr>
            <w:tcW w:w="709" w:type="dxa"/>
            <w:tcBorders>
              <w:top w:val="nil"/>
              <w:left w:val="nil"/>
              <w:bottom w:val="double" w:sz="6" w:space="0" w:color="auto"/>
              <w:right w:val="nil"/>
            </w:tcBorders>
            <w:shd w:val="clear" w:color="000000" w:fill="DBE5F1"/>
            <w:vAlign w:val="bottom"/>
          </w:tcPr>
          <w:p w:rsidR="00076C22" w:rsidRPr="00881017" w:rsidRDefault="00076C22" w:rsidP="00640AF6">
            <w:pPr>
              <w:spacing w:after="0"/>
              <w:ind w:left="-426" w:right="-283"/>
              <w:jc w:val="center"/>
              <w:rPr>
                <w:rFonts w:ascii="Arial" w:eastAsia="Times New Roman" w:hAnsi="Arial" w:cs="Arial"/>
                <w:sz w:val="18"/>
                <w:szCs w:val="18"/>
                <w:lang w:eastAsia="es-ES"/>
              </w:rPr>
            </w:pPr>
            <w:r w:rsidRPr="00881017">
              <w:rPr>
                <w:rFonts w:ascii="Arial" w:eastAsia="Times New Roman" w:hAnsi="Arial" w:cs="Arial"/>
                <w:sz w:val="18"/>
                <w:szCs w:val="18"/>
                <w:lang w:eastAsia="es-ES"/>
              </w:rPr>
              <w:t>26.1</w:t>
            </w:r>
          </w:p>
        </w:tc>
        <w:tc>
          <w:tcPr>
            <w:tcW w:w="1276" w:type="dxa"/>
            <w:tcBorders>
              <w:top w:val="nil"/>
              <w:left w:val="nil"/>
              <w:bottom w:val="double" w:sz="6" w:space="0" w:color="auto"/>
              <w:right w:val="nil"/>
            </w:tcBorders>
            <w:shd w:val="clear" w:color="000000" w:fill="DBE5F1"/>
            <w:vAlign w:val="bottom"/>
          </w:tcPr>
          <w:p w:rsidR="00076C22" w:rsidRPr="00881017" w:rsidRDefault="00076C22" w:rsidP="00CD3F2E">
            <w:pPr>
              <w:spacing w:after="0"/>
              <w:ind w:left="-426" w:right="-283"/>
              <w:jc w:val="center"/>
              <w:rPr>
                <w:rFonts w:ascii="Arial" w:eastAsia="Times New Roman" w:hAnsi="Arial" w:cs="Arial"/>
                <w:sz w:val="18"/>
                <w:szCs w:val="18"/>
                <w:lang w:eastAsia="es-ES"/>
              </w:rPr>
            </w:pPr>
            <w:r w:rsidRPr="00881017">
              <w:rPr>
                <w:rFonts w:ascii="Arial" w:eastAsia="Times New Roman" w:hAnsi="Arial" w:cs="Arial"/>
                <w:sz w:val="18"/>
                <w:szCs w:val="18"/>
                <w:lang w:eastAsia="es-ES"/>
              </w:rPr>
              <w:t>67.6</w:t>
            </w:r>
          </w:p>
        </w:tc>
        <w:tc>
          <w:tcPr>
            <w:tcW w:w="709" w:type="dxa"/>
            <w:tcBorders>
              <w:top w:val="nil"/>
              <w:left w:val="nil"/>
              <w:bottom w:val="double" w:sz="6" w:space="0" w:color="auto"/>
              <w:right w:val="nil"/>
            </w:tcBorders>
            <w:shd w:val="clear" w:color="000000" w:fill="DBE5F1"/>
            <w:vAlign w:val="bottom"/>
          </w:tcPr>
          <w:p w:rsidR="00076C22" w:rsidRPr="00881017" w:rsidRDefault="00076C22" w:rsidP="00CD3F2E">
            <w:pPr>
              <w:spacing w:after="0"/>
              <w:ind w:left="-426" w:right="-283"/>
              <w:jc w:val="center"/>
              <w:rPr>
                <w:rFonts w:ascii="Arial" w:eastAsia="Times New Roman" w:hAnsi="Arial" w:cs="Arial"/>
                <w:sz w:val="18"/>
                <w:szCs w:val="18"/>
                <w:lang w:eastAsia="es-ES"/>
              </w:rPr>
            </w:pPr>
            <w:r>
              <w:rPr>
                <w:rFonts w:ascii="Arial" w:eastAsia="Times New Roman" w:hAnsi="Arial" w:cs="Arial"/>
                <w:sz w:val="18"/>
                <w:szCs w:val="18"/>
                <w:lang w:eastAsia="es-ES"/>
              </w:rPr>
              <w:t>100</w:t>
            </w:r>
          </w:p>
        </w:tc>
        <w:tc>
          <w:tcPr>
            <w:tcW w:w="708" w:type="dxa"/>
            <w:tcBorders>
              <w:top w:val="nil"/>
              <w:left w:val="nil"/>
              <w:bottom w:val="double" w:sz="6" w:space="0" w:color="auto"/>
              <w:right w:val="nil"/>
            </w:tcBorders>
            <w:shd w:val="clear" w:color="auto" w:fill="EEFED0"/>
            <w:vAlign w:val="bottom"/>
          </w:tcPr>
          <w:p w:rsidR="00076C22" w:rsidRPr="00881017" w:rsidRDefault="00076C22" w:rsidP="00CD3F2E">
            <w:pPr>
              <w:spacing w:after="0"/>
              <w:ind w:left="-426" w:right="-283"/>
              <w:jc w:val="center"/>
              <w:rPr>
                <w:rFonts w:ascii="Arial" w:eastAsia="Times New Roman" w:hAnsi="Arial" w:cs="Arial"/>
                <w:sz w:val="18"/>
                <w:szCs w:val="18"/>
                <w:lang w:eastAsia="es-ES"/>
              </w:rPr>
            </w:pPr>
            <w:r w:rsidRPr="00881017">
              <w:rPr>
                <w:rFonts w:ascii="Arial" w:eastAsia="Times New Roman" w:hAnsi="Arial" w:cs="Arial"/>
                <w:sz w:val="18"/>
                <w:szCs w:val="18"/>
                <w:lang w:eastAsia="es-ES"/>
              </w:rPr>
              <w:t>5.5</w:t>
            </w:r>
          </w:p>
        </w:tc>
        <w:tc>
          <w:tcPr>
            <w:tcW w:w="709" w:type="dxa"/>
            <w:tcBorders>
              <w:top w:val="nil"/>
              <w:left w:val="nil"/>
              <w:bottom w:val="double" w:sz="6" w:space="0" w:color="auto"/>
              <w:right w:val="nil"/>
            </w:tcBorders>
            <w:shd w:val="clear" w:color="auto" w:fill="EEFED0"/>
            <w:vAlign w:val="bottom"/>
          </w:tcPr>
          <w:p w:rsidR="00076C22" w:rsidRPr="00881017" w:rsidRDefault="00076C22" w:rsidP="00CD3F2E">
            <w:pPr>
              <w:spacing w:after="0"/>
              <w:ind w:left="-426" w:right="-283"/>
              <w:jc w:val="center"/>
              <w:rPr>
                <w:rFonts w:ascii="Arial" w:eastAsia="Times New Roman" w:hAnsi="Arial" w:cs="Arial"/>
                <w:sz w:val="18"/>
                <w:szCs w:val="18"/>
                <w:lang w:eastAsia="es-ES"/>
              </w:rPr>
            </w:pPr>
            <w:r w:rsidRPr="00881017">
              <w:rPr>
                <w:rFonts w:ascii="Arial" w:eastAsia="Times New Roman" w:hAnsi="Arial" w:cs="Arial"/>
                <w:sz w:val="18"/>
                <w:szCs w:val="18"/>
                <w:lang w:eastAsia="es-ES"/>
              </w:rPr>
              <w:t>41.9</w:t>
            </w:r>
          </w:p>
        </w:tc>
        <w:tc>
          <w:tcPr>
            <w:tcW w:w="1317" w:type="dxa"/>
            <w:tcBorders>
              <w:top w:val="nil"/>
              <w:left w:val="nil"/>
              <w:bottom w:val="double" w:sz="6" w:space="0" w:color="auto"/>
              <w:right w:val="nil"/>
            </w:tcBorders>
            <w:shd w:val="clear" w:color="auto" w:fill="EEFED0"/>
            <w:vAlign w:val="bottom"/>
          </w:tcPr>
          <w:p w:rsidR="00076C22" w:rsidRPr="00881017" w:rsidRDefault="00076C22" w:rsidP="00CD3F2E">
            <w:pPr>
              <w:spacing w:after="0"/>
              <w:ind w:left="-426" w:right="-283"/>
              <w:jc w:val="center"/>
              <w:rPr>
                <w:rFonts w:ascii="Arial" w:eastAsia="Times New Roman" w:hAnsi="Arial" w:cs="Arial"/>
                <w:sz w:val="18"/>
                <w:szCs w:val="18"/>
                <w:lang w:eastAsia="es-ES"/>
              </w:rPr>
            </w:pPr>
            <w:r w:rsidRPr="00881017">
              <w:rPr>
                <w:rFonts w:ascii="Arial" w:eastAsia="Times New Roman" w:hAnsi="Arial" w:cs="Arial"/>
                <w:sz w:val="18"/>
                <w:szCs w:val="18"/>
                <w:lang w:eastAsia="es-ES"/>
              </w:rPr>
              <w:t>52.6</w:t>
            </w:r>
          </w:p>
        </w:tc>
        <w:tc>
          <w:tcPr>
            <w:tcW w:w="809" w:type="dxa"/>
            <w:tcBorders>
              <w:top w:val="nil"/>
              <w:left w:val="nil"/>
              <w:bottom w:val="double" w:sz="6" w:space="0" w:color="auto"/>
              <w:right w:val="nil"/>
            </w:tcBorders>
            <w:shd w:val="clear" w:color="auto" w:fill="EEFED0"/>
            <w:vAlign w:val="bottom"/>
          </w:tcPr>
          <w:p w:rsidR="00076C22" w:rsidRPr="00881017" w:rsidRDefault="00076C22" w:rsidP="00640AF6">
            <w:pPr>
              <w:spacing w:after="0"/>
              <w:ind w:left="-426" w:right="-283"/>
              <w:jc w:val="center"/>
              <w:rPr>
                <w:rFonts w:ascii="Arial" w:eastAsia="Times New Roman" w:hAnsi="Arial" w:cs="Arial"/>
                <w:sz w:val="18"/>
                <w:szCs w:val="18"/>
                <w:lang w:eastAsia="es-ES"/>
              </w:rPr>
            </w:pPr>
            <w:r>
              <w:rPr>
                <w:rFonts w:ascii="Arial" w:eastAsia="Times New Roman" w:hAnsi="Arial" w:cs="Arial"/>
                <w:sz w:val="18"/>
                <w:szCs w:val="18"/>
                <w:lang w:eastAsia="es-ES"/>
              </w:rPr>
              <w:t>100</w:t>
            </w:r>
          </w:p>
        </w:tc>
      </w:tr>
      <w:tr w:rsidR="00076C22" w:rsidRPr="00881017" w:rsidTr="00076C22">
        <w:trPr>
          <w:trHeight w:val="73"/>
        </w:trPr>
        <w:tc>
          <w:tcPr>
            <w:tcW w:w="1702" w:type="dxa"/>
            <w:tcBorders>
              <w:top w:val="nil"/>
              <w:left w:val="nil"/>
              <w:bottom w:val="nil"/>
              <w:right w:val="nil"/>
            </w:tcBorders>
            <w:shd w:val="clear" w:color="000000" w:fill="FFFFFF"/>
            <w:vAlign w:val="center"/>
          </w:tcPr>
          <w:p w:rsidR="00076C22" w:rsidRPr="00881017" w:rsidRDefault="00076C22" w:rsidP="00640AF6">
            <w:pPr>
              <w:spacing w:after="0"/>
              <w:ind w:left="-426" w:right="-283"/>
              <w:jc w:val="center"/>
              <w:rPr>
                <w:rFonts w:ascii="Arial" w:eastAsia="Times New Roman" w:hAnsi="Arial" w:cs="Arial"/>
                <w:b/>
                <w:bCs/>
                <w:i/>
                <w:iCs/>
                <w:sz w:val="18"/>
                <w:szCs w:val="18"/>
                <w:lang w:eastAsia="es-ES"/>
              </w:rPr>
            </w:pPr>
            <w:r w:rsidRPr="00881017">
              <w:rPr>
                <w:rFonts w:ascii="Arial" w:eastAsia="Times New Roman" w:hAnsi="Arial" w:cs="Arial"/>
                <w:b/>
                <w:bCs/>
                <w:i/>
                <w:iCs/>
                <w:sz w:val="18"/>
                <w:szCs w:val="18"/>
                <w:lang w:eastAsia="es-ES"/>
              </w:rPr>
              <w:t>TOTAL</w:t>
            </w:r>
          </w:p>
        </w:tc>
        <w:tc>
          <w:tcPr>
            <w:tcW w:w="850" w:type="dxa"/>
            <w:tcBorders>
              <w:top w:val="nil"/>
              <w:left w:val="nil"/>
              <w:bottom w:val="nil"/>
              <w:right w:val="nil"/>
            </w:tcBorders>
            <w:shd w:val="clear" w:color="000000" w:fill="DBE5F1"/>
            <w:vAlign w:val="bottom"/>
          </w:tcPr>
          <w:p w:rsidR="00076C22" w:rsidRPr="00881017" w:rsidRDefault="00076C22" w:rsidP="00640AF6">
            <w:pPr>
              <w:spacing w:after="0"/>
              <w:ind w:left="-426" w:right="-283"/>
              <w:jc w:val="center"/>
              <w:rPr>
                <w:rFonts w:ascii="Arial" w:eastAsia="Times New Roman" w:hAnsi="Arial" w:cs="Arial"/>
                <w:b/>
                <w:bCs/>
                <w:sz w:val="18"/>
                <w:szCs w:val="18"/>
                <w:lang w:eastAsia="es-ES"/>
              </w:rPr>
            </w:pPr>
            <w:r w:rsidRPr="00881017">
              <w:rPr>
                <w:rFonts w:ascii="Arial" w:eastAsia="Times New Roman" w:hAnsi="Arial" w:cs="Arial"/>
                <w:b/>
                <w:bCs/>
                <w:sz w:val="18"/>
                <w:szCs w:val="18"/>
                <w:lang w:eastAsia="es-ES"/>
              </w:rPr>
              <w:t>9,4</w:t>
            </w:r>
          </w:p>
        </w:tc>
        <w:tc>
          <w:tcPr>
            <w:tcW w:w="709" w:type="dxa"/>
            <w:tcBorders>
              <w:top w:val="nil"/>
              <w:left w:val="nil"/>
              <w:bottom w:val="nil"/>
              <w:right w:val="nil"/>
            </w:tcBorders>
            <w:shd w:val="clear" w:color="000000" w:fill="DBE5F1"/>
            <w:vAlign w:val="bottom"/>
          </w:tcPr>
          <w:p w:rsidR="00076C22" w:rsidRPr="00881017" w:rsidRDefault="00076C22" w:rsidP="00640AF6">
            <w:pPr>
              <w:spacing w:after="0"/>
              <w:ind w:left="-426" w:right="-283"/>
              <w:jc w:val="center"/>
              <w:rPr>
                <w:rFonts w:ascii="Arial" w:eastAsia="Times New Roman" w:hAnsi="Arial" w:cs="Arial"/>
                <w:b/>
                <w:bCs/>
                <w:sz w:val="18"/>
                <w:szCs w:val="18"/>
                <w:lang w:eastAsia="es-ES"/>
              </w:rPr>
            </w:pPr>
            <w:r w:rsidRPr="00881017">
              <w:rPr>
                <w:rFonts w:ascii="Arial" w:eastAsia="Times New Roman" w:hAnsi="Arial" w:cs="Arial"/>
                <w:b/>
                <w:bCs/>
                <w:sz w:val="18"/>
                <w:szCs w:val="18"/>
                <w:lang w:eastAsia="es-ES"/>
              </w:rPr>
              <w:t>35,9</w:t>
            </w:r>
          </w:p>
        </w:tc>
        <w:tc>
          <w:tcPr>
            <w:tcW w:w="1276" w:type="dxa"/>
            <w:tcBorders>
              <w:top w:val="nil"/>
              <w:left w:val="nil"/>
              <w:bottom w:val="nil"/>
              <w:right w:val="nil"/>
            </w:tcBorders>
            <w:shd w:val="clear" w:color="000000" w:fill="DBE5F1"/>
            <w:vAlign w:val="bottom"/>
          </w:tcPr>
          <w:p w:rsidR="00076C22" w:rsidRPr="00881017" w:rsidRDefault="00076C22" w:rsidP="00CD3F2E">
            <w:pPr>
              <w:spacing w:after="0"/>
              <w:ind w:left="-426" w:right="-283"/>
              <w:jc w:val="center"/>
              <w:rPr>
                <w:rFonts w:ascii="Arial" w:eastAsia="Times New Roman" w:hAnsi="Arial" w:cs="Arial"/>
                <w:b/>
                <w:bCs/>
                <w:sz w:val="18"/>
                <w:szCs w:val="18"/>
                <w:lang w:eastAsia="es-ES"/>
              </w:rPr>
            </w:pPr>
            <w:r w:rsidRPr="00881017">
              <w:rPr>
                <w:rFonts w:ascii="Arial" w:eastAsia="Times New Roman" w:hAnsi="Arial" w:cs="Arial"/>
                <w:b/>
                <w:bCs/>
                <w:sz w:val="18"/>
                <w:szCs w:val="18"/>
                <w:lang w:eastAsia="es-ES"/>
              </w:rPr>
              <w:t>54,7</w:t>
            </w:r>
          </w:p>
        </w:tc>
        <w:tc>
          <w:tcPr>
            <w:tcW w:w="709" w:type="dxa"/>
            <w:tcBorders>
              <w:top w:val="nil"/>
              <w:left w:val="nil"/>
              <w:bottom w:val="nil"/>
              <w:right w:val="nil"/>
            </w:tcBorders>
            <w:shd w:val="clear" w:color="000000" w:fill="DBE5F1"/>
            <w:vAlign w:val="bottom"/>
          </w:tcPr>
          <w:p w:rsidR="00076C22" w:rsidRPr="00881017" w:rsidRDefault="00076C22" w:rsidP="00CD3F2E">
            <w:pPr>
              <w:spacing w:after="0"/>
              <w:ind w:left="-426" w:right="-283"/>
              <w:jc w:val="center"/>
              <w:rPr>
                <w:rFonts w:ascii="Arial" w:eastAsia="Times New Roman" w:hAnsi="Arial" w:cs="Arial"/>
                <w:b/>
                <w:bCs/>
                <w:sz w:val="18"/>
                <w:szCs w:val="18"/>
                <w:lang w:eastAsia="es-ES"/>
              </w:rPr>
            </w:pPr>
            <w:r>
              <w:rPr>
                <w:rFonts w:ascii="Arial" w:eastAsia="Times New Roman" w:hAnsi="Arial" w:cs="Arial"/>
                <w:b/>
                <w:bCs/>
                <w:sz w:val="18"/>
                <w:szCs w:val="18"/>
                <w:lang w:eastAsia="es-ES"/>
              </w:rPr>
              <w:t>100</w:t>
            </w:r>
          </w:p>
        </w:tc>
        <w:tc>
          <w:tcPr>
            <w:tcW w:w="708" w:type="dxa"/>
            <w:tcBorders>
              <w:top w:val="nil"/>
              <w:left w:val="nil"/>
              <w:bottom w:val="nil"/>
              <w:right w:val="nil"/>
            </w:tcBorders>
            <w:shd w:val="clear" w:color="auto" w:fill="EEFED0"/>
            <w:vAlign w:val="bottom"/>
          </w:tcPr>
          <w:p w:rsidR="00076C22" w:rsidRPr="00881017" w:rsidRDefault="00076C22" w:rsidP="00CD3F2E">
            <w:pPr>
              <w:spacing w:after="0"/>
              <w:ind w:left="-426" w:right="-283"/>
              <w:jc w:val="center"/>
              <w:rPr>
                <w:rFonts w:ascii="Arial" w:eastAsia="Times New Roman" w:hAnsi="Arial" w:cs="Arial"/>
                <w:b/>
                <w:bCs/>
                <w:sz w:val="18"/>
                <w:szCs w:val="18"/>
                <w:lang w:eastAsia="es-ES"/>
              </w:rPr>
            </w:pPr>
            <w:r w:rsidRPr="00881017">
              <w:rPr>
                <w:rFonts w:ascii="Arial" w:eastAsia="Times New Roman" w:hAnsi="Arial" w:cs="Arial"/>
                <w:b/>
                <w:bCs/>
                <w:sz w:val="18"/>
                <w:szCs w:val="18"/>
                <w:lang w:val="pt-BR" w:eastAsia="es-ES"/>
              </w:rPr>
              <w:t>16,9</w:t>
            </w:r>
          </w:p>
        </w:tc>
        <w:tc>
          <w:tcPr>
            <w:tcW w:w="709" w:type="dxa"/>
            <w:tcBorders>
              <w:top w:val="nil"/>
              <w:left w:val="nil"/>
              <w:bottom w:val="nil"/>
              <w:right w:val="nil"/>
            </w:tcBorders>
            <w:shd w:val="clear" w:color="auto" w:fill="EEFED0"/>
            <w:vAlign w:val="bottom"/>
          </w:tcPr>
          <w:p w:rsidR="00076C22" w:rsidRPr="00881017" w:rsidRDefault="00076C22" w:rsidP="00CD3F2E">
            <w:pPr>
              <w:spacing w:after="0"/>
              <w:ind w:left="-426" w:right="-283"/>
              <w:jc w:val="center"/>
              <w:rPr>
                <w:rFonts w:ascii="Arial" w:eastAsia="Times New Roman" w:hAnsi="Arial" w:cs="Arial"/>
                <w:b/>
                <w:bCs/>
                <w:sz w:val="18"/>
                <w:szCs w:val="18"/>
                <w:lang w:eastAsia="es-ES"/>
              </w:rPr>
            </w:pPr>
            <w:r w:rsidRPr="00881017">
              <w:rPr>
                <w:rFonts w:ascii="Arial" w:eastAsia="Times New Roman" w:hAnsi="Arial" w:cs="Arial"/>
                <w:b/>
                <w:bCs/>
                <w:sz w:val="18"/>
                <w:szCs w:val="18"/>
                <w:lang w:val="pt-BR" w:eastAsia="es-ES"/>
              </w:rPr>
              <w:t>53,1</w:t>
            </w:r>
          </w:p>
        </w:tc>
        <w:tc>
          <w:tcPr>
            <w:tcW w:w="1317" w:type="dxa"/>
            <w:tcBorders>
              <w:top w:val="nil"/>
              <w:left w:val="nil"/>
              <w:bottom w:val="nil"/>
              <w:right w:val="nil"/>
            </w:tcBorders>
            <w:shd w:val="clear" w:color="auto" w:fill="EEFED0"/>
            <w:vAlign w:val="bottom"/>
          </w:tcPr>
          <w:p w:rsidR="00076C22" w:rsidRPr="00881017" w:rsidRDefault="00076C22" w:rsidP="00CD3F2E">
            <w:pPr>
              <w:spacing w:after="0"/>
              <w:ind w:left="-426" w:right="-283"/>
              <w:jc w:val="center"/>
              <w:rPr>
                <w:rFonts w:ascii="Arial" w:eastAsia="Times New Roman" w:hAnsi="Arial" w:cs="Arial"/>
                <w:b/>
                <w:bCs/>
                <w:sz w:val="18"/>
                <w:szCs w:val="18"/>
                <w:lang w:eastAsia="es-ES"/>
              </w:rPr>
            </w:pPr>
            <w:r w:rsidRPr="00881017">
              <w:rPr>
                <w:rFonts w:ascii="Arial" w:eastAsia="Times New Roman" w:hAnsi="Arial" w:cs="Arial"/>
                <w:b/>
                <w:bCs/>
                <w:sz w:val="18"/>
                <w:szCs w:val="18"/>
                <w:lang w:val="pt-BR" w:eastAsia="es-ES"/>
              </w:rPr>
              <w:t>30,0</w:t>
            </w:r>
          </w:p>
        </w:tc>
        <w:tc>
          <w:tcPr>
            <w:tcW w:w="809" w:type="dxa"/>
            <w:tcBorders>
              <w:top w:val="nil"/>
              <w:left w:val="nil"/>
              <w:bottom w:val="nil"/>
              <w:right w:val="nil"/>
            </w:tcBorders>
            <w:shd w:val="clear" w:color="auto" w:fill="EEFED0"/>
            <w:vAlign w:val="bottom"/>
          </w:tcPr>
          <w:p w:rsidR="00076C22" w:rsidRPr="00881017" w:rsidRDefault="00076C22" w:rsidP="00640AF6">
            <w:pPr>
              <w:spacing w:after="0"/>
              <w:ind w:left="-426" w:right="-283"/>
              <w:jc w:val="center"/>
              <w:rPr>
                <w:rFonts w:ascii="Arial" w:eastAsia="Times New Roman" w:hAnsi="Arial" w:cs="Arial"/>
                <w:b/>
                <w:bCs/>
                <w:sz w:val="18"/>
                <w:szCs w:val="18"/>
                <w:lang w:eastAsia="es-ES"/>
              </w:rPr>
            </w:pPr>
            <w:r>
              <w:rPr>
                <w:rFonts w:ascii="Arial" w:eastAsia="Times New Roman" w:hAnsi="Arial" w:cs="Arial"/>
                <w:b/>
                <w:bCs/>
                <w:sz w:val="18"/>
                <w:szCs w:val="18"/>
                <w:lang w:eastAsia="es-ES"/>
              </w:rPr>
              <w:t>100</w:t>
            </w:r>
          </w:p>
        </w:tc>
      </w:tr>
    </w:tbl>
    <w:p w:rsidR="00B749CD" w:rsidRDefault="008A201C" w:rsidP="00640AF6">
      <w:pPr>
        <w:pStyle w:val="NoSpacing"/>
        <w:spacing w:line="276" w:lineRule="auto"/>
        <w:ind w:left="-426" w:right="-283" w:firstLine="708"/>
        <w:jc w:val="both"/>
        <w:rPr>
          <w:rFonts w:ascii="Arial" w:hAnsi="Arial" w:cs="Arial"/>
          <w:sz w:val="16"/>
          <w:szCs w:val="16"/>
          <w:lang w:val="es-PE"/>
        </w:rPr>
      </w:pPr>
      <w:proofErr w:type="spellStart"/>
      <w:r>
        <w:rPr>
          <w:rFonts w:ascii="Arial" w:hAnsi="Arial" w:cs="Arial"/>
          <w:sz w:val="16"/>
          <w:szCs w:val="16"/>
          <w:lang w:val="es-PE"/>
        </w:rPr>
        <w:t>Source</w:t>
      </w:r>
      <w:proofErr w:type="spellEnd"/>
      <w:r w:rsidR="00B749CD" w:rsidRPr="00A86F3A">
        <w:rPr>
          <w:rFonts w:ascii="Arial" w:hAnsi="Arial" w:cs="Arial"/>
          <w:sz w:val="16"/>
          <w:szCs w:val="16"/>
          <w:lang w:val="es-PE"/>
        </w:rPr>
        <w:t xml:space="preserve">: </w:t>
      </w:r>
      <w:proofErr w:type="spellStart"/>
      <w:r w:rsidR="005B5A5A">
        <w:rPr>
          <w:rFonts w:ascii="Arial" w:hAnsi="Arial" w:cs="Arial"/>
          <w:sz w:val="16"/>
          <w:szCs w:val="16"/>
          <w:lang w:val="es-PE"/>
        </w:rPr>
        <w:t>Ministry</w:t>
      </w:r>
      <w:proofErr w:type="spellEnd"/>
      <w:r w:rsidR="005B5A5A">
        <w:rPr>
          <w:rFonts w:ascii="Arial" w:hAnsi="Arial" w:cs="Arial"/>
          <w:sz w:val="16"/>
          <w:szCs w:val="16"/>
          <w:lang w:val="es-PE"/>
        </w:rPr>
        <w:t xml:space="preserve"> of </w:t>
      </w:r>
      <w:proofErr w:type="spellStart"/>
      <w:r w:rsidR="005B5A5A">
        <w:rPr>
          <w:rFonts w:ascii="Arial" w:hAnsi="Arial" w:cs="Arial"/>
          <w:sz w:val="16"/>
          <w:szCs w:val="16"/>
          <w:lang w:val="es-PE"/>
        </w:rPr>
        <w:t>Education</w:t>
      </w:r>
      <w:proofErr w:type="spellEnd"/>
      <w:r w:rsidR="005B5A5A">
        <w:rPr>
          <w:rFonts w:ascii="Arial" w:hAnsi="Arial" w:cs="Arial"/>
          <w:sz w:val="16"/>
          <w:szCs w:val="16"/>
          <w:lang w:val="es-PE"/>
        </w:rPr>
        <w:t xml:space="preserve"> - </w:t>
      </w:r>
      <w:r w:rsidR="00B749CD" w:rsidRPr="00A86F3A">
        <w:rPr>
          <w:rFonts w:ascii="Arial" w:hAnsi="Arial" w:cs="Arial"/>
          <w:sz w:val="16"/>
          <w:szCs w:val="16"/>
          <w:lang w:val="es-PE"/>
        </w:rPr>
        <w:t>Unid</w:t>
      </w:r>
      <w:r w:rsidR="005B5A5A">
        <w:rPr>
          <w:rFonts w:ascii="Arial" w:hAnsi="Arial" w:cs="Arial"/>
          <w:sz w:val="16"/>
          <w:szCs w:val="16"/>
          <w:lang w:val="es-PE"/>
        </w:rPr>
        <w:t>ad de Medición de Calidad (UMC).</w:t>
      </w:r>
    </w:p>
    <w:p w:rsidR="005F5AFC" w:rsidRPr="005F5AFC" w:rsidRDefault="005F5AFC" w:rsidP="00640AF6">
      <w:pPr>
        <w:pStyle w:val="NoSpacing"/>
        <w:spacing w:line="276" w:lineRule="auto"/>
        <w:ind w:left="-426" w:right="-283" w:firstLine="708"/>
        <w:jc w:val="both"/>
        <w:rPr>
          <w:rFonts w:ascii="Arial" w:hAnsi="Arial" w:cs="Arial"/>
          <w:sz w:val="16"/>
          <w:szCs w:val="16"/>
          <w:lang w:val="en-US"/>
        </w:rPr>
      </w:pPr>
      <w:proofErr w:type="gramStart"/>
      <w:r w:rsidRPr="005F5AFC">
        <w:rPr>
          <w:rFonts w:ascii="Arial" w:hAnsi="Arial" w:cs="Arial"/>
          <w:sz w:val="16"/>
          <w:szCs w:val="16"/>
          <w:lang w:val="en-US"/>
        </w:rPr>
        <w:t>a\.</w:t>
      </w:r>
      <w:proofErr w:type="gramEnd"/>
      <w:r w:rsidRPr="005F5AFC">
        <w:rPr>
          <w:rFonts w:ascii="Arial" w:hAnsi="Arial" w:cs="Arial"/>
          <w:sz w:val="16"/>
          <w:szCs w:val="16"/>
          <w:lang w:val="en-US"/>
        </w:rPr>
        <w:t xml:space="preserve"> The ECE 2008</w:t>
      </w:r>
      <w:r>
        <w:rPr>
          <w:rFonts w:ascii="Arial" w:hAnsi="Arial" w:cs="Arial"/>
          <w:sz w:val="16"/>
          <w:szCs w:val="16"/>
          <w:lang w:val="en-US"/>
        </w:rPr>
        <w:t xml:space="preserve"> explores the learning performance of second-grade students.</w:t>
      </w:r>
    </w:p>
    <w:p w:rsidR="00B749CD" w:rsidRDefault="00B749CD" w:rsidP="00640AF6">
      <w:pPr>
        <w:pStyle w:val="NoSpacing"/>
        <w:spacing w:line="276" w:lineRule="auto"/>
        <w:ind w:left="-426" w:right="-283" w:firstLine="708"/>
        <w:jc w:val="both"/>
        <w:rPr>
          <w:rFonts w:ascii="Arial" w:hAnsi="Arial" w:cs="Arial"/>
          <w:lang w:val="en-US"/>
        </w:rPr>
      </w:pPr>
    </w:p>
    <w:p w:rsidR="00EF6421" w:rsidRPr="005F5AFC" w:rsidRDefault="004C354A" w:rsidP="009D39D7">
      <w:pPr>
        <w:jc w:val="both"/>
        <w:rPr>
          <w:lang w:val="en-US"/>
        </w:rPr>
      </w:pPr>
      <w:r>
        <w:rPr>
          <w:lang w:val="en-US"/>
        </w:rPr>
        <w:t xml:space="preserve">Results </w:t>
      </w:r>
      <w:r w:rsidR="00EF6421" w:rsidRPr="008A4ECF">
        <w:rPr>
          <w:lang w:val="en-US"/>
        </w:rPr>
        <w:t>in the table</w:t>
      </w:r>
      <w:r>
        <w:rPr>
          <w:lang w:val="en-US"/>
        </w:rPr>
        <w:t xml:space="preserve"> indicate that </w:t>
      </w:r>
      <w:r w:rsidR="00EF6421" w:rsidRPr="008A4ECF">
        <w:rPr>
          <w:lang w:val="en-US"/>
        </w:rPr>
        <w:t>public schools are in a great disadvantage when they are compared with private schools. The same thing happens in the case of rural areas. Of course</w:t>
      </w:r>
      <w:r w:rsidR="00492FC3" w:rsidRPr="008A4ECF">
        <w:rPr>
          <w:lang w:val="en-US"/>
        </w:rPr>
        <w:t>, learning performance is just one of the main indicators that reveal th</w:t>
      </w:r>
      <w:r w:rsidR="00CC0E0A" w:rsidRPr="008A4ECF">
        <w:rPr>
          <w:lang w:val="en-US"/>
        </w:rPr>
        <w:t>is</w:t>
      </w:r>
      <w:r w:rsidR="00492FC3" w:rsidRPr="008A4ECF">
        <w:rPr>
          <w:lang w:val="en-US"/>
        </w:rPr>
        <w:t xml:space="preserve"> </w:t>
      </w:r>
      <w:r w:rsidR="00CC0E0A" w:rsidRPr="008A4ECF">
        <w:rPr>
          <w:lang w:val="en-US"/>
        </w:rPr>
        <w:t xml:space="preserve">quality </w:t>
      </w:r>
      <w:r w:rsidR="00492FC3" w:rsidRPr="008A4ECF">
        <w:rPr>
          <w:lang w:val="en-US"/>
        </w:rPr>
        <w:t>gap</w:t>
      </w:r>
      <w:r w:rsidR="00CC0E0A" w:rsidRPr="008A4ECF">
        <w:rPr>
          <w:lang w:val="en-US"/>
        </w:rPr>
        <w:t>. Whe</w:t>
      </w:r>
      <w:r w:rsidR="0003139B" w:rsidRPr="008A4ECF">
        <w:rPr>
          <w:lang w:val="en-US"/>
        </w:rPr>
        <w:t xml:space="preserve">n </w:t>
      </w:r>
      <w:r w:rsidR="007449E7">
        <w:rPr>
          <w:lang w:val="en-US"/>
        </w:rPr>
        <w:t>other indicators were analyzed, like</w:t>
      </w:r>
      <w:r w:rsidR="0003139B" w:rsidRPr="008A4ECF">
        <w:rPr>
          <w:lang w:val="en-US"/>
        </w:rPr>
        <w:t xml:space="preserve"> repetition rate, primary and secondary completion rates and illiteracy</w:t>
      </w:r>
      <w:r w:rsidR="009D39D7" w:rsidRPr="008A4ECF">
        <w:rPr>
          <w:lang w:val="en-US"/>
        </w:rPr>
        <w:t xml:space="preserve">, though there have been </w:t>
      </w:r>
      <w:r w:rsidR="002C4BA2" w:rsidRPr="008A4ECF">
        <w:rPr>
          <w:lang w:val="en-US"/>
        </w:rPr>
        <w:t>great</w:t>
      </w:r>
      <w:r w:rsidR="009D39D7" w:rsidRPr="008A4ECF">
        <w:rPr>
          <w:lang w:val="en-US"/>
        </w:rPr>
        <w:t xml:space="preserve"> advances </w:t>
      </w:r>
      <w:r w:rsidR="008B5D53" w:rsidRPr="008A4ECF">
        <w:rPr>
          <w:lang w:val="en-US"/>
        </w:rPr>
        <w:t>compared to year 2000</w:t>
      </w:r>
      <w:r w:rsidR="007449E7">
        <w:rPr>
          <w:lang w:val="en-US"/>
        </w:rPr>
        <w:t>, one can still notice</w:t>
      </w:r>
      <w:r w:rsidR="002C4BA2" w:rsidRPr="008A4ECF">
        <w:rPr>
          <w:lang w:val="en-US"/>
        </w:rPr>
        <w:t xml:space="preserve"> that rural areas and extreme poor population (who generally match</w:t>
      </w:r>
      <w:r w:rsidR="007449E7">
        <w:rPr>
          <w:lang w:val="en-US"/>
        </w:rPr>
        <w:t xml:space="preserve"> each other</w:t>
      </w:r>
      <w:r w:rsidR="00505354" w:rsidRPr="008A4ECF">
        <w:rPr>
          <w:lang w:val="en-US"/>
        </w:rPr>
        <w:t>)</w:t>
      </w:r>
      <w:r w:rsidR="005D26AA" w:rsidRPr="008A4ECF">
        <w:rPr>
          <w:lang w:val="en-US"/>
        </w:rPr>
        <w:t xml:space="preserve"> are really </w:t>
      </w:r>
      <w:r w:rsidR="007449E7">
        <w:rPr>
          <w:lang w:val="en-US"/>
        </w:rPr>
        <w:t xml:space="preserve">below or </w:t>
      </w:r>
      <w:r w:rsidR="0018347B" w:rsidRPr="008A4ECF">
        <w:rPr>
          <w:lang w:val="en-US"/>
        </w:rPr>
        <w:t>delayed</w:t>
      </w:r>
      <w:r w:rsidR="005D26AA" w:rsidRPr="008A4ECF">
        <w:rPr>
          <w:rStyle w:val="FootnoteReference"/>
          <w:lang w:val="en-US"/>
        </w:rPr>
        <w:footnoteReference w:id="3"/>
      </w:r>
      <w:r w:rsidR="005D26AA" w:rsidRPr="008A4ECF">
        <w:rPr>
          <w:lang w:val="en-US"/>
        </w:rPr>
        <w:t>.</w:t>
      </w:r>
    </w:p>
    <w:p w:rsidR="00F207D7" w:rsidRPr="00C10A03" w:rsidRDefault="00C10A03" w:rsidP="0073121E">
      <w:pPr>
        <w:pStyle w:val="Heading2"/>
        <w:numPr>
          <w:ilvl w:val="0"/>
          <w:numId w:val="12"/>
        </w:numPr>
        <w:rPr>
          <w:lang w:val="en-US"/>
        </w:rPr>
      </w:pPr>
      <w:bookmarkStart w:id="7" w:name="_Toc255446161"/>
      <w:r w:rsidRPr="00C10A03">
        <w:rPr>
          <w:lang w:val="en-US"/>
        </w:rPr>
        <w:t xml:space="preserve">Quality of the </w:t>
      </w:r>
      <w:r>
        <w:rPr>
          <w:lang w:val="en-US"/>
        </w:rPr>
        <w:t>Education Service</w:t>
      </w:r>
      <w:r w:rsidR="0091466F" w:rsidRPr="0091466F">
        <w:rPr>
          <w:lang w:val="en-US"/>
        </w:rPr>
        <w:t xml:space="preserve"> </w:t>
      </w:r>
      <w:r w:rsidR="0091466F" w:rsidRPr="00C10A03">
        <w:rPr>
          <w:lang w:val="en-US"/>
        </w:rPr>
        <w:t>Supply</w:t>
      </w:r>
      <w:bookmarkEnd w:id="7"/>
    </w:p>
    <w:p w:rsidR="00EF76F0" w:rsidRPr="004C3BE4" w:rsidRDefault="00EF76F0" w:rsidP="00EF76F0">
      <w:pPr>
        <w:spacing w:after="0"/>
        <w:jc w:val="both"/>
        <w:rPr>
          <w:lang w:val="en-US"/>
        </w:rPr>
      </w:pPr>
    </w:p>
    <w:p w:rsidR="0008072A" w:rsidRPr="00992506" w:rsidRDefault="0008072A" w:rsidP="00EF76F0">
      <w:pPr>
        <w:spacing w:after="0"/>
        <w:jc w:val="both"/>
        <w:rPr>
          <w:lang w:val="en-US"/>
        </w:rPr>
      </w:pPr>
      <w:r w:rsidRPr="0008072A">
        <w:rPr>
          <w:lang w:val="en-US"/>
        </w:rPr>
        <w:t xml:space="preserve">In order to </w:t>
      </w:r>
      <w:r w:rsidR="00CA70A3">
        <w:rPr>
          <w:lang w:val="en-US"/>
        </w:rPr>
        <w:t>identify</w:t>
      </w:r>
      <w:r>
        <w:rPr>
          <w:lang w:val="en-US"/>
        </w:rPr>
        <w:t xml:space="preserve"> possible </w:t>
      </w:r>
      <w:r w:rsidR="00CA70A3">
        <w:rPr>
          <w:lang w:val="en-US"/>
        </w:rPr>
        <w:t>factors explaining</w:t>
      </w:r>
      <w:r>
        <w:rPr>
          <w:lang w:val="en-US"/>
        </w:rPr>
        <w:t xml:space="preserve"> the low</w:t>
      </w:r>
      <w:r w:rsidR="00A63F1C">
        <w:rPr>
          <w:lang w:val="en-US"/>
        </w:rPr>
        <w:t xml:space="preserve"> quality of</w:t>
      </w:r>
      <w:r>
        <w:rPr>
          <w:lang w:val="en-US"/>
        </w:rPr>
        <w:t xml:space="preserve"> students</w:t>
      </w:r>
      <w:r w:rsidR="00CA70A3">
        <w:rPr>
          <w:lang w:val="en-US"/>
        </w:rPr>
        <w:t>’ performance;</w:t>
      </w:r>
      <w:r w:rsidR="00A63F1C">
        <w:rPr>
          <w:lang w:val="en-US"/>
        </w:rPr>
        <w:t xml:space="preserve"> some educational indicators were analyzed at a regional level. </w:t>
      </w:r>
      <w:r w:rsidR="00A63F1C" w:rsidRPr="00720FCF">
        <w:rPr>
          <w:lang w:val="en-US"/>
        </w:rPr>
        <w:t>An interesting</w:t>
      </w:r>
      <w:r w:rsidR="00D4681E" w:rsidRPr="00720FCF">
        <w:rPr>
          <w:lang w:val="en-US"/>
        </w:rPr>
        <w:t xml:space="preserve"> indicator </w:t>
      </w:r>
      <w:r w:rsidR="00720FCF" w:rsidRPr="00720FCF">
        <w:rPr>
          <w:lang w:val="en-US"/>
        </w:rPr>
        <w:t>is the number of students per t</w:t>
      </w:r>
      <w:r w:rsidR="00720FCF">
        <w:rPr>
          <w:lang w:val="en-US"/>
        </w:rPr>
        <w:t>eacher (Figure 5)</w:t>
      </w:r>
      <w:r w:rsidR="00A921F7">
        <w:rPr>
          <w:lang w:val="en-US"/>
        </w:rPr>
        <w:t xml:space="preserve">. </w:t>
      </w:r>
      <w:r w:rsidR="00A921F7" w:rsidRPr="00A921F7">
        <w:rPr>
          <w:lang w:val="en-US"/>
        </w:rPr>
        <w:t xml:space="preserve">It is evident the huge deficit in Preschool, </w:t>
      </w:r>
      <w:r w:rsidR="00B456C5">
        <w:rPr>
          <w:lang w:val="en-US"/>
        </w:rPr>
        <w:t xml:space="preserve">and that is </w:t>
      </w:r>
      <w:r w:rsidR="002661EE">
        <w:rPr>
          <w:lang w:val="en-US"/>
        </w:rPr>
        <w:t>another</w:t>
      </w:r>
      <w:r w:rsidR="00B456C5">
        <w:rPr>
          <w:lang w:val="en-US"/>
        </w:rPr>
        <w:t xml:space="preserve"> reason </w:t>
      </w:r>
      <w:r w:rsidR="00B456C5" w:rsidRPr="00B456C5">
        <w:rPr>
          <w:lang w:val="en-US"/>
        </w:rPr>
        <w:t xml:space="preserve">why </w:t>
      </w:r>
      <w:r w:rsidR="007449E7" w:rsidRPr="00B456C5">
        <w:rPr>
          <w:lang w:val="en-US"/>
        </w:rPr>
        <w:t xml:space="preserve">the National Education Council </w:t>
      </w:r>
      <w:r w:rsidR="00CA70A3">
        <w:rPr>
          <w:lang w:val="en-US"/>
        </w:rPr>
        <w:t xml:space="preserve">through </w:t>
      </w:r>
      <w:r w:rsidR="007449E7" w:rsidRPr="00B456C5">
        <w:rPr>
          <w:lang w:val="en-US"/>
        </w:rPr>
        <w:t xml:space="preserve"> the National Education Project (PEN)</w:t>
      </w:r>
      <w:r w:rsidR="00727A6C">
        <w:rPr>
          <w:lang w:val="en-US"/>
        </w:rPr>
        <w:t xml:space="preserve"> </w:t>
      </w:r>
      <w:r w:rsidR="00B456C5" w:rsidRPr="00B456C5">
        <w:rPr>
          <w:lang w:val="en-US"/>
        </w:rPr>
        <w:t>has</w:t>
      </w:r>
      <w:r w:rsidR="007449E7">
        <w:rPr>
          <w:lang w:val="en-US"/>
        </w:rPr>
        <w:t xml:space="preserve"> </w:t>
      </w:r>
      <w:r w:rsidR="00B456C5" w:rsidRPr="00B456C5">
        <w:rPr>
          <w:lang w:val="en-US"/>
        </w:rPr>
        <w:t xml:space="preserve">set the increase of coverage in this level </w:t>
      </w:r>
      <w:r w:rsidR="007449E7">
        <w:rPr>
          <w:lang w:val="en-US"/>
        </w:rPr>
        <w:t>as a national priority</w:t>
      </w:r>
      <w:r w:rsidR="00B456C5" w:rsidRPr="00B456C5">
        <w:rPr>
          <w:lang w:val="en-US"/>
        </w:rPr>
        <w:t>.</w:t>
      </w:r>
      <w:r w:rsidR="00B456C5">
        <w:rPr>
          <w:lang w:val="en-US"/>
        </w:rPr>
        <w:t xml:space="preserve"> Figure 5 also shows</w:t>
      </w:r>
      <w:r w:rsidR="00A921F7" w:rsidRPr="00A921F7">
        <w:rPr>
          <w:lang w:val="en-US"/>
        </w:rPr>
        <w:t xml:space="preserve"> a</w:t>
      </w:r>
      <w:r w:rsidR="00A921F7">
        <w:rPr>
          <w:lang w:val="en-US"/>
        </w:rPr>
        <w:t xml:space="preserve"> relatively overcrowding at the Primary School level</w:t>
      </w:r>
      <w:r w:rsidR="006C6C35">
        <w:rPr>
          <w:lang w:val="en-US"/>
        </w:rPr>
        <w:t xml:space="preserve"> (if it is taken into account the empiric evidence about the correlation between the student/teacher ratio and the learning performance)</w:t>
      </w:r>
      <w:r w:rsidR="00CD3F2E">
        <w:rPr>
          <w:rStyle w:val="FootnoteReference"/>
          <w:lang w:val="en-US"/>
        </w:rPr>
        <w:footnoteReference w:id="4"/>
      </w:r>
      <w:r w:rsidR="00A921F7">
        <w:rPr>
          <w:lang w:val="en-US"/>
        </w:rPr>
        <w:t>.</w:t>
      </w:r>
      <w:r w:rsidR="006C6C35">
        <w:rPr>
          <w:lang w:val="en-US"/>
        </w:rPr>
        <w:t xml:space="preserve"> </w:t>
      </w:r>
      <w:r w:rsidR="00992506" w:rsidRPr="00992506">
        <w:rPr>
          <w:lang w:val="en-US"/>
        </w:rPr>
        <w:t>Secondary school, on the other hand, shows a better indicator.</w:t>
      </w:r>
      <w:r w:rsidR="00992506">
        <w:rPr>
          <w:lang w:val="en-US"/>
        </w:rPr>
        <w:t xml:space="preserve"> However, one </w:t>
      </w:r>
      <w:r w:rsidR="00CA70A3">
        <w:rPr>
          <w:lang w:val="en-US"/>
        </w:rPr>
        <w:t>possible</w:t>
      </w:r>
      <w:r w:rsidR="00992506">
        <w:rPr>
          <w:lang w:val="en-US"/>
        </w:rPr>
        <w:t xml:space="preserve"> explanation is that a significant part of students</w:t>
      </w:r>
      <w:r w:rsidR="00CA70A3">
        <w:rPr>
          <w:lang w:val="en-US"/>
        </w:rPr>
        <w:t>’ drops out</w:t>
      </w:r>
      <w:r w:rsidR="00992506">
        <w:rPr>
          <w:lang w:val="en-US"/>
        </w:rPr>
        <w:t xml:space="preserve"> at this level</w:t>
      </w:r>
      <w:r w:rsidR="007449E7">
        <w:rPr>
          <w:lang w:val="en-US"/>
        </w:rPr>
        <w:t>, especially at the rural areas</w:t>
      </w:r>
      <w:r w:rsidR="00992506">
        <w:rPr>
          <w:lang w:val="en-US"/>
        </w:rPr>
        <w:t>.</w:t>
      </w:r>
    </w:p>
    <w:p w:rsidR="00CD3F2E" w:rsidRDefault="00CD3F2E" w:rsidP="004C3BE4">
      <w:pPr>
        <w:pStyle w:val="Caption"/>
        <w:spacing w:after="0" w:line="276" w:lineRule="auto"/>
        <w:jc w:val="center"/>
        <w:rPr>
          <w:sz w:val="22"/>
          <w:szCs w:val="22"/>
          <w:lang w:val="en-US"/>
        </w:rPr>
      </w:pPr>
      <w:bookmarkStart w:id="8" w:name="_Ref247544420"/>
    </w:p>
    <w:p w:rsidR="00F207D7" w:rsidRPr="004C3BE4" w:rsidRDefault="00F14B4B" w:rsidP="00116596">
      <w:pPr>
        <w:rPr>
          <w:lang w:val="en-US"/>
        </w:rPr>
      </w:pPr>
      <w:r>
        <w:rPr>
          <w:lang w:val="en-US"/>
        </w:rPr>
        <w:br w:type="page"/>
      </w:r>
      <w:r w:rsidR="005A0EAA" w:rsidRPr="004C3BE4">
        <w:rPr>
          <w:lang w:val="en-US"/>
        </w:rPr>
        <w:lastRenderedPageBreak/>
        <w:t>Figure 5</w:t>
      </w:r>
      <w:bookmarkEnd w:id="8"/>
      <w:r w:rsidR="00F207D7" w:rsidRPr="004C3BE4">
        <w:rPr>
          <w:lang w:val="en-US"/>
        </w:rPr>
        <w:t xml:space="preserve">: </w:t>
      </w:r>
      <w:r w:rsidR="004C3BE4" w:rsidRPr="004C3BE4">
        <w:rPr>
          <w:lang w:val="en-US"/>
        </w:rPr>
        <w:t>Number of students per teacher at all levels</w:t>
      </w:r>
      <w:r w:rsidR="00F207D7" w:rsidRPr="004C3BE4">
        <w:rPr>
          <w:lang w:val="en-US"/>
        </w:rPr>
        <w:t xml:space="preserve"> (2008)</w:t>
      </w:r>
    </w:p>
    <w:p w:rsidR="00F207D7" w:rsidRDefault="00F207D7" w:rsidP="004C3BE4">
      <w:pPr>
        <w:spacing w:after="0"/>
        <w:rPr>
          <w:color w:val="FF0000"/>
        </w:rPr>
      </w:pPr>
      <w:r w:rsidRPr="002A1A73">
        <w:rPr>
          <w:noProof/>
          <w:color w:val="FF0000"/>
          <w:lang w:val="en-US"/>
        </w:rPr>
        <w:drawing>
          <wp:inline distT="0" distB="0" distL="0" distR="0">
            <wp:extent cx="5400040" cy="2943199"/>
            <wp:effectExtent l="19050" t="0" r="10160" b="0"/>
            <wp:docPr id="4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5B5A5A" w:rsidRPr="00AB2434" w:rsidRDefault="005B5A5A" w:rsidP="005B5A5A">
      <w:pPr>
        <w:pStyle w:val="NoSpacing"/>
        <w:spacing w:line="276" w:lineRule="auto"/>
        <w:rPr>
          <w:sz w:val="16"/>
          <w:szCs w:val="16"/>
          <w:lang w:val="en-US"/>
        </w:rPr>
      </w:pPr>
      <w:r w:rsidRPr="00256363">
        <w:rPr>
          <w:sz w:val="16"/>
          <w:szCs w:val="16"/>
          <w:lang w:val="en-US"/>
        </w:rPr>
        <w:t>Source: Ministry of Education (MINEDU)</w:t>
      </w:r>
      <w:r>
        <w:rPr>
          <w:sz w:val="16"/>
          <w:szCs w:val="16"/>
          <w:lang w:val="en-US"/>
        </w:rPr>
        <w:t xml:space="preserve"> - </w:t>
      </w:r>
      <w:proofErr w:type="spellStart"/>
      <w:r w:rsidRPr="00AB2434">
        <w:rPr>
          <w:sz w:val="16"/>
          <w:szCs w:val="16"/>
          <w:lang w:val="en-US"/>
        </w:rPr>
        <w:t>Estadística</w:t>
      </w:r>
      <w:proofErr w:type="spellEnd"/>
      <w:r w:rsidRPr="00AB2434">
        <w:rPr>
          <w:sz w:val="16"/>
          <w:szCs w:val="16"/>
          <w:lang w:val="en-US"/>
        </w:rPr>
        <w:t xml:space="preserve"> de </w:t>
      </w:r>
      <w:proofErr w:type="spellStart"/>
      <w:r w:rsidRPr="00AB2434">
        <w:rPr>
          <w:sz w:val="16"/>
          <w:szCs w:val="16"/>
          <w:lang w:val="en-US"/>
        </w:rPr>
        <w:t>Calidad</w:t>
      </w:r>
      <w:proofErr w:type="spellEnd"/>
      <w:r w:rsidRPr="00AB2434">
        <w:rPr>
          <w:sz w:val="16"/>
          <w:szCs w:val="16"/>
          <w:lang w:val="en-US"/>
        </w:rPr>
        <w:t xml:space="preserve"> </w:t>
      </w:r>
      <w:proofErr w:type="spellStart"/>
      <w:r w:rsidRPr="00AB2434">
        <w:rPr>
          <w:sz w:val="16"/>
          <w:szCs w:val="16"/>
          <w:lang w:val="en-US"/>
        </w:rPr>
        <w:t>Educativa</w:t>
      </w:r>
      <w:proofErr w:type="spellEnd"/>
      <w:r w:rsidRPr="00AB2434">
        <w:rPr>
          <w:sz w:val="16"/>
          <w:szCs w:val="16"/>
          <w:lang w:val="en-US"/>
        </w:rPr>
        <w:t xml:space="preserve"> (ESCALE). </w:t>
      </w:r>
    </w:p>
    <w:p w:rsidR="005E4539" w:rsidRDefault="005E4539">
      <w:pPr>
        <w:rPr>
          <w:rFonts w:asciiTheme="majorHAnsi" w:eastAsiaTheme="majorEastAsia" w:hAnsiTheme="majorHAnsi" w:cstheme="majorBidi"/>
          <w:b/>
          <w:bCs/>
          <w:color w:val="365F91" w:themeColor="accent1" w:themeShade="BF"/>
          <w:sz w:val="28"/>
          <w:szCs w:val="28"/>
          <w:lang w:val="en-US"/>
        </w:rPr>
      </w:pPr>
      <w:r>
        <w:rPr>
          <w:lang w:val="en-US"/>
        </w:rPr>
        <w:br w:type="page"/>
      </w:r>
    </w:p>
    <w:p w:rsidR="00D04271" w:rsidRDefault="0073121E" w:rsidP="00640AF6">
      <w:pPr>
        <w:pStyle w:val="Heading1"/>
        <w:jc w:val="both"/>
        <w:rPr>
          <w:lang w:val="en-US"/>
        </w:rPr>
      </w:pPr>
      <w:bookmarkStart w:id="9" w:name="_Toc255446162"/>
      <w:r>
        <w:rPr>
          <w:lang w:val="en-US"/>
        </w:rPr>
        <w:lastRenderedPageBreak/>
        <w:t xml:space="preserve">II. </w:t>
      </w:r>
      <w:r w:rsidR="009F056B" w:rsidRPr="00816927">
        <w:rPr>
          <w:lang w:val="en-US"/>
        </w:rPr>
        <w:t>PROGRAM BUDGETING ANALYSIS</w:t>
      </w:r>
      <w:bookmarkEnd w:id="9"/>
    </w:p>
    <w:p w:rsidR="00D04271" w:rsidRPr="00816927" w:rsidRDefault="00D04271" w:rsidP="0073121E">
      <w:pPr>
        <w:pStyle w:val="Heading2"/>
        <w:numPr>
          <w:ilvl w:val="0"/>
          <w:numId w:val="14"/>
        </w:numPr>
        <w:rPr>
          <w:rFonts w:eastAsia="Times New Roman"/>
          <w:lang w:val="en-US" w:eastAsia="es-ES"/>
        </w:rPr>
      </w:pPr>
      <w:bookmarkStart w:id="10" w:name="_Toc255446163"/>
      <w:r w:rsidRPr="00816927">
        <w:rPr>
          <w:rFonts w:eastAsia="Times New Roman"/>
          <w:lang w:val="en-US" w:eastAsia="es-ES"/>
        </w:rPr>
        <w:t>Met</w:t>
      </w:r>
      <w:r w:rsidR="00312E39" w:rsidRPr="00816927">
        <w:rPr>
          <w:rFonts w:eastAsia="Times New Roman"/>
          <w:lang w:val="en-US" w:eastAsia="es-ES"/>
        </w:rPr>
        <w:t>hodology</w:t>
      </w:r>
      <w:bookmarkEnd w:id="10"/>
    </w:p>
    <w:p w:rsidR="00D04271" w:rsidRPr="00816927" w:rsidRDefault="00D04271" w:rsidP="00640AF6">
      <w:pPr>
        <w:spacing w:after="0"/>
        <w:rPr>
          <w:rFonts w:ascii="Arial" w:eastAsia="Times New Roman" w:hAnsi="Arial" w:cs="Arial"/>
          <w:color w:val="000000"/>
          <w:sz w:val="24"/>
          <w:szCs w:val="24"/>
          <w:lang w:val="en-US" w:eastAsia="es-ES"/>
        </w:rPr>
      </w:pPr>
    </w:p>
    <w:p w:rsidR="00816927" w:rsidRDefault="008B6680" w:rsidP="00640AF6">
      <w:pPr>
        <w:jc w:val="both"/>
        <w:rPr>
          <w:lang w:val="en-US" w:eastAsia="es-ES"/>
        </w:rPr>
      </w:pPr>
      <w:bookmarkStart w:id="11" w:name="OLE_LINK1"/>
      <w:bookmarkStart w:id="12" w:name="OLE_LINK2"/>
      <w:r w:rsidRPr="008B6680">
        <w:rPr>
          <w:lang w:val="en-US" w:eastAsia="es-ES"/>
        </w:rPr>
        <w:t xml:space="preserve">To carry out a budget analysis </w:t>
      </w:r>
      <w:r>
        <w:rPr>
          <w:lang w:val="en-US" w:eastAsia="es-ES"/>
        </w:rPr>
        <w:t>for</w:t>
      </w:r>
      <w:r w:rsidR="008B66EC">
        <w:rPr>
          <w:lang w:val="en-US" w:eastAsia="es-ES"/>
        </w:rPr>
        <w:t xml:space="preserve"> the</w:t>
      </w:r>
      <w:r>
        <w:rPr>
          <w:lang w:val="en-US" w:eastAsia="es-ES"/>
        </w:rPr>
        <w:t xml:space="preserve"> </w:t>
      </w:r>
      <w:r w:rsidR="00361DF3">
        <w:rPr>
          <w:lang w:val="en-US" w:eastAsia="es-ES"/>
        </w:rPr>
        <w:t xml:space="preserve">Education sector, the Ministry of Economic and Finance </w:t>
      </w:r>
      <w:r w:rsidR="00971154">
        <w:rPr>
          <w:lang w:val="en-US" w:eastAsia="es-ES"/>
        </w:rPr>
        <w:t xml:space="preserve">(MEF) </w:t>
      </w:r>
      <w:r w:rsidR="00816927">
        <w:rPr>
          <w:lang w:val="en-US" w:eastAsia="es-ES"/>
        </w:rPr>
        <w:t xml:space="preserve">publishes data </w:t>
      </w:r>
      <w:r w:rsidR="008B66EC">
        <w:rPr>
          <w:lang w:val="en-US" w:eastAsia="es-ES"/>
        </w:rPr>
        <w:t>annually of</w:t>
      </w:r>
      <w:r w:rsidR="00CE3DED">
        <w:rPr>
          <w:lang w:val="en-US" w:eastAsia="es-ES"/>
        </w:rPr>
        <w:t xml:space="preserve"> </w:t>
      </w:r>
      <w:r w:rsidR="00D23C81">
        <w:rPr>
          <w:lang w:val="en-US" w:eastAsia="es-ES"/>
        </w:rPr>
        <w:t xml:space="preserve">national, regional and local </w:t>
      </w:r>
      <w:r w:rsidR="00AB7827">
        <w:rPr>
          <w:lang w:val="en-US" w:eastAsia="es-ES"/>
        </w:rPr>
        <w:t xml:space="preserve">public </w:t>
      </w:r>
      <w:r w:rsidR="00D23C81">
        <w:rPr>
          <w:lang w:val="en-US" w:eastAsia="es-ES"/>
        </w:rPr>
        <w:t>expenses</w:t>
      </w:r>
      <w:r w:rsidR="00F56255">
        <w:rPr>
          <w:lang w:val="en-US" w:eastAsia="es-ES"/>
        </w:rPr>
        <w:t xml:space="preserve">, through its Financial Administration Information System (SIAF, for its Spanish acronym). </w:t>
      </w:r>
      <w:r w:rsidR="00D67944">
        <w:rPr>
          <w:lang w:val="en-US" w:eastAsia="es-ES"/>
        </w:rPr>
        <w:t xml:space="preserve">This study </w:t>
      </w:r>
      <w:r w:rsidR="00D11E15">
        <w:rPr>
          <w:lang w:val="en-US" w:eastAsia="es-ES"/>
        </w:rPr>
        <w:t>analyzed</w:t>
      </w:r>
      <w:r w:rsidR="00D67944">
        <w:rPr>
          <w:lang w:val="en-US" w:eastAsia="es-ES"/>
        </w:rPr>
        <w:t xml:space="preserve"> this data set for years 2006-2009, using 2006 as </w:t>
      </w:r>
      <w:r w:rsidR="002E1579">
        <w:rPr>
          <w:lang w:val="en-US" w:eastAsia="es-ES"/>
        </w:rPr>
        <w:t xml:space="preserve">the </w:t>
      </w:r>
      <w:r w:rsidR="00D67944">
        <w:rPr>
          <w:lang w:val="en-US" w:eastAsia="es-ES"/>
        </w:rPr>
        <w:t>base year in order to avoid any inflation distortion.</w:t>
      </w:r>
    </w:p>
    <w:p w:rsidR="00D11E15" w:rsidRPr="006B7C30" w:rsidRDefault="005B5DB3" w:rsidP="00640AF6">
      <w:pPr>
        <w:jc w:val="both"/>
        <w:rPr>
          <w:lang w:val="en-US" w:eastAsia="es-ES"/>
        </w:rPr>
      </w:pPr>
      <w:r>
        <w:rPr>
          <w:lang w:val="en-US" w:eastAsia="es-ES"/>
        </w:rPr>
        <w:t xml:space="preserve">The </w:t>
      </w:r>
      <w:r w:rsidR="00502564">
        <w:rPr>
          <w:lang w:val="en-US" w:eastAsia="es-ES"/>
        </w:rPr>
        <w:t xml:space="preserve">education programs </w:t>
      </w:r>
      <w:r w:rsidR="00902A56">
        <w:rPr>
          <w:lang w:val="en-US" w:eastAsia="es-ES"/>
        </w:rPr>
        <w:t>at the</w:t>
      </w:r>
      <w:r w:rsidR="00502564">
        <w:rPr>
          <w:lang w:val="en-US" w:eastAsia="es-ES"/>
        </w:rPr>
        <w:t xml:space="preserve"> </w:t>
      </w:r>
      <w:r w:rsidR="008932E9">
        <w:rPr>
          <w:lang w:val="en-US" w:eastAsia="es-ES"/>
        </w:rPr>
        <w:t>regular basic education</w:t>
      </w:r>
      <w:r>
        <w:rPr>
          <w:lang w:val="en-US" w:eastAsia="es-ES"/>
        </w:rPr>
        <w:t xml:space="preserve"> were examined</w:t>
      </w:r>
      <w:r w:rsidR="008932E9">
        <w:rPr>
          <w:lang w:val="en-US" w:eastAsia="es-ES"/>
        </w:rPr>
        <w:t>: pre</w:t>
      </w:r>
      <w:r w:rsidR="007F6B9E">
        <w:rPr>
          <w:lang w:val="en-US" w:eastAsia="es-ES"/>
        </w:rPr>
        <w:t>-</w:t>
      </w:r>
      <w:r w:rsidR="008932E9">
        <w:rPr>
          <w:lang w:val="en-US" w:eastAsia="es-ES"/>
        </w:rPr>
        <w:t>school, prim</w:t>
      </w:r>
      <w:r w:rsidR="00902A56">
        <w:rPr>
          <w:lang w:val="en-US" w:eastAsia="es-ES"/>
        </w:rPr>
        <w:t>ary school and secondary school.</w:t>
      </w:r>
      <w:r w:rsidR="00942017">
        <w:rPr>
          <w:lang w:val="en-US" w:eastAsia="es-ES"/>
        </w:rPr>
        <w:t xml:space="preserve"> </w:t>
      </w:r>
      <w:r w:rsidR="00942017" w:rsidRPr="00942017">
        <w:rPr>
          <w:lang w:val="en-US" w:eastAsia="es-ES"/>
        </w:rPr>
        <w:t xml:space="preserve">It was also examined tertiary education </w:t>
      </w:r>
      <w:r w:rsidR="00942017">
        <w:rPr>
          <w:lang w:val="en-US" w:eastAsia="es-ES"/>
        </w:rPr>
        <w:t>and</w:t>
      </w:r>
      <w:r w:rsidR="00124190">
        <w:rPr>
          <w:lang w:val="en-US" w:eastAsia="es-ES"/>
        </w:rPr>
        <w:t xml:space="preserve"> other</w:t>
      </w:r>
      <w:r>
        <w:rPr>
          <w:lang w:val="en-US" w:eastAsia="es-ES"/>
        </w:rPr>
        <w:t xml:space="preserve"> types of </w:t>
      </w:r>
      <w:r w:rsidR="00124190">
        <w:rPr>
          <w:lang w:val="en-US" w:eastAsia="es-ES"/>
        </w:rPr>
        <w:t xml:space="preserve">education, which included </w:t>
      </w:r>
      <w:r w:rsidR="00893DD7">
        <w:rPr>
          <w:lang w:val="en-US" w:eastAsia="es-ES"/>
        </w:rPr>
        <w:t>Alternative Education</w:t>
      </w:r>
      <w:r w:rsidR="00124190">
        <w:rPr>
          <w:lang w:val="en-US" w:eastAsia="es-ES"/>
        </w:rPr>
        <w:t xml:space="preserve"> and</w:t>
      </w:r>
      <w:r w:rsidR="00893DD7">
        <w:rPr>
          <w:lang w:val="en-US" w:eastAsia="es-ES"/>
        </w:rPr>
        <w:t xml:space="preserve"> Work Education.</w:t>
      </w:r>
      <w:r w:rsidR="003C0AC0">
        <w:rPr>
          <w:lang w:val="en-US" w:eastAsia="es-ES"/>
        </w:rPr>
        <w:t xml:space="preserve"> In </w:t>
      </w:r>
      <w:r w:rsidR="00124190">
        <w:rPr>
          <w:lang w:val="en-US" w:eastAsia="es-ES"/>
        </w:rPr>
        <w:t>addition</w:t>
      </w:r>
      <w:r w:rsidR="003C0AC0">
        <w:rPr>
          <w:lang w:val="en-US" w:eastAsia="es-ES"/>
        </w:rPr>
        <w:t>, this study analyze</w:t>
      </w:r>
      <w:r w:rsidR="00124190">
        <w:rPr>
          <w:lang w:val="en-US" w:eastAsia="es-ES"/>
        </w:rPr>
        <w:t>d</w:t>
      </w:r>
      <w:r w:rsidR="003C0AC0">
        <w:rPr>
          <w:lang w:val="en-US" w:eastAsia="es-ES"/>
        </w:rPr>
        <w:t xml:space="preserve"> those public expenses</w:t>
      </w:r>
      <w:r w:rsidR="006B7C30">
        <w:rPr>
          <w:lang w:val="en-US" w:eastAsia="es-ES"/>
        </w:rPr>
        <w:t xml:space="preserve"> referring to administration and strategic planning in education</w:t>
      </w:r>
      <w:r w:rsidR="00124190">
        <w:rPr>
          <w:lang w:val="en-US" w:eastAsia="es-ES"/>
        </w:rPr>
        <w:t xml:space="preserve"> sector</w:t>
      </w:r>
      <w:r w:rsidR="00124190">
        <w:rPr>
          <w:rStyle w:val="FootnoteReference"/>
          <w:lang w:eastAsia="es-ES"/>
        </w:rPr>
        <w:footnoteReference w:id="5"/>
      </w:r>
      <w:r w:rsidR="006B7C30">
        <w:rPr>
          <w:lang w:val="en-US" w:eastAsia="es-ES"/>
        </w:rPr>
        <w:t>.</w:t>
      </w:r>
    </w:p>
    <w:p w:rsidR="00F14B4B" w:rsidRDefault="00D43D4C" w:rsidP="005E4539">
      <w:pPr>
        <w:jc w:val="both"/>
        <w:rPr>
          <w:lang w:val="en-US" w:eastAsia="es-ES"/>
        </w:rPr>
      </w:pPr>
      <w:r w:rsidRPr="00D43D4C">
        <w:rPr>
          <w:lang w:val="en-US" w:eastAsia="es-ES"/>
        </w:rPr>
        <w:t>For each one of these</w:t>
      </w:r>
      <w:r>
        <w:rPr>
          <w:lang w:val="en-US" w:eastAsia="es-ES"/>
        </w:rPr>
        <w:t xml:space="preserve"> programs, </w:t>
      </w:r>
      <w:r w:rsidR="00B05E62">
        <w:rPr>
          <w:lang w:val="en-US" w:eastAsia="es-ES"/>
        </w:rPr>
        <w:t xml:space="preserve">it was </w:t>
      </w:r>
      <w:r w:rsidR="00272C1F">
        <w:rPr>
          <w:lang w:val="en-US" w:eastAsia="es-ES"/>
        </w:rPr>
        <w:t>necessary</w:t>
      </w:r>
      <w:r w:rsidR="00F57A1F">
        <w:rPr>
          <w:lang w:val="en-US" w:eastAsia="es-ES"/>
        </w:rPr>
        <w:t xml:space="preserve"> to </w:t>
      </w:r>
      <w:r w:rsidR="00B05E62">
        <w:rPr>
          <w:lang w:val="en-US" w:eastAsia="es-ES"/>
        </w:rPr>
        <w:t>identif</w:t>
      </w:r>
      <w:r w:rsidR="00F57A1F">
        <w:rPr>
          <w:lang w:val="en-US" w:eastAsia="es-ES"/>
        </w:rPr>
        <w:t>y</w:t>
      </w:r>
      <w:r w:rsidR="008B66EC">
        <w:rPr>
          <w:lang w:val="en-US" w:eastAsia="es-ES"/>
        </w:rPr>
        <w:t xml:space="preserve"> how the government was</w:t>
      </w:r>
      <w:r w:rsidR="00B05E62">
        <w:rPr>
          <w:lang w:val="en-US" w:eastAsia="es-ES"/>
        </w:rPr>
        <w:t xml:space="preserve"> allocating funds.</w:t>
      </w:r>
      <w:r w:rsidR="00F57A1F">
        <w:rPr>
          <w:lang w:val="en-US" w:eastAsia="es-ES"/>
        </w:rPr>
        <w:t xml:space="preserve"> </w:t>
      </w:r>
      <w:r w:rsidR="00F57A1F" w:rsidRPr="004271B3">
        <w:rPr>
          <w:lang w:val="en-US" w:eastAsia="es-ES"/>
        </w:rPr>
        <w:t xml:space="preserve">Therefore, </w:t>
      </w:r>
      <w:r w:rsidR="004271B3" w:rsidRPr="004271B3">
        <w:rPr>
          <w:lang w:val="en-US" w:eastAsia="es-ES"/>
        </w:rPr>
        <w:t xml:space="preserve">the present investigation divided spending between recurrent and capital </w:t>
      </w:r>
      <w:r w:rsidR="004271B3">
        <w:rPr>
          <w:lang w:val="en-US" w:eastAsia="es-ES"/>
        </w:rPr>
        <w:t xml:space="preserve">costs, </w:t>
      </w:r>
      <w:r w:rsidR="00371B90">
        <w:rPr>
          <w:lang w:val="en-US" w:eastAsia="es-ES"/>
        </w:rPr>
        <w:t xml:space="preserve">and </w:t>
      </w:r>
      <w:r w:rsidR="004271B3">
        <w:rPr>
          <w:lang w:val="en-US" w:eastAsia="es-ES"/>
        </w:rPr>
        <w:t>wages versus non-wages costs</w:t>
      </w:r>
      <w:r w:rsidR="00371B90">
        <w:rPr>
          <w:lang w:val="en-US" w:eastAsia="es-ES"/>
        </w:rPr>
        <w:t xml:space="preserve">. </w:t>
      </w:r>
      <w:r w:rsidR="00371B90" w:rsidRPr="00371B90">
        <w:rPr>
          <w:lang w:val="en-US" w:eastAsia="es-ES"/>
        </w:rPr>
        <w:t>For a better understanding of this level of disaggregation</w:t>
      </w:r>
      <w:r w:rsidR="00371B90">
        <w:rPr>
          <w:lang w:val="en-US" w:eastAsia="es-ES"/>
        </w:rPr>
        <w:t>,</w:t>
      </w:r>
      <w:r w:rsidR="00D71472">
        <w:rPr>
          <w:lang w:val="en-US" w:eastAsia="es-ES"/>
        </w:rPr>
        <w:t xml:space="preserve"> </w:t>
      </w:r>
      <w:r w:rsidR="005B5DB3">
        <w:rPr>
          <w:lang w:val="en-US" w:eastAsia="es-ES"/>
        </w:rPr>
        <w:t>see</w:t>
      </w:r>
      <w:r w:rsidR="001801B1">
        <w:rPr>
          <w:lang w:val="en-US" w:eastAsia="es-ES"/>
        </w:rPr>
        <w:t xml:space="preserve"> </w:t>
      </w:r>
      <w:r w:rsidR="00FE559B">
        <w:rPr>
          <w:lang w:val="en-US" w:eastAsia="es-ES"/>
        </w:rPr>
        <w:t>Figure 6</w:t>
      </w:r>
      <w:r w:rsidR="00272C1F">
        <w:rPr>
          <w:lang w:val="en-US" w:eastAsia="es-ES"/>
        </w:rPr>
        <w:t xml:space="preserve">. </w:t>
      </w:r>
      <w:r w:rsidR="00EB0230">
        <w:rPr>
          <w:lang w:val="en-US" w:eastAsia="es-ES"/>
        </w:rPr>
        <w:t xml:space="preserve">Furthermore, </w:t>
      </w:r>
      <w:r w:rsidR="005B5DB3">
        <w:rPr>
          <w:lang w:val="en-US" w:eastAsia="es-ES"/>
        </w:rPr>
        <w:t xml:space="preserve">the </w:t>
      </w:r>
      <w:r w:rsidR="008B66EC">
        <w:rPr>
          <w:lang w:val="en-US" w:eastAsia="es-ES"/>
        </w:rPr>
        <w:t>implemen</w:t>
      </w:r>
      <w:r w:rsidR="005B5DB3">
        <w:rPr>
          <w:lang w:val="en-US" w:eastAsia="es-ES"/>
        </w:rPr>
        <w:t>ted budget was used</w:t>
      </w:r>
      <w:r w:rsidR="00272C1F" w:rsidRPr="00272C1F">
        <w:rPr>
          <w:lang w:val="en-US" w:eastAsia="es-ES"/>
        </w:rPr>
        <w:t xml:space="preserve"> instead of </w:t>
      </w:r>
      <w:r w:rsidR="00272C1F">
        <w:rPr>
          <w:lang w:val="en-US" w:eastAsia="es-ES"/>
        </w:rPr>
        <w:t xml:space="preserve">the planned </w:t>
      </w:r>
      <w:r w:rsidR="005B5DB3">
        <w:rPr>
          <w:lang w:val="en-US" w:eastAsia="es-ES"/>
        </w:rPr>
        <w:t xml:space="preserve">or estimated </w:t>
      </w:r>
      <w:r w:rsidR="00272C1F">
        <w:rPr>
          <w:lang w:val="en-US" w:eastAsia="es-ES"/>
        </w:rPr>
        <w:t>one.</w:t>
      </w:r>
      <w:r w:rsidR="00B3563B">
        <w:rPr>
          <w:lang w:val="en-US" w:eastAsia="es-ES"/>
        </w:rPr>
        <w:t xml:space="preserve"> </w:t>
      </w:r>
      <w:r w:rsidR="00D511DE">
        <w:rPr>
          <w:lang w:val="en-US" w:eastAsia="es-ES"/>
        </w:rPr>
        <w:t xml:space="preserve">As a result, this study </w:t>
      </w:r>
      <w:r w:rsidR="006567D4">
        <w:rPr>
          <w:lang w:val="en-US" w:eastAsia="es-ES"/>
        </w:rPr>
        <w:t xml:space="preserve">explicitly </w:t>
      </w:r>
      <w:r w:rsidR="00D511DE">
        <w:rPr>
          <w:lang w:val="en-US" w:eastAsia="es-ES"/>
        </w:rPr>
        <w:t xml:space="preserve">analyzed the </w:t>
      </w:r>
      <w:r w:rsidR="006567D4">
        <w:rPr>
          <w:lang w:val="en-US" w:eastAsia="es-ES"/>
        </w:rPr>
        <w:t xml:space="preserve">available </w:t>
      </w:r>
      <w:r w:rsidR="00D511DE">
        <w:rPr>
          <w:lang w:val="en-US" w:eastAsia="es-ES"/>
        </w:rPr>
        <w:t xml:space="preserve">information about the accrued </w:t>
      </w:r>
      <w:r w:rsidR="006567D4">
        <w:rPr>
          <w:lang w:val="en-US" w:eastAsia="es-ES"/>
        </w:rPr>
        <w:t xml:space="preserve">public </w:t>
      </w:r>
      <w:r w:rsidR="00D511DE">
        <w:rPr>
          <w:lang w:val="en-US" w:eastAsia="es-ES"/>
        </w:rPr>
        <w:t>expenses.</w:t>
      </w:r>
    </w:p>
    <w:p w:rsidR="00D71472" w:rsidRPr="00CD3F2E" w:rsidRDefault="00D71472" w:rsidP="00FE559B">
      <w:pPr>
        <w:pStyle w:val="Caption"/>
        <w:spacing w:after="0"/>
        <w:jc w:val="center"/>
        <w:rPr>
          <w:sz w:val="22"/>
          <w:szCs w:val="22"/>
          <w:lang w:val="en-US" w:eastAsia="es-ES"/>
        </w:rPr>
      </w:pPr>
      <w:bookmarkStart w:id="13" w:name="_Ref249302984"/>
      <w:r w:rsidRPr="00CD3F2E">
        <w:rPr>
          <w:sz w:val="22"/>
          <w:szCs w:val="22"/>
          <w:lang w:val="en-US"/>
        </w:rPr>
        <w:t>Figure</w:t>
      </w:r>
      <w:bookmarkEnd w:id="13"/>
      <w:r w:rsidR="00FE559B" w:rsidRPr="00FE559B">
        <w:rPr>
          <w:sz w:val="22"/>
          <w:szCs w:val="22"/>
          <w:lang w:val="en-US"/>
        </w:rPr>
        <w:t xml:space="preserve"> 6</w:t>
      </w:r>
      <w:r w:rsidRPr="00CD3F2E">
        <w:rPr>
          <w:sz w:val="22"/>
          <w:szCs w:val="22"/>
          <w:lang w:val="en-US"/>
        </w:rPr>
        <w:t xml:space="preserve">: </w:t>
      </w:r>
      <w:r w:rsidR="005F59B7" w:rsidRPr="00CD3F2E">
        <w:rPr>
          <w:sz w:val="22"/>
          <w:szCs w:val="22"/>
          <w:lang w:val="en-US"/>
        </w:rPr>
        <w:t>Disaggregation of the cost items described in</w:t>
      </w:r>
      <w:r w:rsidR="001801B1" w:rsidRPr="00CD3F2E">
        <w:rPr>
          <w:sz w:val="22"/>
          <w:szCs w:val="22"/>
          <w:lang w:val="en-US"/>
        </w:rPr>
        <w:t xml:space="preserve"> </w:t>
      </w:r>
      <w:r w:rsidR="00F01353" w:rsidRPr="00CD3F2E">
        <w:rPr>
          <w:sz w:val="22"/>
          <w:szCs w:val="22"/>
          <w:lang w:val="en-US"/>
        </w:rPr>
        <w:t xml:space="preserve">the </w:t>
      </w:r>
      <w:r w:rsidR="001801B1" w:rsidRPr="00CD3F2E">
        <w:rPr>
          <w:sz w:val="22"/>
          <w:szCs w:val="22"/>
          <w:lang w:val="en-US"/>
        </w:rPr>
        <w:t>SIAF</w:t>
      </w:r>
    </w:p>
    <w:p w:rsidR="00D71472" w:rsidRPr="005F59B7" w:rsidRDefault="0019273C" w:rsidP="00FE559B">
      <w:pPr>
        <w:spacing w:after="0"/>
        <w:jc w:val="both"/>
        <w:rPr>
          <w:lang w:val="en-US" w:eastAsia="es-ES"/>
        </w:rPr>
      </w:pPr>
      <w:r w:rsidRPr="0019273C">
        <w:rPr>
          <w:noProof/>
          <w:lang w:eastAsia="es-ES"/>
        </w:rPr>
        <w:pict>
          <v:group id="_x0000_s1101" style="position:absolute;left:0;text-align:left;margin-left:-3.1pt;margin-top:7.45pt;width:423.1pt;height:207.3pt;z-index:251675648" coordorigin="2302,1872" coordsize="8462,4146">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102" type="#_x0000_t87" style="position:absolute;left:4344;top:1872;width:375;height:2117" adj=",10805"/>
            <v:shape id="_x0000_s1103" type="#_x0000_t87" style="position:absolute;left:4344;top:3989;width:375;height:2029" adj=",10805"/>
            <v:shapetype id="_x0000_t202" coordsize="21600,21600" o:spt="202" path="m,l,21600r21600,l21600,xe">
              <v:stroke joinstyle="miter"/>
              <v:path gradientshapeok="t" o:connecttype="rect"/>
            </v:shapetype>
            <v:shape id="_x0000_s1104" type="#_x0000_t202" style="position:absolute;left:2302;top:2540;width:1907;height:751;mso-width-relative:margin;mso-height-relative:margin" fillcolor="white [3201]" strokecolor="#8064a2 [3207]" strokeweight="2.5pt">
              <v:shadow color="#868686"/>
              <v:textbox>
                <w:txbxContent>
                  <w:p w:rsidR="00C90338" w:rsidRPr="001801B1" w:rsidRDefault="00C90338" w:rsidP="00272C1F">
                    <w:pPr>
                      <w:rPr>
                        <w:lang w:val="es-PE"/>
                      </w:rPr>
                    </w:pPr>
                    <w:proofErr w:type="spellStart"/>
                    <w:r>
                      <w:rPr>
                        <w:lang w:val="es-PE"/>
                      </w:rPr>
                      <w:t>Recurrent</w:t>
                    </w:r>
                    <w:proofErr w:type="spellEnd"/>
                    <w:r>
                      <w:rPr>
                        <w:lang w:val="es-PE"/>
                      </w:rPr>
                      <w:t xml:space="preserve"> </w:t>
                    </w:r>
                    <w:proofErr w:type="spellStart"/>
                    <w:r>
                      <w:rPr>
                        <w:lang w:val="es-PE"/>
                      </w:rPr>
                      <w:t>spending</w:t>
                    </w:r>
                    <w:proofErr w:type="spellEnd"/>
                  </w:p>
                </w:txbxContent>
              </v:textbox>
            </v:shape>
            <v:shape id="_x0000_s1105" type="#_x0000_t202" style="position:absolute;left:2302;top:4591;width:1907;height:794;mso-width-relative:margin;mso-height-relative:margin" fillcolor="white [3201]" strokecolor="#8064a2 [3207]" strokeweight="2.5pt">
              <v:shadow color="#868686"/>
              <v:textbox>
                <w:txbxContent>
                  <w:p w:rsidR="00C90338" w:rsidRPr="001801B1" w:rsidRDefault="00C90338" w:rsidP="00272C1F">
                    <w:pPr>
                      <w:rPr>
                        <w:lang w:val="es-PE"/>
                      </w:rPr>
                    </w:pPr>
                    <w:r>
                      <w:rPr>
                        <w:lang w:val="es-PE"/>
                      </w:rPr>
                      <w:t xml:space="preserve">Capital </w:t>
                    </w:r>
                    <w:proofErr w:type="spellStart"/>
                    <w:r>
                      <w:rPr>
                        <w:lang w:val="es-PE"/>
                      </w:rPr>
                      <w:t>spending</w:t>
                    </w:r>
                    <w:proofErr w:type="spellEnd"/>
                  </w:p>
                </w:txbxContent>
              </v:textbox>
            </v:shape>
            <v:roundrect id="_x0000_s1106" style="position:absolute;left:6639;top:2993;width:4095;height:433" arcsize="10923f">
              <v:textbox>
                <w:txbxContent>
                  <w:p w:rsidR="00C90338" w:rsidRPr="00C018FA" w:rsidRDefault="00C90338" w:rsidP="00272C1F">
                    <w:pPr>
                      <w:rPr>
                        <w:sz w:val="20"/>
                        <w:szCs w:val="20"/>
                        <w:lang w:val="es-PE"/>
                      </w:rPr>
                    </w:pPr>
                    <w:r>
                      <w:rPr>
                        <w:sz w:val="20"/>
                        <w:szCs w:val="20"/>
                        <w:lang w:val="es-PE"/>
                      </w:rPr>
                      <w:t>GOODS AND SERVICES</w:t>
                    </w:r>
                  </w:p>
                </w:txbxContent>
              </v:textbox>
            </v:roundrect>
            <v:roundrect id="_x0000_s1107" style="position:absolute;left:6639;top:2429;width:4095;height:404" arcsize="10923f">
              <v:textbox>
                <w:txbxContent>
                  <w:p w:rsidR="00C90338" w:rsidRPr="00C018FA" w:rsidRDefault="00C90338" w:rsidP="00272C1F">
                    <w:pPr>
                      <w:rPr>
                        <w:sz w:val="20"/>
                        <w:szCs w:val="20"/>
                        <w:lang w:val="es-PE"/>
                      </w:rPr>
                    </w:pPr>
                    <w:r>
                      <w:rPr>
                        <w:sz w:val="20"/>
                        <w:szCs w:val="20"/>
                        <w:lang w:val="es-PE"/>
                      </w:rPr>
                      <w:t>PENSIONS AND OTHER SOCIAL PROVISIONS</w:t>
                    </w:r>
                  </w:p>
                </w:txbxContent>
              </v:textbox>
            </v:roundrect>
            <v:roundrect id="_x0000_s1108" style="position:absolute;left:6639;top:1910;width:4095;height:405" arcsize="10923f">
              <v:textbox>
                <w:txbxContent>
                  <w:p w:rsidR="00C90338" w:rsidRPr="00C018FA" w:rsidRDefault="00C90338" w:rsidP="00272C1F">
                    <w:pPr>
                      <w:rPr>
                        <w:sz w:val="20"/>
                        <w:szCs w:val="20"/>
                        <w:lang w:val="es-PE"/>
                      </w:rPr>
                    </w:pPr>
                    <w:r>
                      <w:rPr>
                        <w:sz w:val="20"/>
                        <w:szCs w:val="20"/>
                        <w:lang w:val="es-PE"/>
                      </w:rPr>
                      <w:t>PERSONNEL AND SOCIAL OBLIGATIONS</w:t>
                    </w:r>
                  </w:p>
                  <w:p w:rsidR="00C90338" w:rsidRPr="00C018FA" w:rsidRDefault="00C90338" w:rsidP="00272C1F">
                    <w:pPr>
                      <w:rPr>
                        <w:sz w:val="20"/>
                        <w:szCs w:val="20"/>
                        <w:lang w:val="es-PE"/>
                      </w:rPr>
                    </w:pPr>
                  </w:p>
                </w:txbxContent>
              </v:textbox>
            </v:roundrect>
            <v:roundrect id="_x0000_s1109" style="position:absolute;left:6639;top:3512;width:4095;height:389" arcsize="10923f">
              <v:textbox>
                <w:txbxContent>
                  <w:p w:rsidR="00C90338" w:rsidRPr="00C018FA" w:rsidRDefault="00C90338" w:rsidP="00272C1F">
                    <w:pPr>
                      <w:rPr>
                        <w:sz w:val="20"/>
                        <w:szCs w:val="20"/>
                        <w:lang w:val="es-PE"/>
                      </w:rPr>
                    </w:pPr>
                    <w:r>
                      <w:rPr>
                        <w:sz w:val="20"/>
                        <w:szCs w:val="20"/>
                        <w:lang w:val="es-PE"/>
                      </w:rPr>
                      <w:t>OTHER CURRENT EXPENDITURES</w:t>
                    </w:r>
                  </w:p>
                </w:txbxContent>
              </v:textbox>
            </v:roundrect>
            <v:roundrect id="_x0000_s1110" style="position:absolute;left:6639;top:3989;width:4095;height:462" arcsize="10923f">
              <v:textbox>
                <w:txbxContent>
                  <w:p w:rsidR="00C90338" w:rsidRPr="0018742E" w:rsidRDefault="00C90338" w:rsidP="00272C1F">
                    <w:pPr>
                      <w:rPr>
                        <w:sz w:val="20"/>
                        <w:szCs w:val="20"/>
                      </w:rPr>
                    </w:pPr>
                    <w:r w:rsidRPr="0018742E">
                      <w:rPr>
                        <w:sz w:val="20"/>
                        <w:szCs w:val="20"/>
                      </w:rPr>
                      <w:t>INVE</w:t>
                    </w:r>
                    <w:r>
                      <w:rPr>
                        <w:sz w:val="20"/>
                        <w:szCs w:val="20"/>
                      </w:rPr>
                      <w:t>STMENTS</w:t>
                    </w:r>
                  </w:p>
                </w:txbxContent>
              </v:textbox>
            </v:roundrect>
            <v:roundrect id="_x0000_s1111" style="position:absolute;left:6639;top:4566;width:4095;height:404" arcsize="10923f">
              <v:textbox>
                <w:txbxContent>
                  <w:p w:rsidR="00C90338" w:rsidRPr="00C018FA" w:rsidRDefault="00C90338" w:rsidP="00272C1F">
                    <w:pPr>
                      <w:rPr>
                        <w:sz w:val="20"/>
                        <w:szCs w:val="20"/>
                        <w:lang w:val="es-PE"/>
                      </w:rPr>
                    </w:pPr>
                    <w:r>
                      <w:rPr>
                        <w:sz w:val="20"/>
                        <w:szCs w:val="20"/>
                        <w:lang w:val="es-PE"/>
                      </w:rPr>
                      <w:t>OTHER CAPITAL EXPENDITURES</w:t>
                    </w:r>
                  </w:p>
                </w:txbxContent>
              </v:textbox>
            </v:roundrect>
            <v:roundrect id="_x0000_s1112" style="position:absolute;left:6639;top:5056;width:4095;height:404" arcsize="10923f">
              <v:textbox>
                <w:txbxContent>
                  <w:p w:rsidR="00C90338" w:rsidRPr="0018742E" w:rsidRDefault="00C90338" w:rsidP="00272C1F">
                    <w:pPr>
                      <w:rPr>
                        <w:sz w:val="20"/>
                        <w:szCs w:val="20"/>
                        <w:lang w:val="es-PE"/>
                      </w:rPr>
                    </w:pPr>
                    <w:r>
                      <w:rPr>
                        <w:sz w:val="20"/>
                        <w:szCs w:val="20"/>
                        <w:lang w:val="es-PE"/>
                      </w:rPr>
                      <w:t>INTERESTS AND OTHER DEBT CHARGES</w:t>
                    </w:r>
                  </w:p>
                </w:txbxContent>
              </v:textbox>
            </v:roundrect>
            <v:roundrect id="_x0000_s1113" style="position:absolute;left:6639;top:5548;width:4095;height:404" arcsize="10923f">
              <v:textbox>
                <w:txbxContent>
                  <w:p w:rsidR="00C90338" w:rsidRPr="0065040E" w:rsidRDefault="00C90338" w:rsidP="00272C1F">
                    <w:pPr>
                      <w:rPr>
                        <w:lang w:val="es-PE"/>
                      </w:rPr>
                    </w:pPr>
                    <w:r>
                      <w:rPr>
                        <w:sz w:val="20"/>
                        <w:szCs w:val="20"/>
                        <w:lang w:val="es-PE"/>
                      </w:rPr>
                      <w:t>DEBT PAYMENTS</w:t>
                    </w:r>
                  </w:p>
                </w:txbxContent>
              </v:textbox>
            </v:roundrect>
            <v:roundrect id="_x0000_s1114" style="position:absolute;left:4794;top:2934;width:5970;height:1019" arcsize="10923f" fillcolor="yellow">
              <v:fill opacity="7864f"/>
              <v:textbox>
                <w:txbxContent>
                  <w:p w:rsidR="00C90338" w:rsidRPr="00C82BA2" w:rsidRDefault="00C90338" w:rsidP="00272C1F">
                    <w:pPr>
                      <w:rPr>
                        <w:lang w:val="es-PE"/>
                      </w:rPr>
                    </w:pPr>
                    <w:r>
                      <w:rPr>
                        <w:lang w:val="es-PE"/>
                      </w:rPr>
                      <w:t>NON-WAGES</w:t>
                    </w:r>
                  </w:p>
                  <w:p w:rsidR="00C90338" w:rsidRDefault="00C90338" w:rsidP="00272C1F"/>
                </w:txbxContent>
              </v:textbox>
            </v:roundrect>
            <v:roundrect id="_x0000_s1115" style="position:absolute;left:4794;top:1872;width:5970;height:1019" arcsize="10923f" fillcolor="#974706 [1609]">
              <v:fill opacity="7864f"/>
              <v:textbox>
                <w:txbxContent>
                  <w:p w:rsidR="00C90338" w:rsidRPr="00C82BA2" w:rsidRDefault="00C90338" w:rsidP="00272C1F">
                    <w:pPr>
                      <w:rPr>
                        <w:lang w:val="es-PE"/>
                      </w:rPr>
                    </w:pPr>
                    <w:r>
                      <w:rPr>
                        <w:lang w:val="es-PE"/>
                      </w:rPr>
                      <w:t>WAGES</w:t>
                    </w:r>
                  </w:p>
                </w:txbxContent>
              </v:textbox>
            </v:roundrect>
            <v:roundrect id="_x0000_s1116" style="position:absolute;left:4794;top:3989;width:5970;height:1963" arcsize="10923f" fillcolor="#4e6128 [1606]">
              <v:fill opacity="7864f"/>
              <v:textbox>
                <w:txbxContent>
                  <w:p w:rsidR="00C90338" w:rsidRPr="00C82BA2" w:rsidRDefault="00C90338" w:rsidP="00272C1F">
                    <w:pPr>
                      <w:rPr>
                        <w:lang w:val="es-PE"/>
                      </w:rPr>
                    </w:pPr>
                  </w:p>
                </w:txbxContent>
              </v:textbox>
            </v:roundrect>
          </v:group>
        </w:pict>
      </w:r>
    </w:p>
    <w:p w:rsidR="00272C1F" w:rsidRPr="005F59B7" w:rsidRDefault="00272C1F" w:rsidP="00640AF6">
      <w:pPr>
        <w:jc w:val="both"/>
        <w:rPr>
          <w:lang w:val="en-US" w:eastAsia="es-ES"/>
        </w:rPr>
      </w:pPr>
    </w:p>
    <w:p w:rsidR="00272C1F" w:rsidRPr="005F59B7" w:rsidRDefault="00272C1F" w:rsidP="00640AF6">
      <w:pPr>
        <w:jc w:val="both"/>
        <w:rPr>
          <w:lang w:val="en-US" w:eastAsia="es-ES"/>
        </w:rPr>
      </w:pPr>
    </w:p>
    <w:p w:rsidR="00272C1F" w:rsidRPr="005F59B7" w:rsidRDefault="00272C1F" w:rsidP="00640AF6">
      <w:pPr>
        <w:jc w:val="both"/>
        <w:rPr>
          <w:lang w:val="en-US" w:eastAsia="es-ES"/>
        </w:rPr>
      </w:pPr>
    </w:p>
    <w:p w:rsidR="00272C1F" w:rsidRPr="005F59B7" w:rsidRDefault="00272C1F" w:rsidP="00640AF6">
      <w:pPr>
        <w:jc w:val="both"/>
        <w:rPr>
          <w:lang w:val="en-US" w:eastAsia="es-ES"/>
        </w:rPr>
      </w:pPr>
    </w:p>
    <w:p w:rsidR="00272C1F" w:rsidRPr="005F59B7" w:rsidRDefault="00272C1F" w:rsidP="00640AF6">
      <w:pPr>
        <w:jc w:val="both"/>
        <w:rPr>
          <w:lang w:val="en-US" w:eastAsia="es-ES"/>
        </w:rPr>
      </w:pPr>
    </w:p>
    <w:p w:rsidR="00272C1F" w:rsidRPr="005F59B7" w:rsidRDefault="00272C1F" w:rsidP="00640AF6">
      <w:pPr>
        <w:jc w:val="both"/>
        <w:rPr>
          <w:lang w:val="en-US" w:eastAsia="es-ES"/>
        </w:rPr>
      </w:pPr>
    </w:p>
    <w:p w:rsidR="00272C1F" w:rsidRPr="005F59B7" w:rsidRDefault="00272C1F" w:rsidP="00640AF6">
      <w:pPr>
        <w:jc w:val="both"/>
        <w:rPr>
          <w:lang w:val="en-US" w:eastAsia="es-ES"/>
        </w:rPr>
      </w:pPr>
    </w:p>
    <w:p w:rsidR="00FE559B" w:rsidRDefault="00FE559B" w:rsidP="00272C1F">
      <w:pPr>
        <w:rPr>
          <w:rFonts w:eastAsia="Times New Roman"/>
          <w:sz w:val="16"/>
          <w:szCs w:val="16"/>
          <w:lang w:val="en-US" w:eastAsia="es-ES"/>
        </w:rPr>
      </w:pPr>
    </w:p>
    <w:p w:rsidR="00272C1F" w:rsidRPr="00FE559B" w:rsidRDefault="00272C1F" w:rsidP="00272C1F">
      <w:pPr>
        <w:rPr>
          <w:rFonts w:eastAsia="Times New Roman"/>
          <w:sz w:val="16"/>
          <w:szCs w:val="16"/>
          <w:lang w:val="en-US" w:eastAsia="es-ES"/>
        </w:rPr>
      </w:pPr>
      <w:r w:rsidRPr="00FE559B">
        <w:rPr>
          <w:rFonts w:eastAsia="Times New Roman"/>
          <w:sz w:val="16"/>
          <w:szCs w:val="16"/>
          <w:lang w:val="en-US" w:eastAsia="es-ES"/>
        </w:rPr>
        <w:t>Source: SIAF</w:t>
      </w:r>
    </w:p>
    <w:p w:rsidR="00272C1F" w:rsidRPr="00417239" w:rsidRDefault="007234A2" w:rsidP="007C167E">
      <w:pPr>
        <w:jc w:val="both"/>
        <w:rPr>
          <w:rFonts w:eastAsia="Times New Roman"/>
          <w:lang w:val="en-US" w:eastAsia="es-ES"/>
        </w:rPr>
      </w:pPr>
      <w:r w:rsidRPr="00417239">
        <w:rPr>
          <w:rFonts w:eastAsia="Times New Roman"/>
          <w:lang w:val="en-US" w:eastAsia="es-ES"/>
        </w:rPr>
        <w:t xml:space="preserve">In the same way, </w:t>
      </w:r>
      <w:r w:rsidR="00417239">
        <w:rPr>
          <w:rFonts w:eastAsia="Times New Roman"/>
          <w:lang w:val="en-US" w:eastAsia="es-ES"/>
        </w:rPr>
        <w:t>this study explored the sources of spending for education sector</w:t>
      </w:r>
      <w:r w:rsidR="0072044A">
        <w:rPr>
          <w:rFonts w:eastAsia="Times New Roman"/>
          <w:lang w:val="en-US" w:eastAsia="es-ES"/>
        </w:rPr>
        <w:t xml:space="preserve"> in 2008 (in constant prices</w:t>
      </w:r>
      <w:r w:rsidR="00902A56">
        <w:rPr>
          <w:rFonts w:eastAsia="Times New Roman"/>
          <w:lang w:val="en-US" w:eastAsia="es-ES"/>
        </w:rPr>
        <w:t>)</w:t>
      </w:r>
      <w:r w:rsidR="0072044A">
        <w:rPr>
          <w:rFonts w:eastAsia="Times New Roman"/>
          <w:lang w:val="en-US" w:eastAsia="es-ES"/>
        </w:rPr>
        <w:t>, taking 2006 as base year</w:t>
      </w:r>
      <w:r w:rsidR="007C167E">
        <w:rPr>
          <w:rFonts w:eastAsia="Times New Roman"/>
          <w:lang w:val="en-US" w:eastAsia="es-ES"/>
        </w:rPr>
        <w:t xml:space="preserve">. </w:t>
      </w:r>
      <w:r w:rsidR="005B3E4B">
        <w:rPr>
          <w:rFonts w:eastAsia="Times New Roman"/>
          <w:lang w:val="en-US" w:eastAsia="es-ES"/>
        </w:rPr>
        <w:t xml:space="preserve">This last source was split up </w:t>
      </w:r>
      <w:r w:rsidR="00960EF6">
        <w:rPr>
          <w:rFonts w:eastAsia="Times New Roman"/>
          <w:lang w:val="en-US" w:eastAsia="es-ES"/>
        </w:rPr>
        <w:t>according to the existing levels</w:t>
      </w:r>
      <w:r w:rsidR="00F60FAB">
        <w:rPr>
          <w:rFonts w:eastAsia="Times New Roman"/>
          <w:lang w:val="en-US" w:eastAsia="es-ES"/>
        </w:rPr>
        <w:t xml:space="preserve"> of management</w:t>
      </w:r>
      <w:r w:rsidR="00960EF6">
        <w:rPr>
          <w:rFonts w:eastAsia="Times New Roman"/>
          <w:lang w:val="en-US" w:eastAsia="es-ES"/>
        </w:rPr>
        <w:t>.</w:t>
      </w:r>
      <w:r w:rsidR="00C55B83">
        <w:rPr>
          <w:rFonts w:eastAsia="Times New Roman"/>
          <w:lang w:val="en-US" w:eastAsia="es-ES"/>
        </w:rPr>
        <w:t xml:space="preserve"> However, it must be pointed out that</w:t>
      </w:r>
      <w:r w:rsidR="00810B55">
        <w:rPr>
          <w:rFonts w:eastAsia="Times New Roman"/>
          <w:lang w:val="en-US" w:eastAsia="es-ES"/>
        </w:rPr>
        <w:t xml:space="preserve"> this study included only </w:t>
      </w:r>
      <w:r w:rsidR="00810B55">
        <w:rPr>
          <w:rFonts w:eastAsia="Times New Roman"/>
          <w:lang w:val="en-US" w:eastAsia="es-ES"/>
        </w:rPr>
        <w:lastRenderedPageBreak/>
        <w:t>those education programs already described above</w:t>
      </w:r>
      <w:r w:rsidR="00A15A65">
        <w:rPr>
          <w:rFonts w:eastAsia="Times New Roman"/>
          <w:lang w:val="en-US" w:eastAsia="es-ES"/>
        </w:rPr>
        <w:t>;</w:t>
      </w:r>
      <w:r w:rsidR="001E702E">
        <w:rPr>
          <w:rFonts w:eastAsia="Times New Roman"/>
          <w:lang w:val="en-US" w:eastAsia="es-ES"/>
        </w:rPr>
        <w:t xml:space="preserve"> that is, those programs referring to the acquisition of elemental </w:t>
      </w:r>
      <w:r w:rsidR="00612DF8">
        <w:rPr>
          <w:rFonts w:eastAsia="Times New Roman"/>
          <w:lang w:val="en-US" w:eastAsia="es-ES"/>
        </w:rPr>
        <w:t>and</w:t>
      </w:r>
      <w:r w:rsidR="001E702E">
        <w:rPr>
          <w:rFonts w:eastAsia="Times New Roman"/>
          <w:lang w:val="en-US" w:eastAsia="es-ES"/>
        </w:rPr>
        <w:t xml:space="preserve"> profound skills </w:t>
      </w:r>
      <w:r w:rsidR="0010687A">
        <w:rPr>
          <w:rFonts w:eastAsia="Times New Roman"/>
          <w:lang w:val="en-US" w:eastAsia="es-ES"/>
        </w:rPr>
        <w:t xml:space="preserve">which are </w:t>
      </w:r>
      <w:r w:rsidR="001E702E">
        <w:rPr>
          <w:rFonts w:eastAsia="Times New Roman"/>
          <w:lang w:val="en-US" w:eastAsia="es-ES"/>
        </w:rPr>
        <w:t>developed inside a classroom.</w:t>
      </w:r>
    </w:p>
    <w:p w:rsidR="00D04271" w:rsidRPr="00195A76" w:rsidRDefault="009C5D96" w:rsidP="0073121E">
      <w:pPr>
        <w:pStyle w:val="Heading2"/>
        <w:numPr>
          <w:ilvl w:val="0"/>
          <w:numId w:val="14"/>
        </w:numPr>
        <w:rPr>
          <w:rFonts w:eastAsia="Times New Roman"/>
          <w:lang w:val="en-US" w:eastAsia="es-ES"/>
        </w:rPr>
      </w:pPr>
      <w:bookmarkStart w:id="14" w:name="_Toc255446164"/>
      <w:bookmarkEnd w:id="11"/>
      <w:bookmarkEnd w:id="12"/>
      <w:r w:rsidRPr="00195A76">
        <w:rPr>
          <w:rFonts w:eastAsia="Times New Roman"/>
          <w:lang w:val="en-US" w:eastAsia="es-ES"/>
        </w:rPr>
        <w:t>Sources of Education Spending</w:t>
      </w:r>
      <w:bookmarkEnd w:id="14"/>
    </w:p>
    <w:p w:rsidR="00D04271" w:rsidRPr="00195A76" w:rsidRDefault="00D04271" w:rsidP="00640AF6">
      <w:pPr>
        <w:spacing w:after="0"/>
        <w:rPr>
          <w:rFonts w:ascii="Arial" w:eastAsia="Times New Roman" w:hAnsi="Arial" w:cs="Arial"/>
          <w:color w:val="000000"/>
          <w:sz w:val="24"/>
          <w:szCs w:val="24"/>
          <w:lang w:val="en-US" w:eastAsia="es-ES"/>
        </w:rPr>
      </w:pPr>
    </w:p>
    <w:p w:rsidR="00C3673B" w:rsidRPr="00CD3F2E" w:rsidRDefault="00195A76" w:rsidP="000059C4">
      <w:pPr>
        <w:pStyle w:val="Caption"/>
        <w:jc w:val="center"/>
        <w:rPr>
          <w:sz w:val="22"/>
          <w:szCs w:val="22"/>
          <w:vertAlign w:val="superscript"/>
          <w:lang w:val="en-US"/>
        </w:rPr>
      </w:pPr>
      <w:r w:rsidRPr="00CD3F2E">
        <w:rPr>
          <w:sz w:val="22"/>
          <w:szCs w:val="22"/>
          <w:lang w:val="en-US"/>
        </w:rPr>
        <w:t>Table</w:t>
      </w:r>
      <w:r w:rsidR="00FE559B" w:rsidRPr="00FE559B">
        <w:rPr>
          <w:sz w:val="22"/>
          <w:szCs w:val="22"/>
          <w:lang w:val="en-US"/>
        </w:rPr>
        <w:t xml:space="preserve"> </w:t>
      </w:r>
      <w:r w:rsidR="00FE559B">
        <w:rPr>
          <w:sz w:val="22"/>
          <w:szCs w:val="22"/>
          <w:lang w:val="en-US"/>
        </w:rPr>
        <w:t>2</w:t>
      </w:r>
      <w:r w:rsidR="00C3673B" w:rsidRPr="00CD3F2E">
        <w:rPr>
          <w:sz w:val="22"/>
          <w:szCs w:val="22"/>
          <w:lang w:val="en-US"/>
        </w:rPr>
        <w:t>: Sources of Education Spending</w:t>
      </w:r>
      <w:r w:rsidR="00134C0E">
        <w:rPr>
          <w:sz w:val="22"/>
          <w:szCs w:val="22"/>
          <w:lang w:val="en-US"/>
        </w:rPr>
        <w:t>, 2008</w:t>
      </w:r>
      <w:r w:rsidR="00C3673B" w:rsidRPr="00CD3F2E">
        <w:rPr>
          <w:sz w:val="22"/>
          <w:szCs w:val="22"/>
          <w:lang w:val="en-US"/>
        </w:rPr>
        <w:t xml:space="preserve"> (In thousands of </w:t>
      </w:r>
      <w:proofErr w:type="spellStart"/>
      <w:r w:rsidR="00C3673B" w:rsidRPr="00CD3F2E">
        <w:rPr>
          <w:sz w:val="22"/>
          <w:szCs w:val="22"/>
          <w:lang w:val="en-US"/>
        </w:rPr>
        <w:t>Nuevos</w:t>
      </w:r>
      <w:proofErr w:type="spellEnd"/>
      <w:r w:rsidR="00C3673B" w:rsidRPr="00CD3F2E">
        <w:rPr>
          <w:sz w:val="22"/>
          <w:szCs w:val="22"/>
          <w:lang w:val="en-US"/>
        </w:rPr>
        <w:t xml:space="preserve"> Soles, constant prices 2006)</w:t>
      </w:r>
      <w:r w:rsidR="00C3673B" w:rsidRPr="00CD3F2E">
        <w:rPr>
          <w:sz w:val="22"/>
          <w:szCs w:val="22"/>
          <w:vertAlign w:val="superscript"/>
          <w:lang w:val="en-US"/>
        </w:rPr>
        <w:t>1/</w:t>
      </w:r>
    </w:p>
    <w:tbl>
      <w:tblPr>
        <w:tblpPr w:leftFromText="141" w:rightFromText="141" w:vertAnchor="text" w:horzAnchor="margin" w:tblpXSpec="center" w:tblpY="41"/>
        <w:tblOverlap w:val="never"/>
        <w:tblW w:w="6874" w:type="dxa"/>
        <w:tblCellMar>
          <w:left w:w="70" w:type="dxa"/>
          <w:right w:w="70" w:type="dxa"/>
        </w:tblCellMar>
        <w:tblLook w:val="04A0"/>
      </w:tblPr>
      <w:tblGrid>
        <w:gridCol w:w="1772"/>
        <w:gridCol w:w="1421"/>
        <w:gridCol w:w="1769"/>
        <w:gridCol w:w="1912"/>
      </w:tblGrid>
      <w:tr w:rsidR="00C3673B" w:rsidRPr="00901CB2" w:rsidTr="00F822E0">
        <w:trPr>
          <w:trHeight w:val="600"/>
        </w:trPr>
        <w:tc>
          <w:tcPr>
            <w:tcW w:w="1772" w:type="dxa"/>
            <w:tcBorders>
              <w:top w:val="single" w:sz="12" w:space="0" w:color="auto"/>
              <w:left w:val="single" w:sz="12" w:space="0" w:color="auto"/>
              <w:bottom w:val="single" w:sz="12" w:space="0" w:color="auto"/>
              <w:right w:val="nil"/>
            </w:tcBorders>
            <w:shd w:val="clear" w:color="000000" w:fill="B2A1C7"/>
            <w:noWrap/>
            <w:vAlign w:val="center"/>
            <w:hideMark/>
          </w:tcPr>
          <w:p w:rsidR="00C3673B" w:rsidRPr="00901CB2" w:rsidRDefault="00C3673B" w:rsidP="00F822E0">
            <w:pPr>
              <w:spacing w:after="0"/>
              <w:jc w:val="center"/>
              <w:rPr>
                <w:rFonts w:ascii="Calibri" w:eastAsia="Times New Roman" w:hAnsi="Calibri" w:cs="Times New Roman"/>
                <w:b/>
                <w:bCs/>
                <w:color w:val="000000"/>
                <w:lang w:val="en-US" w:eastAsia="es-ES"/>
              </w:rPr>
            </w:pPr>
          </w:p>
        </w:tc>
        <w:tc>
          <w:tcPr>
            <w:tcW w:w="1421" w:type="dxa"/>
            <w:tcBorders>
              <w:top w:val="single" w:sz="12" w:space="0" w:color="auto"/>
              <w:left w:val="nil"/>
              <w:bottom w:val="single" w:sz="12" w:space="0" w:color="auto"/>
              <w:right w:val="nil"/>
            </w:tcBorders>
            <w:shd w:val="clear" w:color="000000" w:fill="B2A1C7"/>
            <w:vAlign w:val="center"/>
            <w:hideMark/>
          </w:tcPr>
          <w:p w:rsidR="00C3673B" w:rsidRPr="00901CB2" w:rsidRDefault="00C3673B" w:rsidP="00F822E0">
            <w:pPr>
              <w:spacing w:after="0"/>
              <w:jc w:val="center"/>
              <w:rPr>
                <w:rFonts w:ascii="Calibri" w:eastAsia="Times New Roman" w:hAnsi="Calibri" w:cs="Times New Roman"/>
                <w:b/>
                <w:bCs/>
                <w:color w:val="000000"/>
                <w:lang w:eastAsia="es-ES"/>
              </w:rPr>
            </w:pPr>
            <w:proofErr w:type="spellStart"/>
            <w:r w:rsidRPr="00901CB2">
              <w:rPr>
                <w:rFonts w:ascii="Calibri" w:eastAsia="Times New Roman" w:hAnsi="Calibri" w:cs="Times New Roman"/>
                <w:b/>
                <w:bCs/>
                <w:color w:val="000000"/>
                <w:lang w:eastAsia="es-ES"/>
              </w:rPr>
              <w:t>Expenditures</w:t>
            </w:r>
            <w:proofErr w:type="spellEnd"/>
            <w:r w:rsidRPr="00901CB2">
              <w:rPr>
                <w:rFonts w:ascii="Calibri" w:eastAsia="Times New Roman" w:hAnsi="Calibri" w:cs="Times New Roman"/>
                <w:b/>
                <w:bCs/>
                <w:color w:val="000000"/>
                <w:lang w:eastAsia="es-ES"/>
              </w:rPr>
              <w:t xml:space="preserve"> (</w:t>
            </w:r>
            <w:proofErr w:type="spellStart"/>
            <w:r w:rsidRPr="00901CB2">
              <w:rPr>
                <w:rFonts w:ascii="Calibri" w:eastAsia="Times New Roman" w:hAnsi="Calibri" w:cs="Times New Roman"/>
                <w:b/>
                <w:bCs/>
                <w:color w:val="000000"/>
                <w:lang w:eastAsia="es-ES"/>
              </w:rPr>
              <w:t>amount</w:t>
            </w:r>
            <w:proofErr w:type="spellEnd"/>
            <w:r w:rsidRPr="00901CB2">
              <w:rPr>
                <w:rFonts w:ascii="Calibri" w:eastAsia="Times New Roman" w:hAnsi="Calibri" w:cs="Times New Roman"/>
                <w:b/>
                <w:bCs/>
                <w:color w:val="000000"/>
                <w:lang w:eastAsia="es-ES"/>
              </w:rPr>
              <w:t>)</w:t>
            </w:r>
          </w:p>
        </w:tc>
        <w:tc>
          <w:tcPr>
            <w:tcW w:w="1769" w:type="dxa"/>
            <w:tcBorders>
              <w:top w:val="single" w:sz="12" w:space="0" w:color="auto"/>
              <w:left w:val="nil"/>
              <w:bottom w:val="single" w:sz="12" w:space="0" w:color="auto"/>
              <w:right w:val="nil"/>
            </w:tcBorders>
            <w:shd w:val="clear" w:color="000000" w:fill="B2A1C7"/>
            <w:vAlign w:val="center"/>
            <w:hideMark/>
          </w:tcPr>
          <w:p w:rsidR="00C3673B" w:rsidRPr="00901CB2" w:rsidRDefault="00C3673B" w:rsidP="00F822E0">
            <w:pPr>
              <w:spacing w:after="0"/>
              <w:jc w:val="center"/>
              <w:rPr>
                <w:rFonts w:ascii="Calibri" w:eastAsia="Times New Roman" w:hAnsi="Calibri" w:cs="Times New Roman"/>
                <w:b/>
                <w:bCs/>
                <w:color w:val="000000"/>
                <w:lang w:eastAsia="es-ES"/>
              </w:rPr>
            </w:pPr>
            <w:proofErr w:type="spellStart"/>
            <w:r w:rsidRPr="00901CB2">
              <w:rPr>
                <w:rFonts w:ascii="Calibri" w:eastAsia="Times New Roman" w:hAnsi="Calibri" w:cs="Times New Roman"/>
                <w:b/>
                <w:bCs/>
                <w:color w:val="000000"/>
                <w:lang w:eastAsia="es-ES"/>
              </w:rPr>
              <w:t>Percent</w:t>
            </w:r>
            <w:proofErr w:type="spellEnd"/>
            <w:r w:rsidRPr="00901CB2">
              <w:rPr>
                <w:rFonts w:ascii="Calibri" w:eastAsia="Times New Roman" w:hAnsi="Calibri" w:cs="Times New Roman"/>
                <w:b/>
                <w:bCs/>
                <w:color w:val="000000"/>
                <w:lang w:eastAsia="es-ES"/>
              </w:rPr>
              <w:t xml:space="preserve"> of GDP</w:t>
            </w:r>
          </w:p>
        </w:tc>
        <w:tc>
          <w:tcPr>
            <w:tcW w:w="1912" w:type="dxa"/>
            <w:tcBorders>
              <w:top w:val="single" w:sz="12" w:space="0" w:color="auto"/>
              <w:left w:val="nil"/>
              <w:bottom w:val="single" w:sz="12" w:space="0" w:color="auto"/>
              <w:right w:val="single" w:sz="12" w:space="0" w:color="auto"/>
            </w:tcBorders>
            <w:shd w:val="clear" w:color="000000" w:fill="B2A1C7"/>
            <w:vAlign w:val="center"/>
            <w:hideMark/>
          </w:tcPr>
          <w:p w:rsidR="00C3673B" w:rsidRPr="00901CB2" w:rsidRDefault="00C3673B" w:rsidP="00F822E0">
            <w:pPr>
              <w:spacing w:after="0"/>
              <w:jc w:val="center"/>
              <w:rPr>
                <w:rFonts w:ascii="Calibri" w:eastAsia="Times New Roman" w:hAnsi="Calibri" w:cs="Times New Roman"/>
                <w:b/>
                <w:bCs/>
                <w:color w:val="000000"/>
                <w:lang w:eastAsia="es-ES"/>
              </w:rPr>
            </w:pPr>
            <w:proofErr w:type="spellStart"/>
            <w:r w:rsidRPr="00901CB2">
              <w:rPr>
                <w:rFonts w:ascii="Calibri" w:eastAsia="Times New Roman" w:hAnsi="Calibri" w:cs="Times New Roman"/>
                <w:b/>
                <w:bCs/>
                <w:color w:val="000000"/>
                <w:lang w:eastAsia="es-ES"/>
              </w:rPr>
              <w:t>Percent</w:t>
            </w:r>
            <w:proofErr w:type="spellEnd"/>
            <w:r w:rsidRPr="00901CB2">
              <w:rPr>
                <w:rFonts w:ascii="Calibri" w:eastAsia="Times New Roman" w:hAnsi="Calibri" w:cs="Times New Roman"/>
                <w:b/>
                <w:bCs/>
                <w:color w:val="000000"/>
                <w:lang w:eastAsia="es-ES"/>
              </w:rPr>
              <w:t xml:space="preserve"> of sector expenses</w:t>
            </w:r>
          </w:p>
        </w:tc>
      </w:tr>
      <w:tr w:rsidR="00C3673B" w:rsidRPr="00901CB2" w:rsidTr="00F822E0">
        <w:trPr>
          <w:trHeight w:val="300"/>
        </w:trPr>
        <w:tc>
          <w:tcPr>
            <w:tcW w:w="1772" w:type="dxa"/>
            <w:tcBorders>
              <w:top w:val="single" w:sz="12" w:space="0" w:color="auto"/>
              <w:left w:val="single" w:sz="12" w:space="0" w:color="auto"/>
              <w:bottom w:val="single" w:sz="12" w:space="0" w:color="auto"/>
              <w:right w:val="nil"/>
            </w:tcBorders>
            <w:shd w:val="clear" w:color="000000" w:fill="95B3D7"/>
            <w:noWrap/>
            <w:vAlign w:val="bottom"/>
            <w:hideMark/>
          </w:tcPr>
          <w:p w:rsidR="00C3673B" w:rsidRPr="00901CB2" w:rsidRDefault="00C3673B" w:rsidP="00640AF6">
            <w:pPr>
              <w:spacing w:after="0"/>
              <w:rPr>
                <w:rFonts w:ascii="Calibri" w:eastAsia="Times New Roman" w:hAnsi="Calibri" w:cs="Times New Roman"/>
                <w:b/>
                <w:bCs/>
                <w:color w:val="000000"/>
                <w:lang w:eastAsia="es-ES"/>
              </w:rPr>
            </w:pPr>
            <w:proofErr w:type="spellStart"/>
            <w:r w:rsidRPr="00901CB2">
              <w:rPr>
                <w:rFonts w:ascii="Calibri" w:eastAsia="Times New Roman" w:hAnsi="Calibri" w:cs="Times New Roman"/>
                <w:b/>
                <w:bCs/>
                <w:color w:val="000000"/>
                <w:lang w:eastAsia="es-ES"/>
              </w:rPr>
              <w:t>Education</w:t>
            </w:r>
            <w:proofErr w:type="spellEnd"/>
          </w:p>
        </w:tc>
        <w:tc>
          <w:tcPr>
            <w:tcW w:w="1421" w:type="dxa"/>
            <w:tcBorders>
              <w:top w:val="single" w:sz="12" w:space="0" w:color="auto"/>
              <w:left w:val="nil"/>
              <w:bottom w:val="single" w:sz="12" w:space="0" w:color="auto"/>
              <w:right w:val="nil"/>
            </w:tcBorders>
            <w:shd w:val="clear" w:color="000000" w:fill="95B3D7"/>
            <w:noWrap/>
            <w:vAlign w:val="bottom"/>
            <w:hideMark/>
          </w:tcPr>
          <w:p w:rsidR="00C3673B" w:rsidRPr="00901CB2" w:rsidRDefault="00C3673B" w:rsidP="00640AF6">
            <w:pPr>
              <w:spacing w:after="0"/>
              <w:rPr>
                <w:rFonts w:ascii="Calibri" w:eastAsia="Times New Roman" w:hAnsi="Calibri" w:cs="Times New Roman"/>
                <w:b/>
                <w:bCs/>
                <w:color w:val="000000"/>
                <w:lang w:eastAsia="es-ES"/>
              </w:rPr>
            </w:pPr>
            <w:r w:rsidRPr="00901CB2">
              <w:rPr>
                <w:rFonts w:ascii="Calibri" w:eastAsia="Times New Roman" w:hAnsi="Calibri" w:cs="Times New Roman"/>
                <w:b/>
                <w:bCs/>
                <w:color w:val="000000"/>
                <w:lang w:eastAsia="es-ES"/>
              </w:rPr>
              <w:t> </w:t>
            </w:r>
          </w:p>
        </w:tc>
        <w:tc>
          <w:tcPr>
            <w:tcW w:w="1769" w:type="dxa"/>
            <w:tcBorders>
              <w:top w:val="single" w:sz="12" w:space="0" w:color="auto"/>
              <w:left w:val="nil"/>
              <w:bottom w:val="single" w:sz="12" w:space="0" w:color="auto"/>
              <w:right w:val="nil"/>
            </w:tcBorders>
            <w:shd w:val="clear" w:color="000000" w:fill="95B3D7"/>
            <w:noWrap/>
            <w:vAlign w:val="bottom"/>
            <w:hideMark/>
          </w:tcPr>
          <w:p w:rsidR="00C3673B" w:rsidRPr="00901CB2" w:rsidRDefault="00C3673B" w:rsidP="00640AF6">
            <w:pPr>
              <w:spacing w:after="0"/>
              <w:rPr>
                <w:rFonts w:ascii="Calibri" w:eastAsia="Times New Roman" w:hAnsi="Calibri" w:cs="Times New Roman"/>
                <w:b/>
                <w:bCs/>
                <w:color w:val="000000"/>
                <w:lang w:eastAsia="es-ES"/>
              </w:rPr>
            </w:pPr>
            <w:r w:rsidRPr="00901CB2">
              <w:rPr>
                <w:rFonts w:ascii="Calibri" w:eastAsia="Times New Roman" w:hAnsi="Calibri" w:cs="Times New Roman"/>
                <w:b/>
                <w:bCs/>
                <w:color w:val="000000"/>
                <w:lang w:eastAsia="es-ES"/>
              </w:rPr>
              <w:t> </w:t>
            </w:r>
          </w:p>
        </w:tc>
        <w:tc>
          <w:tcPr>
            <w:tcW w:w="1912" w:type="dxa"/>
            <w:tcBorders>
              <w:top w:val="single" w:sz="12" w:space="0" w:color="auto"/>
              <w:left w:val="nil"/>
              <w:bottom w:val="single" w:sz="12" w:space="0" w:color="auto"/>
              <w:right w:val="single" w:sz="12" w:space="0" w:color="auto"/>
            </w:tcBorders>
            <w:shd w:val="clear" w:color="000000" w:fill="95B3D7"/>
            <w:noWrap/>
            <w:vAlign w:val="bottom"/>
            <w:hideMark/>
          </w:tcPr>
          <w:p w:rsidR="00C3673B" w:rsidRPr="00901CB2" w:rsidRDefault="00C3673B" w:rsidP="00640AF6">
            <w:pPr>
              <w:spacing w:after="0"/>
              <w:rPr>
                <w:rFonts w:ascii="Calibri" w:eastAsia="Times New Roman" w:hAnsi="Calibri" w:cs="Times New Roman"/>
                <w:b/>
                <w:bCs/>
                <w:color w:val="000000"/>
                <w:lang w:eastAsia="es-ES"/>
              </w:rPr>
            </w:pPr>
            <w:r w:rsidRPr="00901CB2">
              <w:rPr>
                <w:rFonts w:ascii="Calibri" w:eastAsia="Times New Roman" w:hAnsi="Calibri" w:cs="Times New Roman"/>
                <w:b/>
                <w:bCs/>
                <w:color w:val="000000"/>
                <w:lang w:eastAsia="es-ES"/>
              </w:rPr>
              <w:t> </w:t>
            </w:r>
          </w:p>
        </w:tc>
      </w:tr>
      <w:tr w:rsidR="00C3673B" w:rsidRPr="00901CB2" w:rsidTr="00F822E0">
        <w:trPr>
          <w:trHeight w:val="300"/>
        </w:trPr>
        <w:tc>
          <w:tcPr>
            <w:tcW w:w="1772" w:type="dxa"/>
            <w:tcBorders>
              <w:top w:val="single" w:sz="12" w:space="0" w:color="auto"/>
              <w:left w:val="nil"/>
              <w:bottom w:val="nil"/>
              <w:right w:val="nil"/>
            </w:tcBorders>
            <w:shd w:val="clear" w:color="000000" w:fill="FFFFFF"/>
            <w:noWrap/>
            <w:vAlign w:val="center"/>
            <w:hideMark/>
          </w:tcPr>
          <w:p w:rsidR="00C3673B" w:rsidRPr="00901CB2" w:rsidRDefault="00C3673B" w:rsidP="00F822E0">
            <w:pPr>
              <w:spacing w:after="0"/>
              <w:rPr>
                <w:rFonts w:ascii="Calibri" w:eastAsia="Times New Roman" w:hAnsi="Calibri" w:cs="Times New Roman"/>
                <w:color w:val="000000"/>
                <w:lang w:eastAsia="es-ES"/>
              </w:rPr>
            </w:pPr>
            <w:r w:rsidRPr="00901CB2">
              <w:rPr>
                <w:rFonts w:ascii="Calibri" w:eastAsia="Times New Roman" w:hAnsi="Calibri" w:cs="Times New Roman"/>
                <w:color w:val="000000"/>
                <w:lang w:eastAsia="es-ES"/>
              </w:rPr>
              <w:t>TOTAL</w:t>
            </w:r>
          </w:p>
        </w:tc>
        <w:tc>
          <w:tcPr>
            <w:tcW w:w="1421" w:type="dxa"/>
            <w:tcBorders>
              <w:top w:val="single" w:sz="12" w:space="0" w:color="auto"/>
              <w:left w:val="nil"/>
              <w:bottom w:val="nil"/>
              <w:right w:val="nil"/>
            </w:tcBorders>
            <w:shd w:val="clear" w:color="000000" w:fill="FFFFFF"/>
            <w:noWrap/>
            <w:vAlign w:val="center"/>
            <w:hideMark/>
          </w:tcPr>
          <w:p w:rsidR="00C3673B" w:rsidRPr="00901CB2" w:rsidRDefault="00C3673B" w:rsidP="00F822E0">
            <w:pPr>
              <w:spacing w:after="0"/>
              <w:jc w:val="center"/>
              <w:rPr>
                <w:rFonts w:ascii="Calibri" w:eastAsia="Times New Roman" w:hAnsi="Calibri" w:cs="Times New Roman"/>
                <w:color w:val="000000"/>
                <w:lang w:eastAsia="es-ES"/>
              </w:rPr>
            </w:pPr>
            <w:r w:rsidRPr="00901CB2">
              <w:rPr>
                <w:rFonts w:ascii="Calibri" w:eastAsia="Times New Roman" w:hAnsi="Calibri" w:cs="Times New Roman"/>
                <w:color w:val="000000"/>
                <w:lang w:eastAsia="es-ES"/>
              </w:rPr>
              <w:t>10,498,266.13</w:t>
            </w:r>
          </w:p>
        </w:tc>
        <w:tc>
          <w:tcPr>
            <w:tcW w:w="1769" w:type="dxa"/>
            <w:tcBorders>
              <w:top w:val="single" w:sz="12" w:space="0" w:color="auto"/>
              <w:left w:val="nil"/>
              <w:bottom w:val="nil"/>
              <w:right w:val="nil"/>
            </w:tcBorders>
            <w:shd w:val="clear" w:color="000000" w:fill="FFFFFF"/>
            <w:noWrap/>
            <w:vAlign w:val="center"/>
            <w:hideMark/>
          </w:tcPr>
          <w:p w:rsidR="00C3673B" w:rsidRPr="00901CB2" w:rsidRDefault="00C3673B" w:rsidP="00F822E0">
            <w:pPr>
              <w:spacing w:after="0"/>
              <w:jc w:val="center"/>
              <w:rPr>
                <w:rFonts w:ascii="Calibri" w:eastAsia="Times New Roman" w:hAnsi="Calibri" w:cs="Times New Roman"/>
                <w:color w:val="000000"/>
                <w:lang w:eastAsia="es-ES"/>
              </w:rPr>
            </w:pPr>
            <w:r w:rsidRPr="00901CB2">
              <w:rPr>
                <w:rFonts w:ascii="Calibri" w:eastAsia="Times New Roman" w:hAnsi="Calibri" w:cs="Times New Roman"/>
                <w:color w:val="000000"/>
                <w:lang w:eastAsia="es-ES"/>
              </w:rPr>
              <w:t>3.12%</w:t>
            </w:r>
          </w:p>
        </w:tc>
        <w:tc>
          <w:tcPr>
            <w:tcW w:w="1912" w:type="dxa"/>
            <w:tcBorders>
              <w:top w:val="single" w:sz="12" w:space="0" w:color="auto"/>
              <w:left w:val="nil"/>
              <w:bottom w:val="nil"/>
              <w:right w:val="nil"/>
            </w:tcBorders>
            <w:shd w:val="clear" w:color="000000" w:fill="FFFFFF"/>
            <w:noWrap/>
            <w:vAlign w:val="center"/>
            <w:hideMark/>
          </w:tcPr>
          <w:p w:rsidR="00C3673B" w:rsidRPr="00901CB2" w:rsidRDefault="00C3673B" w:rsidP="00F822E0">
            <w:pPr>
              <w:spacing w:after="0"/>
              <w:jc w:val="center"/>
              <w:rPr>
                <w:rFonts w:ascii="Calibri" w:eastAsia="Times New Roman" w:hAnsi="Calibri" w:cs="Times New Roman"/>
                <w:color w:val="000000"/>
                <w:lang w:eastAsia="es-ES"/>
              </w:rPr>
            </w:pPr>
            <w:r w:rsidRPr="00901CB2">
              <w:rPr>
                <w:rFonts w:ascii="Calibri" w:eastAsia="Times New Roman" w:hAnsi="Calibri" w:cs="Times New Roman"/>
                <w:color w:val="000000"/>
                <w:lang w:eastAsia="es-ES"/>
              </w:rPr>
              <w:t>100.00%</w:t>
            </w:r>
          </w:p>
        </w:tc>
      </w:tr>
      <w:tr w:rsidR="00F822E0" w:rsidRPr="00901CB2" w:rsidTr="00F822E0">
        <w:trPr>
          <w:trHeight w:val="300"/>
        </w:trPr>
        <w:tc>
          <w:tcPr>
            <w:tcW w:w="1772" w:type="dxa"/>
            <w:tcBorders>
              <w:top w:val="nil"/>
              <w:left w:val="nil"/>
              <w:bottom w:val="nil"/>
              <w:right w:val="nil"/>
            </w:tcBorders>
            <w:shd w:val="clear" w:color="000000" w:fill="FFFFFF"/>
            <w:noWrap/>
            <w:vAlign w:val="center"/>
            <w:hideMark/>
          </w:tcPr>
          <w:p w:rsidR="00F822E0" w:rsidRPr="00901CB2" w:rsidRDefault="00F822E0" w:rsidP="00F822E0">
            <w:pPr>
              <w:spacing w:after="0"/>
              <w:jc w:val="center"/>
              <w:rPr>
                <w:rFonts w:ascii="Calibri" w:eastAsia="Times New Roman" w:hAnsi="Calibri" w:cs="Times New Roman"/>
                <w:color w:val="000000"/>
                <w:lang w:eastAsia="es-ES"/>
              </w:rPr>
            </w:pPr>
          </w:p>
        </w:tc>
        <w:tc>
          <w:tcPr>
            <w:tcW w:w="1421" w:type="dxa"/>
            <w:tcBorders>
              <w:top w:val="nil"/>
              <w:left w:val="nil"/>
              <w:bottom w:val="nil"/>
              <w:right w:val="nil"/>
            </w:tcBorders>
            <w:shd w:val="clear" w:color="000000" w:fill="FFFFFF"/>
            <w:noWrap/>
            <w:vAlign w:val="center"/>
            <w:hideMark/>
          </w:tcPr>
          <w:p w:rsidR="00F822E0" w:rsidRPr="00901CB2" w:rsidRDefault="00F822E0" w:rsidP="00F822E0">
            <w:pPr>
              <w:spacing w:after="0"/>
              <w:jc w:val="center"/>
              <w:rPr>
                <w:rFonts w:ascii="Calibri" w:eastAsia="Times New Roman" w:hAnsi="Calibri" w:cs="Times New Roman"/>
                <w:color w:val="000000"/>
                <w:lang w:eastAsia="es-ES"/>
              </w:rPr>
            </w:pPr>
          </w:p>
        </w:tc>
        <w:tc>
          <w:tcPr>
            <w:tcW w:w="1769" w:type="dxa"/>
            <w:tcBorders>
              <w:top w:val="nil"/>
              <w:left w:val="nil"/>
              <w:bottom w:val="nil"/>
              <w:right w:val="nil"/>
            </w:tcBorders>
            <w:shd w:val="clear" w:color="000000" w:fill="FFFFFF"/>
            <w:noWrap/>
            <w:vAlign w:val="center"/>
            <w:hideMark/>
          </w:tcPr>
          <w:p w:rsidR="00F822E0" w:rsidRPr="00901CB2" w:rsidRDefault="00F822E0" w:rsidP="00F822E0">
            <w:pPr>
              <w:spacing w:after="0"/>
              <w:jc w:val="center"/>
              <w:rPr>
                <w:rFonts w:ascii="Calibri" w:eastAsia="Times New Roman" w:hAnsi="Calibri" w:cs="Times New Roman"/>
                <w:color w:val="000000"/>
                <w:lang w:eastAsia="es-ES"/>
              </w:rPr>
            </w:pPr>
          </w:p>
        </w:tc>
        <w:tc>
          <w:tcPr>
            <w:tcW w:w="1912" w:type="dxa"/>
            <w:tcBorders>
              <w:top w:val="nil"/>
              <w:left w:val="nil"/>
              <w:bottom w:val="nil"/>
              <w:right w:val="nil"/>
            </w:tcBorders>
            <w:shd w:val="clear" w:color="000000" w:fill="FFFFFF"/>
            <w:noWrap/>
            <w:vAlign w:val="center"/>
            <w:hideMark/>
          </w:tcPr>
          <w:p w:rsidR="00F822E0" w:rsidRPr="00901CB2" w:rsidRDefault="00F822E0" w:rsidP="00F822E0">
            <w:pPr>
              <w:spacing w:after="0"/>
              <w:jc w:val="center"/>
              <w:rPr>
                <w:rFonts w:ascii="Calibri" w:eastAsia="Times New Roman" w:hAnsi="Calibri" w:cs="Times New Roman"/>
                <w:color w:val="000000"/>
                <w:lang w:eastAsia="es-ES"/>
              </w:rPr>
            </w:pPr>
          </w:p>
        </w:tc>
      </w:tr>
      <w:tr w:rsidR="00C3673B" w:rsidRPr="00901CB2" w:rsidTr="00F822E0">
        <w:trPr>
          <w:trHeight w:val="300"/>
        </w:trPr>
        <w:tc>
          <w:tcPr>
            <w:tcW w:w="1772" w:type="dxa"/>
            <w:tcBorders>
              <w:top w:val="nil"/>
              <w:left w:val="nil"/>
              <w:bottom w:val="nil"/>
              <w:right w:val="nil"/>
            </w:tcBorders>
            <w:shd w:val="clear" w:color="000000" w:fill="FFFFFF"/>
            <w:noWrap/>
            <w:vAlign w:val="center"/>
            <w:hideMark/>
          </w:tcPr>
          <w:p w:rsidR="00C3673B" w:rsidRPr="00901CB2" w:rsidRDefault="00C3673B" w:rsidP="00F822E0">
            <w:pPr>
              <w:spacing w:after="0"/>
              <w:rPr>
                <w:rFonts w:ascii="Calibri" w:eastAsia="Times New Roman" w:hAnsi="Calibri" w:cs="Times New Roman"/>
                <w:color w:val="000000"/>
                <w:lang w:eastAsia="es-ES"/>
              </w:rPr>
            </w:pPr>
            <w:proofErr w:type="spellStart"/>
            <w:r w:rsidRPr="00901CB2">
              <w:rPr>
                <w:rFonts w:ascii="Calibri" w:eastAsia="Times New Roman" w:hAnsi="Calibri" w:cs="Times New Roman"/>
                <w:color w:val="000000"/>
                <w:lang w:eastAsia="es-ES"/>
              </w:rPr>
              <w:t>Government</w:t>
            </w:r>
            <w:proofErr w:type="spellEnd"/>
          </w:p>
        </w:tc>
        <w:tc>
          <w:tcPr>
            <w:tcW w:w="1421" w:type="dxa"/>
            <w:tcBorders>
              <w:top w:val="nil"/>
              <w:left w:val="nil"/>
              <w:bottom w:val="nil"/>
              <w:right w:val="nil"/>
            </w:tcBorders>
            <w:shd w:val="clear" w:color="000000" w:fill="FFFFFF"/>
            <w:noWrap/>
            <w:vAlign w:val="center"/>
            <w:hideMark/>
          </w:tcPr>
          <w:p w:rsidR="00C3673B" w:rsidRPr="00901CB2" w:rsidRDefault="00C3673B" w:rsidP="00F822E0">
            <w:pPr>
              <w:spacing w:after="0"/>
              <w:jc w:val="center"/>
              <w:rPr>
                <w:rFonts w:ascii="Calibri" w:eastAsia="Times New Roman" w:hAnsi="Calibri" w:cs="Times New Roman"/>
                <w:color w:val="000000"/>
                <w:lang w:eastAsia="es-ES"/>
              </w:rPr>
            </w:pPr>
            <w:r w:rsidRPr="00901CB2">
              <w:rPr>
                <w:rFonts w:ascii="Calibri" w:eastAsia="Times New Roman" w:hAnsi="Calibri" w:cs="Times New Roman"/>
                <w:color w:val="000000"/>
                <w:lang w:eastAsia="es-ES"/>
              </w:rPr>
              <w:t>9,758,201.49</w:t>
            </w:r>
          </w:p>
        </w:tc>
        <w:tc>
          <w:tcPr>
            <w:tcW w:w="1769" w:type="dxa"/>
            <w:tcBorders>
              <w:top w:val="nil"/>
              <w:left w:val="nil"/>
              <w:bottom w:val="nil"/>
              <w:right w:val="nil"/>
            </w:tcBorders>
            <w:shd w:val="clear" w:color="000000" w:fill="FFFFFF"/>
            <w:noWrap/>
            <w:vAlign w:val="center"/>
            <w:hideMark/>
          </w:tcPr>
          <w:p w:rsidR="00C3673B" w:rsidRPr="00901CB2" w:rsidRDefault="00C3673B" w:rsidP="00F822E0">
            <w:pPr>
              <w:spacing w:after="0"/>
              <w:jc w:val="center"/>
              <w:rPr>
                <w:rFonts w:ascii="Calibri" w:eastAsia="Times New Roman" w:hAnsi="Calibri" w:cs="Times New Roman"/>
                <w:color w:val="000000"/>
                <w:lang w:eastAsia="es-ES"/>
              </w:rPr>
            </w:pPr>
            <w:r w:rsidRPr="00901CB2">
              <w:rPr>
                <w:rFonts w:ascii="Calibri" w:eastAsia="Times New Roman" w:hAnsi="Calibri" w:cs="Times New Roman"/>
                <w:color w:val="000000"/>
                <w:lang w:eastAsia="es-ES"/>
              </w:rPr>
              <w:t>2.90%</w:t>
            </w:r>
          </w:p>
        </w:tc>
        <w:tc>
          <w:tcPr>
            <w:tcW w:w="1912" w:type="dxa"/>
            <w:tcBorders>
              <w:top w:val="nil"/>
              <w:left w:val="nil"/>
              <w:bottom w:val="nil"/>
              <w:right w:val="nil"/>
            </w:tcBorders>
            <w:shd w:val="clear" w:color="000000" w:fill="FFFFFF"/>
            <w:noWrap/>
            <w:vAlign w:val="center"/>
            <w:hideMark/>
          </w:tcPr>
          <w:p w:rsidR="00C3673B" w:rsidRPr="00901CB2" w:rsidRDefault="00C3673B" w:rsidP="00F822E0">
            <w:pPr>
              <w:spacing w:after="0"/>
              <w:jc w:val="center"/>
              <w:rPr>
                <w:rFonts w:ascii="Calibri" w:eastAsia="Times New Roman" w:hAnsi="Calibri" w:cs="Times New Roman"/>
                <w:color w:val="000000"/>
                <w:lang w:eastAsia="es-ES"/>
              </w:rPr>
            </w:pPr>
            <w:r w:rsidRPr="00901CB2">
              <w:rPr>
                <w:rFonts w:ascii="Calibri" w:eastAsia="Times New Roman" w:hAnsi="Calibri" w:cs="Times New Roman"/>
                <w:color w:val="000000"/>
                <w:lang w:eastAsia="es-ES"/>
              </w:rPr>
              <w:t>92.95%</w:t>
            </w:r>
          </w:p>
        </w:tc>
      </w:tr>
      <w:tr w:rsidR="00C3673B" w:rsidRPr="00901CB2" w:rsidTr="00F822E0">
        <w:trPr>
          <w:trHeight w:val="300"/>
        </w:trPr>
        <w:tc>
          <w:tcPr>
            <w:tcW w:w="1772" w:type="dxa"/>
            <w:tcBorders>
              <w:top w:val="nil"/>
              <w:left w:val="nil"/>
              <w:bottom w:val="nil"/>
              <w:right w:val="nil"/>
            </w:tcBorders>
            <w:shd w:val="clear" w:color="000000" w:fill="FFFFFF"/>
            <w:noWrap/>
            <w:vAlign w:val="center"/>
            <w:hideMark/>
          </w:tcPr>
          <w:p w:rsidR="00C3673B" w:rsidRPr="00F822E0" w:rsidRDefault="00C3673B" w:rsidP="00F822E0">
            <w:pPr>
              <w:spacing w:after="0"/>
              <w:jc w:val="right"/>
              <w:rPr>
                <w:rFonts w:ascii="Calibri" w:eastAsia="Times New Roman" w:hAnsi="Calibri" w:cs="Times New Roman"/>
                <w:i/>
                <w:color w:val="000000"/>
                <w:lang w:eastAsia="es-ES"/>
              </w:rPr>
            </w:pPr>
            <w:proofErr w:type="spellStart"/>
            <w:r w:rsidRPr="00F822E0">
              <w:rPr>
                <w:rFonts w:ascii="Calibri" w:eastAsia="Times New Roman" w:hAnsi="Calibri" w:cs="Times New Roman"/>
                <w:i/>
                <w:color w:val="000000"/>
                <w:lang w:eastAsia="es-ES"/>
              </w:rPr>
              <w:t>National</w:t>
            </w:r>
            <w:proofErr w:type="spellEnd"/>
          </w:p>
        </w:tc>
        <w:tc>
          <w:tcPr>
            <w:tcW w:w="1421" w:type="dxa"/>
            <w:tcBorders>
              <w:top w:val="nil"/>
              <w:left w:val="nil"/>
              <w:bottom w:val="nil"/>
              <w:right w:val="nil"/>
            </w:tcBorders>
            <w:shd w:val="clear" w:color="000000" w:fill="FFFFFF"/>
            <w:noWrap/>
            <w:vAlign w:val="center"/>
            <w:hideMark/>
          </w:tcPr>
          <w:p w:rsidR="00C3673B" w:rsidRPr="00901CB2" w:rsidRDefault="00C3673B" w:rsidP="00F822E0">
            <w:pPr>
              <w:spacing w:after="0"/>
              <w:jc w:val="center"/>
              <w:rPr>
                <w:rFonts w:ascii="Calibri" w:eastAsia="Times New Roman" w:hAnsi="Calibri" w:cs="Times New Roman"/>
                <w:color w:val="000000"/>
                <w:lang w:eastAsia="es-ES"/>
              </w:rPr>
            </w:pPr>
            <w:r w:rsidRPr="00901CB2">
              <w:rPr>
                <w:rFonts w:ascii="Calibri" w:eastAsia="Times New Roman" w:hAnsi="Calibri" w:cs="Times New Roman"/>
                <w:color w:val="000000"/>
                <w:lang w:eastAsia="es-ES"/>
              </w:rPr>
              <w:t>3,068,777.04</w:t>
            </w:r>
          </w:p>
        </w:tc>
        <w:tc>
          <w:tcPr>
            <w:tcW w:w="1769" w:type="dxa"/>
            <w:tcBorders>
              <w:top w:val="nil"/>
              <w:left w:val="nil"/>
              <w:bottom w:val="nil"/>
              <w:right w:val="nil"/>
            </w:tcBorders>
            <w:shd w:val="clear" w:color="000000" w:fill="FFFFFF"/>
            <w:noWrap/>
            <w:vAlign w:val="center"/>
            <w:hideMark/>
          </w:tcPr>
          <w:p w:rsidR="00C3673B" w:rsidRPr="00901CB2" w:rsidRDefault="00C3673B" w:rsidP="00F822E0">
            <w:pPr>
              <w:spacing w:after="0"/>
              <w:jc w:val="center"/>
              <w:rPr>
                <w:rFonts w:ascii="Calibri" w:eastAsia="Times New Roman" w:hAnsi="Calibri" w:cs="Times New Roman"/>
                <w:color w:val="000000"/>
                <w:lang w:eastAsia="es-ES"/>
              </w:rPr>
            </w:pPr>
            <w:r w:rsidRPr="00901CB2">
              <w:rPr>
                <w:rFonts w:ascii="Calibri" w:eastAsia="Times New Roman" w:hAnsi="Calibri" w:cs="Times New Roman"/>
                <w:color w:val="000000"/>
                <w:lang w:eastAsia="es-ES"/>
              </w:rPr>
              <w:t>0.91%</w:t>
            </w:r>
          </w:p>
        </w:tc>
        <w:tc>
          <w:tcPr>
            <w:tcW w:w="1912" w:type="dxa"/>
            <w:tcBorders>
              <w:top w:val="nil"/>
              <w:left w:val="nil"/>
              <w:bottom w:val="nil"/>
              <w:right w:val="nil"/>
            </w:tcBorders>
            <w:shd w:val="clear" w:color="000000" w:fill="FFFFFF"/>
            <w:noWrap/>
            <w:vAlign w:val="bottom"/>
            <w:hideMark/>
          </w:tcPr>
          <w:p w:rsidR="00C3673B" w:rsidRPr="00901CB2" w:rsidRDefault="00C3673B" w:rsidP="00640AF6">
            <w:pPr>
              <w:spacing w:after="0"/>
              <w:jc w:val="right"/>
              <w:rPr>
                <w:rFonts w:ascii="Calibri" w:eastAsia="Times New Roman" w:hAnsi="Calibri" w:cs="Times New Roman"/>
                <w:color w:val="000000"/>
                <w:lang w:eastAsia="es-ES"/>
              </w:rPr>
            </w:pPr>
            <w:r w:rsidRPr="00901CB2">
              <w:rPr>
                <w:rFonts w:ascii="Calibri" w:eastAsia="Times New Roman" w:hAnsi="Calibri" w:cs="Times New Roman"/>
                <w:color w:val="000000"/>
                <w:lang w:eastAsia="es-ES"/>
              </w:rPr>
              <w:t>31.45%</w:t>
            </w:r>
          </w:p>
        </w:tc>
      </w:tr>
      <w:tr w:rsidR="00C3673B" w:rsidRPr="00901CB2" w:rsidTr="00F822E0">
        <w:trPr>
          <w:trHeight w:val="300"/>
        </w:trPr>
        <w:tc>
          <w:tcPr>
            <w:tcW w:w="1772" w:type="dxa"/>
            <w:tcBorders>
              <w:top w:val="nil"/>
              <w:left w:val="nil"/>
              <w:bottom w:val="nil"/>
              <w:right w:val="nil"/>
            </w:tcBorders>
            <w:shd w:val="clear" w:color="000000" w:fill="FFFFFF"/>
            <w:noWrap/>
            <w:vAlign w:val="center"/>
            <w:hideMark/>
          </w:tcPr>
          <w:p w:rsidR="00C3673B" w:rsidRPr="00F822E0" w:rsidRDefault="00C3673B" w:rsidP="00F822E0">
            <w:pPr>
              <w:spacing w:after="0"/>
              <w:jc w:val="right"/>
              <w:rPr>
                <w:rFonts w:ascii="Calibri" w:eastAsia="Times New Roman" w:hAnsi="Calibri" w:cs="Times New Roman"/>
                <w:i/>
                <w:color w:val="000000"/>
                <w:lang w:eastAsia="es-ES"/>
              </w:rPr>
            </w:pPr>
            <w:r w:rsidRPr="00F822E0">
              <w:rPr>
                <w:rFonts w:ascii="Calibri" w:eastAsia="Times New Roman" w:hAnsi="Calibri" w:cs="Times New Roman"/>
                <w:i/>
                <w:color w:val="000000"/>
                <w:lang w:eastAsia="es-ES"/>
              </w:rPr>
              <w:t>Regional</w:t>
            </w:r>
          </w:p>
        </w:tc>
        <w:tc>
          <w:tcPr>
            <w:tcW w:w="1421" w:type="dxa"/>
            <w:tcBorders>
              <w:top w:val="nil"/>
              <w:left w:val="nil"/>
              <w:bottom w:val="nil"/>
              <w:right w:val="nil"/>
            </w:tcBorders>
            <w:shd w:val="clear" w:color="000000" w:fill="FFFFFF"/>
            <w:noWrap/>
            <w:vAlign w:val="center"/>
            <w:hideMark/>
          </w:tcPr>
          <w:p w:rsidR="00C3673B" w:rsidRPr="00901CB2" w:rsidRDefault="00C3673B" w:rsidP="00F822E0">
            <w:pPr>
              <w:spacing w:after="0"/>
              <w:jc w:val="center"/>
              <w:rPr>
                <w:rFonts w:ascii="Calibri" w:eastAsia="Times New Roman" w:hAnsi="Calibri" w:cs="Times New Roman"/>
                <w:color w:val="000000"/>
                <w:lang w:eastAsia="es-ES"/>
              </w:rPr>
            </w:pPr>
            <w:r w:rsidRPr="00901CB2">
              <w:rPr>
                <w:rFonts w:ascii="Calibri" w:eastAsia="Times New Roman" w:hAnsi="Calibri" w:cs="Times New Roman"/>
                <w:color w:val="000000"/>
                <w:lang w:eastAsia="es-ES"/>
              </w:rPr>
              <w:t>5,565,138.43</w:t>
            </w:r>
          </w:p>
        </w:tc>
        <w:tc>
          <w:tcPr>
            <w:tcW w:w="1769" w:type="dxa"/>
            <w:tcBorders>
              <w:top w:val="nil"/>
              <w:left w:val="nil"/>
              <w:bottom w:val="nil"/>
              <w:right w:val="nil"/>
            </w:tcBorders>
            <w:shd w:val="clear" w:color="000000" w:fill="FFFFFF"/>
            <w:noWrap/>
            <w:vAlign w:val="center"/>
            <w:hideMark/>
          </w:tcPr>
          <w:p w:rsidR="00C3673B" w:rsidRPr="00901CB2" w:rsidRDefault="00C3673B" w:rsidP="00F822E0">
            <w:pPr>
              <w:spacing w:after="0"/>
              <w:jc w:val="center"/>
              <w:rPr>
                <w:rFonts w:ascii="Calibri" w:eastAsia="Times New Roman" w:hAnsi="Calibri" w:cs="Times New Roman"/>
                <w:color w:val="000000"/>
                <w:lang w:eastAsia="es-ES"/>
              </w:rPr>
            </w:pPr>
            <w:r w:rsidRPr="00901CB2">
              <w:rPr>
                <w:rFonts w:ascii="Calibri" w:eastAsia="Times New Roman" w:hAnsi="Calibri" w:cs="Times New Roman"/>
                <w:color w:val="000000"/>
                <w:lang w:eastAsia="es-ES"/>
              </w:rPr>
              <w:t>1.65%</w:t>
            </w:r>
          </w:p>
        </w:tc>
        <w:tc>
          <w:tcPr>
            <w:tcW w:w="1912" w:type="dxa"/>
            <w:tcBorders>
              <w:top w:val="nil"/>
              <w:left w:val="nil"/>
              <w:bottom w:val="nil"/>
              <w:right w:val="nil"/>
            </w:tcBorders>
            <w:shd w:val="clear" w:color="000000" w:fill="FFFFFF"/>
            <w:noWrap/>
            <w:vAlign w:val="bottom"/>
            <w:hideMark/>
          </w:tcPr>
          <w:p w:rsidR="00C3673B" w:rsidRPr="00901CB2" w:rsidRDefault="00C3673B" w:rsidP="00640AF6">
            <w:pPr>
              <w:spacing w:after="0"/>
              <w:jc w:val="right"/>
              <w:rPr>
                <w:rFonts w:ascii="Calibri" w:eastAsia="Times New Roman" w:hAnsi="Calibri" w:cs="Times New Roman"/>
                <w:color w:val="000000"/>
                <w:lang w:eastAsia="es-ES"/>
              </w:rPr>
            </w:pPr>
            <w:r w:rsidRPr="00901CB2">
              <w:rPr>
                <w:rFonts w:ascii="Calibri" w:eastAsia="Times New Roman" w:hAnsi="Calibri" w:cs="Times New Roman"/>
                <w:color w:val="000000"/>
                <w:lang w:eastAsia="es-ES"/>
              </w:rPr>
              <w:t>57.03%</w:t>
            </w:r>
          </w:p>
        </w:tc>
      </w:tr>
      <w:tr w:rsidR="00C3673B" w:rsidRPr="00901CB2" w:rsidTr="00F822E0">
        <w:trPr>
          <w:trHeight w:val="300"/>
        </w:trPr>
        <w:tc>
          <w:tcPr>
            <w:tcW w:w="1772" w:type="dxa"/>
            <w:tcBorders>
              <w:top w:val="nil"/>
              <w:left w:val="nil"/>
              <w:bottom w:val="nil"/>
              <w:right w:val="nil"/>
            </w:tcBorders>
            <w:shd w:val="clear" w:color="000000" w:fill="FFFFFF"/>
            <w:noWrap/>
            <w:vAlign w:val="center"/>
            <w:hideMark/>
          </w:tcPr>
          <w:p w:rsidR="00C3673B" w:rsidRPr="00F822E0" w:rsidRDefault="00C3673B" w:rsidP="00F822E0">
            <w:pPr>
              <w:spacing w:after="0"/>
              <w:jc w:val="right"/>
              <w:rPr>
                <w:rFonts w:ascii="Calibri" w:eastAsia="Times New Roman" w:hAnsi="Calibri" w:cs="Times New Roman"/>
                <w:i/>
                <w:color w:val="000000"/>
                <w:lang w:eastAsia="es-ES"/>
              </w:rPr>
            </w:pPr>
            <w:r w:rsidRPr="00F822E0">
              <w:rPr>
                <w:rFonts w:ascii="Calibri" w:eastAsia="Times New Roman" w:hAnsi="Calibri" w:cs="Times New Roman"/>
                <w:i/>
                <w:color w:val="000000"/>
                <w:lang w:eastAsia="es-ES"/>
              </w:rPr>
              <w:t>Local</w:t>
            </w:r>
          </w:p>
        </w:tc>
        <w:tc>
          <w:tcPr>
            <w:tcW w:w="1421" w:type="dxa"/>
            <w:tcBorders>
              <w:top w:val="nil"/>
              <w:left w:val="nil"/>
              <w:bottom w:val="nil"/>
              <w:right w:val="nil"/>
            </w:tcBorders>
            <w:shd w:val="clear" w:color="000000" w:fill="FFFFFF"/>
            <w:noWrap/>
            <w:vAlign w:val="center"/>
            <w:hideMark/>
          </w:tcPr>
          <w:p w:rsidR="00C3673B" w:rsidRPr="00901CB2" w:rsidRDefault="00C3673B" w:rsidP="00F822E0">
            <w:pPr>
              <w:spacing w:after="0"/>
              <w:jc w:val="center"/>
              <w:rPr>
                <w:rFonts w:ascii="Calibri" w:eastAsia="Times New Roman" w:hAnsi="Calibri" w:cs="Times New Roman"/>
                <w:color w:val="000000"/>
                <w:lang w:eastAsia="es-ES"/>
              </w:rPr>
            </w:pPr>
            <w:r w:rsidRPr="00901CB2">
              <w:rPr>
                <w:rFonts w:ascii="Calibri" w:eastAsia="Times New Roman" w:hAnsi="Calibri" w:cs="Times New Roman"/>
                <w:color w:val="000000"/>
                <w:lang w:eastAsia="es-ES"/>
              </w:rPr>
              <w:t>1,124,286.02</w:t>
            </w:r>
          </w:p>
        </w:tc>
        <w:tc>
          <w:tcPr>
            <w:tcW w:w="1769" w:type="dxa"/>
            <w:tcBorders>
              <w:top w:val="nil"/>
              <w:left w:val="nil"/>
              <w:bottom w:val="nil"/>
              <w:right w:val="nil"/>
            </w:tcBorders>
            <w:shd w:val="clear" w:color="000000" w:fill="FFFFFF"/>
            <w:noWrap/>
            <w:vAlign w:val="center"/>
            <w:hideMark/>
          </w:tcPr>
          <w:p w:rsidR="00C3673B" w:rsidRPr="00901CB2" w:rsidRDefault="00C3673B" w:rsidP="00F822E0">
            <w:pPr>
              <w:spacing w:after="0"/>
              <w:jc w:val="center"/>
              <w:rPr>
                <w:rFonts w:ascii="Calibri" w:eastAsia="Times New Roman" w:hAnsi="Calibri" w:cs="Times New Roman"/>
                <w:color w:val="000000"/>
                <w:lang w:eastAsia="es-ES"/>
              </w:rPr>
            </w:pPr>
            <w:r w:rsidRPr="00901CB2">
              <w:rPr>
                <w:rFonts w:ascii="Calibri" w:eastAsia="Times New Roman" w:hAnsi="Calibri" w:cs="Times New Roman"/>
                <w:color w:val="000000"/>
                <w:lang w:eastAsia="es-ES"/>
              </w:rPr>
              <w:t>0.33%</w:t>
            </w:r>
          </w:p>
        </w:tc>
        <w:tc>
          <w:tcPr>
            <w:tcW w:w="1912" w:type="dxa"/>
            <w:tcBorders>
              <w:top w:val="nil"/>
              <w:left w:val="nil"/>
              <w:bottom w:val="nil"/>
              <w:right w:val="nil"/>
            </w:tcBorders>
            <w:shd w:val="clear" w:color="000000" w:fill="FFFFFF"/>
            <w:noWrap/>
            <w:vAlign w:val="bottom"/>
            <w:hideMark/>
          </w:tcPr>
          <w:p w:rsidR="00C3673B" w:rsidRPr="00901CB2" w:rsidRDefault="00C3673B" w:rsidP="00640AF6">
            <w:pPr>
              <w:spacing w:after="0"/>
              <w:jc w:val="right"/>
              <w:rPr>
                <w:rFonts w:ascii="Calibri" w:eastAsia="Times New Roman" w:hAnsi="Calibri" w:cs="Times New Roman"/>
                <w:color w:val="000000"/>
                <w:lang w:eastAsia="es-ES"/>
              </w:rPr>
            </w:pPr>
            <w:r w:rsidRPr="00901CB2">
              <w:rPr>
                <w:rFonts w:ascii="Calibri" w:eastAsia="Times New Roman" w:hAnsi="Calibri" w:cs="Times New Roman"/>
                <w:color w:val="000000"/>
                <w:lang w:eastAsia="es-ES"/>
              </w:rPr>
              <w:t>11.52%</w:t>
            </w:r>
          </w:p>
        </w:tc>
      </w:tr>
      <w:tr w:rsidR="00F822E0" w:rsidRPr="00901CB2" w:rsidTr="00F822E0">
        <w:trPr>
          <w:trHeight w:val="300"/>
        </w:trPr>
        <w:tc>
          <w:tcPr>
            <w:tcW w:w="1772" w:type="dxa"/>
            <w:tcBorders>
              <w:top w:val="nil"/>
              <w:left w:val="nil"/>
              <w:right w:val="nil"/>
            </w:tcBorders>
            <w:shd w:val="clear" w:color="000000" w:fill="FFFFFF"/>
            <w:noWrap/>
            <w:vAlign w:val="center"/>
            <w:hideMark/>
          </w:tcPr>
          <w:p w:rsidR="00F822E0" w:rsidRPr="00901CB2" w:rsidRDefault="00F822E0" w:rsidP="00F822E0">
            <w:pPr>
              <w:spacing w:after="0"/>
              <w:jc w:val="center"/>
              <w:rPr>
                <w:rFonts w:ascii="Calibri" w:eastAsia="Times New Roman" w:hAnsi="Calibri" w:cs="Times New Roman"/>
                <w:color w:val="000000"/>
                <w:lang w:eastAsia="es-ES"/>
              </w:rPr>
            </w:pPr>
          </w:p>
        </w:tc>
        <w:tc>
          <w:tcPr>
            <w:tcW w:w="1421" w:type="dxa"/>
            <w:tcBorders>
              <w:top w:val="nil"/>
              <w:left w:val="nil"/>
              <w:right w:val="nil"/>
            </w:tcBorders>
            <w:shd w:val="clear" w:color="000000" w:fill="FFFFFF"/>
            <w:noWrap/>
            <w:vAlign w:val="center"/>
            <w:hideMark/>
          </w:tcPr>
          <w:p w:rsidR="00F822E0" w:rsidRPr="00901CB2" w:rsidRDefault="00F822E0" w:rsidP="00F822E0">
            <w:pPr>
              <w:spacing w:after="0"/>
              <w:jc w:val="center"/>
              <w:rPr>
                <w:rFonts w:ascii="Calibri" w:eastAsia="Times New Roman" w:hAnsi="Calibri" w:cs="Times New Roman"/>
                <w:color w:val="000000"/>
                <w:lang w:eastAsia="es-ES"/>
              </w:rPr>
            </w:pPr>
          </w:p>
        </w:tc>
        <w:tc>
          <w:tcPr>
            <w:tcW w:w="1769" w:type="dxa"/>
            <w:tcBorders>
              <w:top w:val="nil"/>
              <w:left w:val="nil"/>
              <w:right w:val="nil"/>
            </w:tcBorders>
            <w:shd w:val="clear" w:color="000000" w:fill="FFFFFF"/>
            <w:noWrap/>
            <w:vAlign w:val="center"/>
            <w:hideMark/>
          </w:tcPr>
          <w:p w:rsidR="00F822E0" w:rsidRPr="00901CB2" w:rsidRDefault="00F822E0" w:rsidP="00F822E0">
            <w:pPr>
              <w:spacing w:after="0"/>
              <w:jc w:val="center"/>
              <w:rPr>
                <w:rFonts w:ascii="Calibri" w:eastAsia="Times New Roman" w:hAnsi="Calibri" w:cs="Times New Roman"/>
                <w:color w:val="000000"/>
                <w:lang w:eastAsia="es-ES"/>
              </w:rPr>
            </w:pPr>
          </w:p>
        </w:tc>
        <w:tc>
          <w:tcPr>
            <w:tcW w:w="1912" w:type="dxa"/>
            <w:tcBorders>
              <w:top w:val="nil"/>
              <w:left w:val="nil"/>
              <w:right w:val="nil"/>
            </w:tcBorders>
            <w:shd w:val="clear" w:color="000000" w:fill="FFFFFF"/>
            <w:noWrap/>
            <w:vAlign w:val="bottom"/>
            <w:hideMark/>
          </w:tcPr>
          <w:p w:rsidR="00F822E0" w:rsidRPr="00901CB2" w:rsidRDefault="00F822E0" w:rsidP="00640AF6">
            <w:pPr>
              <w:spacing w:after="0"/>
              <w:rPr>
                <w:rFonts w:ascii="Calibri" w:eastAsia="Times New Roman" w:hAnsi="Calibri" w:cs="Times New Roman"/>
                <w:color w:val="000000"/>
                <w:lang w:eastAsia="es-ES"/>
              </w:rPr>
            </w:pPr>
          </w:p>
        </w:tc>
      </w:tr>
      <w:tr w:rsidR="00C3673B" w:rsidRPr="00901CB2" w:rsidTr="00F822E0">
        <w:trPr>
          <w:trHeight w:val="300"/>
        </w:trPr>
        <w:tc>
          <w:tcPr>
            <w:tcW w:w="1772" w:type="dxa"/>
            <w:tcBorders>
              <w:top w:val="nil"/>
              <w:left w:val="nil"/>
              <w:bottom w:val="double" w:sz="4" w:space="0" w:color="auto"/>
              <w:right w:val="nil"/>
            </w:tcBorders>
            <w:shd w:val="clear" w:color="000000" w:fill="FFFFFF"/>
            <w:noWrap/>
            <w:vAlign w:val="center"/>
            <w:hideMark/>
          </w:tcPr>
          <w:p w:rsidR="00C3673B" w:rsidRPr="00901CB2" w:rsidRDefault="00C3673B" w:rsidP="00F822E0">
            <w:pPr>
              <w:spacing w:after="0"/>
              <w:rPr>
                <w:rFonts w:ascii="Calibri" w:eastAsia="Times New Roman" w:hAnsi="Calibri" w:cs="Times New Roman"/>
                <w:color w:val="000000"/>
                <w:lang w:eastAsia="es-ES"/>
              </w:rPr>
            </w:pPr>
            <w:proofErr w:type="spellStart"/>
            <w:r w:rsidRPr="00901CB2">
              <w:rPr>
                <w:rFonts w:ascii="Calibri" w:eastAsia="Times New Roman" w:hAnsi="Calibri" w:cs="Times New Roman"/>
                <w:color w:val="000000"/>
                <w:lang w:eastAsia="es-ES"/>
              </w:rPr>
              <w:t>Household</w:t>
            </w:r>
            <w:proofErr w:type="spellEnd"/>
          </w:p>
        </w:tc>
        <w:tc>
          <w:tcPr>
            <w:tcW w:w="1421" w:type="dxa"/>
            <w:tcBorders>
              <w:top w:val="nil"/>
              <w:left w:val="nil"/>
              <w:bottom w:val="double" w:sz="4" w:space="0" w:color="auto"/>
              <w:right w:val="nil"/>
            </w:tcBorders>
            <w:shd w:val="clear" w:color="000000" w:fill="FFFFFF"/>
            <w:noWrap/>
            <w:vAlign w:val="center"/>
            <w:hideMark/>
          </w:tcPr>
          <w:p w:rsidR="00C3673B" w:rsidRPr="00901CB2" w:rsidRDefault="00C3673B" w:rsidP="00F822E0">
            <w:pPr>
              <w:spacing w:after="0"/>
              <w:jc w:val="center"/>
              <w:rPr>
                <w:rFonts w:ascii="Calibri" w:eastAsia="Times New Roman" w:hAnsi="Calibri" w:cs="Times New Roman"/>
                <w:color w:val="000000"/>
                <w:lang w:eastAsia="es-ES"/>
              </w:rPr>
            </w:pPr>
            <w:r w:rsidRPr="00901CB2">
              <w:rPr>
                <w:rFonts w:ascii="Calibri" w:eastAsia="Times New Roman" w:hAnsi="Calibri" w:cs="Times New Roman"/>
                <w:color w:val="000000"/>
                <w:lang w:eastAsia="es-ES"/>
              </w:rPr>
              <w:t>740,064.64</w:t>
            </w:r>
          </w:p>
        </w:tc>
        <w:tc>
          <w:tcPr>
            <w:tcW w:w="1769" w:type="dxa"/>
            <w:tcBorders>
              <w:top w:val="nil"/>
              <w:left w:val="nil"/>
              <w:bottom w:val="double" w:sz="4" w:space="0" w:color="auto"/>
              <w:right w:val="nil"/>
            </w:tcBorders>
            <w:shd w:val="clear" w:color="000000" w:fill="FFFFFF"/>
            <w:noWrap/>
            <w:vAlign w:val="center"/>
            <w:hideMark/>
          </w:tcPr>
          <w:p w:rsidR="00C3673B" w:rsidRPr="00901CB2" w:rsidRDefault="00C3673B" w:rsidP="00F822E0">
            <w:pPr>
              <w:spacing w:after="0"/>
              <w:jc w:val="center"/>
              <w:rPr>
                <w:rFonts w:ascii="Calibri" w:eastAsia="Times New Roman" w:hAnsi="Calibri" w:cs="Times New Roman"/>
                <w:color w:val="000000"/>
                <w:lang w:eastAsia="es-ES"/>
              </w:rPr>
            </w:pPr>
            <w:r w:rsidRPr="00901CB2">
              <w:rPr>
                <w:rFonts w:ascii="Calibri" w:eastAsia="Times New Roman" w:hAnsi="Calibri" w:cs="Times New Roman"/>
                <w:color w:val="000000"/>
                <w:lang w:eastAsia="es-ES"/>
              </w:rPr>
              <w:t>0.22%</w:t>
            </w:r>
          </w:p>
        </w:tc>
        <w:tc>
          <w:tcPr>
            <w:tcW w:w="1912" w:type="dxa"/>
            <w:tcBorders>
              <w:top w:val="nil"/>
              <w:left w:val="nil"/>
              <w:bottom w:val="double" w:sz="4" w:space="0" w:color="auto"/>
              <w:right w:val="nil"/>
            </w:tcBorders>
            <w:shd w:val="clear" w:color="000000" w:fill="FFFFFF"/>
            <w:noWrap/>
            <w:vAlign w:val="center"/>
            <w:hideMark/>
          </w:tcPr>
          <w:p w:rsidR="00C3673B" w:rsidRPr="00901CB2" w:rsidRDefault="00C3673B" w:rsidP="00F822E0">
            <w:pPr>
              <w:spacing w:after="0"/>
              <w:jc w:val="center"/>
              <w:rPr>
                <w:rFonts w:ascii="Calibri" w:eastAsia="Times New Roman" w:hAnsi="Calibri" w:cs="Times New Roman"/>
                <w:color w:val="000000"/>
                <w:lang w:eastAsia="es-ES"/>
              </w:rPr>
            </w:pPr>
            <w:r w:rsidRPr="00901CB2">
              <w:rPr>
                <w:rFonts w:ascii="Calibri" w:eastAsia="Times New Roman" w:hAnsi="Calibri" w:cs="Times New Roman"/>
                <w:color w:val="000000"/>
                <w:lang w:eastAsia="es-ES"/>
              </w:rPr>
              <w:t>7.05%</w:t>
            </w:r>
          </w:p>
        </w:tc>
      </w:tr>
    </w:tbl>
    <w:p w:rsidR="00C3673B" w:rsidRDefault="00C3673B" w:rsidP="00640AF6">
      <w:pPr>
        <w:jc w:val="both"/>
        <w:rPr>
          <w:rFonts w:eastAsia="Times New Roman"/>
          <w:i/>
          <w:highlight w:val="yellow"/>
          <w:lang w:eastAsia="es-ES"/>
        </w:rPr>
      </w:pPr>
    </w:p>
    <w:p w:rsidR="00C3673B" w:rsidRPr="000059C4" w:rsidRDefault="002E1579" w:rsidP="00195A76">
      <w:pPr>
        <w:ind w:firstLine="708"/>
        <w:rPr>
          <w:rFonts w:eastAsia="Times New Roman"/>
          <w:sz w:val="16"/>
          <w:szCs w:val="16"/>
          <w:lang w:eastAsia="es-ES"/>
        </w:rPr>
      </w:pPr>
      <w:proofErr w:type="spellStart"/>
      <w:r w:rsidRPr="000059C4">
        <w:rPr>
          <w:rFonts w:eastAsia="Times New Roman"/>
          <w:sz w:val="16"/>
          <w:szCs w:val="16"/>
          <w:lang w:eastAsia="es-ES"/>
        </w:rPr>
        <w:t>Source</w:t>
      </w:r>
      <w:proofErr w:type="spellEnd"/>
      <w:r w:rsidR="00195A76" w:rsidRPr="000059C4">
        <w:rPr>
          <w:rFonts w:eastAsia="Times New Roman"/>
          <w:sz w:val="16"/>
          <w:szCs w:val="16"/>
          <w:lang w:eastAsia="es-ES"/>
        </w:rPr>
        <w:t xml:space="preserve">: </w:t>
      </w:r>
      <w:r w:rsidR="000059C4" w:rsidRPr="000059C4">
        <w:rPr>
          <w:rFonts w:eastAsia="Times New Roman"/>
          <w:sz w:val="16"/>
          <w:szCs w:val="16"/>
          <w:lang w:eastAsia="es-ES"/>
        </w:rPr>
        <w:t>MEF – Transparencia Económica.</w:t>
      </w:r>
    </w:p>
    <w:p w:rsidR="00FE559B" w:rsidRPr="008B14E8" w:rsidRDefault="00FE559B" w:rsidP="00640AF6">
      <w:pPr>
        <w:jc w:val="both"/>
        <w:rPr>
          <w:rFonts w:eastAsia="Times New Roman"/>
          <w:lang w:val="en-US" w:eastAsia="es-ES"/>
        </w:rPr>
      </w:pPr>
      <w:r w:rsidRPr="00FE559B">
        <w:rPr>
          <w:rFonts w:eastAsia="Times New Roman"/>
          <w:i/>
          <w:lang w:val="en-US" w:eastAsia="es-ES"/>
        </w:rPr>
        <w:t>¿Who does spend the mo</w:t>
      </w:r>
      <w:r>
        <w:rPr>
          <w:rFonts w:eastAsia="Times New Roman"/>
          <w:i/>
          <w:lang w:val="en-US" w:eastAsia="es-ES"/>
        </w:rPr>
        <w:t xml:space="preserve">ney and what for? </w:t>
      </w:r>
      <w:r>
        <w:rPr>
          <w:rFonts w:eastAsia="Times New Roman"/>
          <w:lang w:val="en-US" w:eastAsia="es-ES"/>
        </w:rPr>
        <w:t>As can be seen in T</w:t>
      </w:r>
      <w:r w:rsidRPr="00FE559B">
        <w:rPr>
          <w:rFonts w:eastAsia="Times New Roman"/>
          <w:lang w:val="en-US" w:eastAsia="es-ES"/>
        </w:rPr>
        <w:t>able 2</w:t>
      </w:r>
      <w:r>
        <w:rPr>
          <w:rFonts w:eastAsia="Times New Roman"/>
          <w:lang w:val="en-US" w:eastAsia="es-ES"/>
        </w:rPr>
        <w:t xml:space="preserve">, Regional </w:t>
      </w:r>
      <w:r w:rsidR="006C270C">
        <w:rPr>
          <w:rFonts w:eastAsia="Times New Roman"/>
          <w:lang w:val="en-US" w:eastAsia="es-ES"/>
        </w:rPr>
        <w:t>government’s budget execution</w:t>
      </w:r>
      <w:r w:rsidR="00277AA6">
        <w:rPr>
          <w:rFonts w:eastAsia="Times New Roman"/>
          <w:lang w:val="en-US" w:eastAsia="es-ES"/>
        </w:rPr>
        <w:t xml:space="preserve"> is 57% of total, considerably high for Peruvian standards.</w:t>
      </w:r>
      <w:r w:rsidR="00184AF1">
        <w:rPr>
          <w:rFonts w:eastAsia="Times New Roman"/>
          <w:lang w:val="en-US" w:eastAsia="es-ES"/>
        </w:rPr>
        <w:t xml:space="preserve"> </w:t>
      </w:r>
      <w:r w:rsidR="00184AF1" w:rsidRPr="00184AF1">
        <w:rPr>
          <w:rFonts w:eastAsia="Times New Roman"/>
          <w:lang w:val="en-US" w:eastAsia="es-ES"/>
        </w:rPr>
        <w:t>This spending is mostly aimed at t</w:t>
      </w:r>
      <w:r w:rsidR="00184AF1">
        <w:rPr>
          <w:rFonts w:eastAsia="Times New Roman"/>
          <w:lang w:val="en-US" w:eastAsia="es-ES"/>
        </w:rPr>
        <w:t>eachers’ wages, infrastructure’s maintenance and school materials.</w:t>
      </w:r>
      <w:r w:rsidR="00D35039">
        <w:rPr>
          <w:rFonts w:eastAsia="Times New Roman"/>
          <w:lang w:val="en-US" w:eastAsia="es-ES"/>
        </w:rPr>
        <w:t xml:space="preserve"> Local government has also increased its </w:t>
      </w:r>
      <w:r w:rsidR="008B14E8">
        <w:rPr>
          <w:rFonts w:eastAsia="Times New Roman"/>
          <w:lang w:val="en-US" w:eastAsia="es-ES"/>
        </w:rPr>
        <w:t xml:space="preserve">budget </w:t>
      </w:r>
      <w:r w:rsidR="00D35039">
        <w:rPr>
          <w:rFonts w:eastAsia="Times New Roman"/>
          <w:lang w:val="en-US" w:eastAsia="es-ES"/>
        </w:rPr>
        <w:t xml:space="preserve">participation, due to the </w:t>
      </w:r>
      <w:r w:rsidR="008B14E8">
        <w:rPr>
          <w:rFonts w:eastAsia="Times New Roman"/>
          <w:lang w:val="en-US" w:eastAsia="es-ES"/>
        </w:rPr>
        <w:t xml:space="preserve">Educational </w:t>
      </w:r>
      <w:r w:rsidR="00D35039">
        <w:rPr>
          <w:rFonts w:eastAsia="Times New Roman"/>
          <w:lang w:val="en-US" w:eastAsia="es-ES"/>
        </w:rPr>
        <w:t xml:space="preserve">Decentralization </w:t>
      </w:r>
      <w:r w:rsidR="008B14E8">
        <w:rPr>
          <w:rFonts w:eastAsia="Times New Roman"/>
          <w:lang w:val="en-US" w:eastAsia="es-ES"/>
        </w:rPr>
        <w:t>N</w:t>
      </w:r>
      <w:r w:rsidR="00D35039">
        <w:rPr>
          <w:rFonts w:eastAsia="Times New Roman"/>
          <w:lang w:val="en-US" w:eastAsia="es-ES"/>
        </w:rPr>
        <w:t xml:space="preserve">ational </w:t>
      </w:r>
      <w:r w:rsidR="008B14E8">
        <w:rPr>
          <w:rFonts w:eastAsia="Times New Roman"/>
          <w:lang w:val="en-US" w:eastAsia="es-ES"/>
        </w:rPr>
        <w:t>P</w:t>
      </w:r>
      <w:r w:rsidR="00D35039">
        <w:rPr>
          <w:rFonts w:eastAsia="Times New Roman"/>
          <w:lang w:val="en-US" w:eastAsia="es-ES"/>
        </w:rPr>
        <w:t>lan started on 2007</w:t>
      </w:r>
      <w:r w:rsidR="005B5DB3">
        <w:rPr>
          <w:rFonts w:eastAsia="Times New Roman"/>
          <w:lang w:val="en-US" w:eastAsia="es-ES"/>
        </w:rPr>
        <w:t xml:space="preserve"> (</w:t>
      </w:r>
      <w:proofErr w:type="spellStart"/>
      <w:r w:rsidR="005B5DB3" w:rsidRPr="00727A6C">
        <w:rPr>
          <w:rFonts w:eastAsia="Times New Roman"/>
          <w:i/>
          <w:lang w:val="en-US" w:eastAsia="es-ES"/>
        </w:rPr>
        <w:t>municipalización</w:t>
      </w:r>
      <w:proofErr w:type="spellEnd"/>
      <w:r w:rsidR="005B5DB3">
        <w:rPr>
          <w:rFonts w:eastAsia="Times New Roman"/>
          <w:lang w:val="en-US" w:eastAsia="es-ES"/>
        </w:rPr>
        <w:t>)</w:t>
      </w:r>
      <w:r w:rsidR="00D35039">
        <w:rPr>
          <w:rFonts w:eastAsia="Times New Roman"/>
          <w:lang w:val="en-US" w:eastAsia="es-ES"/>
        </w:rPr>
        <w:t xml:space="preserve">. </w:t>
      </w:r>
      <w:r w:rsidR="005B5DB3">
        <w:rPr>
          <w:rFonts w:eastAsia="Times New Roman"/>
          <w:lang w:val="en-US" w:eastAsia="es-ES"/>
        </w:rPr>
        <w:t xml:space="preserve"> A</w:t>
      </w:r>
      <w:r w:rsidR="008B14E8">
        <w:rPr>
          <w:rFonts w:eastAsia="Times New Roman"/>
          <w:lang w:val="en-US" w:eastAsia="es-ES"/>
        </w:rPr>
        <w:t xml:space="preserve">n </w:t>
      </w:r>
      <w:r w:rsidR="008B14E8" w:rsidRPr="008B14E8">
        <w:rPr>
          <w:rFonts w:eastAsia="Times New Roman"/>
          <w:lang w:val="en-US" w:eastAsia="es-ES"/>
        </w:rPr>
        <w:t xml:space="preserve">overlap of functions </w:t>
      </w:r>
      <w:r w:rsidR="00727A6C">
        <w:rPr>
          <w:rFonts w:eastAsia="Times New Roman"/>
          <w:lang w:val="en-US" w:eastAsia="es-ES"/>
        </w:rPr>
        <w:t>was</w:t>
      </w:r>
      <w:r w:rsidR="005B5DB3">
        <w:rPr>
          <w:rFonts w:eastAsia="Times New Roman"/>
          <w:lang w:val="en-US" w:eastAsia="es-ES"/>
        </w:rPr>
        <w:t xml:space="preserve"> found</w:t>
      </w:r>
      <w:r w:rsidR="005B5DB3" w:rsidRPr="008B14E8">
        <w:rPr>
          <w:rFonts w:eastAsia="Times New Roman"/>
          <w:lang w:val="en-US" w:eastAsia="es-ES"/>
        </w:rPr>
        <w:t xml:space="preserve"> </w:t>
      </w:r>
      <w:r w:rsidR="008B14E8" w:rsidRPr="008B14E8">
        <w:rPr>
          <w:rFonts w:eastAsia="Times New Roman"/>
          <w:lang w:val="en-US" w:eastAsia="es-ES"/>
        </w:rPr>
        <w:t>in th</w:t>
      </w:r>
      <w:r w:rsidR="008B14E8">
        <w:rPr>
          <w:rFonts w:eastAsia="Times New Roman"/>
          <w:lang w:val="en-US" w:eastAsia="es-ES"/>
        </w:rPr>
        <w:t>is</w:t>
      </w:r>
      <w:r w:rsidR="008B14E8" w:rsidRPr="008B14E8">
        <w:rPr>
          <w:rFonts w:eastAsia="Times New Roman"/>
          <w:lang w:val="en-US" w:eastAsia="es-ES"/>
        </w:rPr>
        <w:t xml:space="preserve"> pilot p</w:t>
      </w:r>
      <w:r w:rsidR="008B14E8">
        <w:rPr>
          <w:rFonts w:eastAsia="Times New Roman"/>
          <w:lang w:val="en-US" w:eastAsia="es-ES"/>
        </w:rPr>
        <w:t>rogram; however, a better coordination between governments is expected for coming years.</w:t>
      </w:r>
    </w:p>
    <w:p w:rsidR="00B21183" w:rsidRPr="002014F7" w:rsidRDefault="00B21183" w:rsidP="00640AF6">
      <w:pPr>
        <w:jc w:val="both"/>
        <w:rPr>
          <w:lang w:val="en-US"/>
        </w:rPr>
      </w:pPr>
      <w:r w:rsidRPr="00FD0C68">
        <w:rPr>
          <w:lang w:val="en-US"/>
        </w:rPr>
        <w:t xml:space="preserve">Peru, a middle-income country, </w:t>
      </w:r>
      <w:r w:rsidR="00FD0C68" w:rsidRPr="00FD0C68">
        <w:rPr>
          <w:lang w:val="en-US"/>
        </w:rPr>
        <w:t>i</w:t>
      </w:r>
      <w:r w:rsidR="00FD0C68">
        <w:rPr>
          <w:lang w:val="en-US"/>
        </w:rPr>
        <w:t>s financed mainly by both direct and indirect taxes.</w:t>
      </w:r>
      <w:r w:rsidR="00F60E62">
        <w:rPr>
          <w:lang w:val="en-US"/>
        </w:rPr>
        <w:t xml:space="preserve"> </w:t>
      </w:r>
      <w:r w:rsidR="00F60E62" w:rsidRPr="00E96D6C">
        <w:rPr>
          <w:lang w:val="en-US"/>
        </w:rPr>
        <w:t>At the end of 2006, the Value Added Tax (</w:t>
      </w:r>
      <w:r w:rsidR="00E96D6C" w:rsidRPr="00E96D6C">
        <w:rPr>
          <w:lang w:val="en-US"/>
        </w:rPr>
        <w:t xml:space="preserve">IGV, by </w:t>
      </w:r>
      <w:r w:rsidR="00E96D6C">
        <w:rPr>
          <w:lang w:val="en-US"/>
        </w:rPr>
        <w:t>its Spanish acronym) represents 40.8%, while Income Tax (IR)</w:t>
      </w:r>
      <w:r w:rsidR="00515C63">
        <w:rPr>
          <w:lang w:val="en-US"/>
        </w:rPr>
        <w:t xml:space="preserve"> was 35% of the total of </w:t>
      </w:r>
      <w:r w:rsidR="00123959">
        <w:rPr>
          <w:lang w:val="en-US"/>
        </w:rPr>
        <w:t>tax and non-tax revenues</w:t>
      </w:r>
      <w:r w:rsidR="00C95244">
        <w:rPr>
          <w:lang w:val="en-US"/>
        </w:rPr>
        <w:t>.</w:t>
      </w:r>
      <w:r w:rsidR="0054666D">
        <w:rPr>
          <w:lang w:val="en-US"/>
        </w:rPr>
        <w:t xml:space="preserve"> </w:t>
      </w:r>
      <w:r w:rsidR="00580C3D" w:rsidRPr="002014F7">
        <w:rPr>
          <w:lang w:val="en-US"/>
        </w:rPr>
        <w:t>T</w:t>
      </w:r>
      <w:r w:rsidR="0054666D" w:rsidRPr="002014F7">
        <w:rPr>
          <w:lang w:val="en-US"/>
        </w:rPr>
        <w:t>ax revenue</w:t>
      </w:r>
      <w:r w:rsidR="002014F7" w:rsidRPr="002014F7">
        <w:rPr>
          <w:lang w:val="en-US"/>
        </w:rPr>
        <w:t>s</w:t>
      </w:r>
      <w:r w:rsidR="0054666D" w:rsidRPr="002014F7">
        <w:rPr>
          <w:lang w:val="en-US"/>
        </w:rPr>
        <w:t xml:space="preserve"> as a percentage of GDP</w:t>
      </w:r>
      <w:r w:rsidR="00580C3D" w:rsidRPr="002014F7">
        <w:rPr>
          <w:lang w:val="en-US"/>
        </w:rPr>
        <w:t xml:space="preserve"> </w:t>
      </w:r>
      <w:r w:rsidR="002014F7" w:rsidRPr="002014F7">
        <w:rPr>
          <w:lang w:val="en-US"/>
        </w:rPr>
        <w:t>represent</w:t>
      </w:r>
      <w:r w:rsidR="00580C3D" w:rsidRPr="002014F7">
        <w:rPr>
          <w:lang w:val="en-US"/>
        </w:rPr>
        <w:t xml:space="preserve"> 14.9%</w:t>
      </w:r>
      <w:r w:rsidR="002014F7" w:rsidRPr="002014F7">
        <w:rPr>
          <w:lang w:val="en-US"/>
        </w:rPr>
        <w:t>. Besides taxes</w:t>
      </w:r>
      <w:r w:rsidR="000257A0">
        <w:rPr>
          <w:lang w:val="en-US"/>
        </w:rPr>
        <w:t xml:space="preserve"> revenues</w:t>
      </w:r>
      <w:r w:rsidR="002014F7" w:rsidRPr="002014F7">
        <w:rPr>
          <w:lang w:val="en-US"/>
        </w:rPr>
        <w:t xml:space="preserve">, </w:t>
      </w:r>
      <w:r w:rsidR="000257A0">
        <w:rPr>
          <w:lang w:val="en-US"/>
        </w:rPr>
        <w:t>n</w:t>
      </w:r>
      <w:r w:rsidR="002014F7" w:rsidRPr="002014F7">
        <w:rPr>
          <w:lang w:val="en-US"/>
        </w:rPr>
        <w:t xml:space="preserve">ational </w:t>
      </w:r>
      <w:r w:rsidR="000257A0">
        <w:rPr>
          <w:lang w:val="en-US"/>
        </w:rPr>
        <w:t>government also collects financing</w:t>
      </w:r>
      <w:r w:rsidR="002014F7" w:rsidRPr="002014F7">
        <w:rPr>
          <w:lang w:val="en-US"/>
        </w:rPr>
        <w:t xml:space="preserve"> sources from c</w:t>
      </w:r>
      <w:r w:rsidR="002014F7">
        <w:rPr>
          <w:lang w:val="en-US"/>
        </w:rPr>
        <w:t>anon and royalties</w:t>
      </w:r>
      <w:r w:rsidR="000257A0">
        <w:rPr>
          <w:lang w:val="en-US"/>
        </w:rPr>
        <w:t xml:space="preserve"> (pa</w:t>
      </w:r>
      <w:r w:rsidR="009A1CE6">
        <w:rPr>
          <w:lang w:val="en-US"/>
        </w:rPr>
        <w:t>i</w:t>
      </w:r>
      <w:r w:rsidR="000257A0">
        <w:rPr>
          <w:lang w:val="en-US"/>
        </w:rPr>
        <w:t>d by Mining sector</w:t>
      </w:r>
      <w:r w:rsidR="00D55AB0">
        <w:rPr>
          <w:lang w:val="en-US"/>
        </w:rPr>
        <w:t xml:space="preserve">, out </w:t>
      </w:r>
      <w:r w:rsidR="00D55AB0" w:rsidRPr="00D55AB0">
        <w:rPr>
          <w:lang w:val="en-US"/>
        </w:rPr>
        <w:t>from the 50% of their profits</w:t>
      </w:r>
      <w:r w:rsidR="000257A0">
        <w:rPr>
          <w:lang w:val="en-US"/>
        </w:rPr>
        <w:t xml:space="preserve">), which in turn are transferred to </w:t>
      </w:r>
      <w:r w:rsidR="00B143DB">
        <w:rPr>
          <w:lang w:val="en-US"/>
        </w:rPr>
        <w:t xml:space="preserve">the </w:t>
      </w:r>
      <w:r w:rsidR="000257A0">
        <w:rPr>
          <w:lang w:val="en-US"/>
        </w:rPr>
        <w:t>regional and local governments</w:t>
      </w:r>
      <w:r w:rsidR="00B143DB">
        <w:rPr>
          <w:lang w:val="en-US"/>
        </w:rPr>
        <w:t xml:space="preserve"> that are affected by the mining extraction process</w:t>
      </w:r>
      <w:r w:rsidR="000257A0">
        <w:rPr>
          <w:lang w:val="en-US"/>
        </w:rPr>
        <w:t>.</w:t>
      </w:r>
    </w:p>
    <w:p w:rsidR="009A1CE6" w:rsidRPr="00695DC2" w:rsidRDefault="009A1CE6" w:rsidP="00640AF6">
      <w:pPr>
        <w:jc w:val="both"/>
        <w:rPr>
          <w:lang w:val="en-US"/>
        </w:rPr>
      </w:pPr>
      <w:r w:rsidRPr="009A1CE6">
        <w:rPr>
          <w:lang w:val="en-US"/>
        </w:rPr>
        <w:t xml:space="preserve">These canon and </w:t>
      </w:r>
      <w:r w:rsidR="005B5DB3">
        <w:rPr>
          <w:lang w:val="en-US"/>
        </w:rPr>
        <w:t>royalties transfer</w:t>
      </w:r>
      <w:r w:rsidRPr="009A1CE6">
        <w:rPr>
          <w:lang w:val="en-US"/>
        </w:rPr>
        <w:t xml:space="preserve">s </w:t>
      </w:r>
      <w:r w:rsidR="00E73EF9">
        <w:rPr>
          <w:lang w:val="en-US"/>
        </w:rPr>
        <w:t xml:space="preserve">have </w:t>
      </w:r>
      <w:r w:rsidR="00201732">
        <w:rPr>
          <w:lang w:val="en-US"/>
        </w:rPr>
        <w:t xml:space="preserve">made </w:t>
      </w:r>
      <w:r w:rsidR="00E73EF9">
        <w:rPr>
          <w:lang w:val="en-US"/>
        </w:rPr>
        <w:t>the decentralization process</w:t>
      </w:r>
      <w:r w:rsidR="005B5DB3" w:rsidRPr="005B5DB3">
        <w:rPr>
          <w:lang w:val="en-US"/>
        </w:rPr>
        <w:t xml:space="preserve"> </w:t>
      </w:r>
      <w:r w:rsidR="005B5DB3">
        <w:rPr>
          <w:lang w:val="en-US"/>
        </w:rPr>
        <w:t>easier</w:t>
      </w:r>
      <w:r w:rsidR="00201732">
        <w:rPr>
          <w:lang w:val="en-US"/>
        </w:rPr>
        <w:t>, but have also caused an unequal resource allocation</w:t>
      </w:r>
      <w:r w:rsidR="00383B90">
        <w:rPr>
          <w:lang w:val="en-US"/>
        </w:rPr>
        <w:t>, between mining and non-mining regions</w:t>
      </w:r>
      <w:r w:rsidR="00201732">
        <w:rPr>
          <w:lang w:val="en-US"/>
        </w:rPr>
        <w:t>.</w:t>
      </w:r>
      <w:r w:rsidR="00695DC2">
        <w:rPr>
          <w:lang w:val="en-US"/>
        </w:rPr>
        <w:t xml:space="preserve"> </w:t>
      </w:r>
      <w:r w:rsidR="00695DC2" w:rsidRPr="00695DC2">
        <w:rPr>
          <w:lang w:val="en-US"/>
        </w:rPr>
        <w:t>Another problem regarding canon and royalties is that they can on</w:t>
      </w:r>
      <w:r w:rsidR="00695DC2">
        <w:rPr>
          <w:lang w:val="en-US"/>
        </w:rPr>
        <w:t xml:space="preserve">ly be spent on infrastructure projects. </w:t>
      </w:r>
      <w:r w:rsidR="00695DC2" w:rsidRPr="00695DC2">
        <w:rPr>
          <w:lang w:val="en-US"/>
        </w:rPr>
        <w:t xml:space="preserve">Hence, they cannot be used for other kind of </w:t>
      </w:r>
      <w:r w:rsidR="00695DC2">
        <w:rPr>
          <w:lang w:val="en-US"/>
        </w:rPr>
        <w:t xml:space="preserve">educational </w:t>
      </w:r>
      <w:r w:rsidR="00695DC2" w:rsidRPr="00695DC2">
        <w:rPr>
          <w:lang w:val="en-US"/>
        </w:rPr>
        <w:t>programs.</w:t>
      </w:r>
      <w:r w:rsidR="005B5DB3">
        <w:rPr>
          <w:lang w:val="en-US"/>
        </w:rPr>
        <w:t xml:space="preserve"> However, this limitation has been overcome by some regions, whose technicians prepared investment projects for learning improvements through capital investments with in-service coaching, in-classroom observations and monitoring and other activities mainly paid with as recurrent expenses outside the projects.</w:t>
      </w:r>
    </w:p>
    <w:p w:rsidR="005E4539" w:rsidRDefault="005E4539">
      <w:pPr>
        <w:rPr>
          <w:b/>
          <w:bCs/>
          <w:color w:val="4F81BD" w:themeColor="accent1"/>
          <w:lang w:val="en-US"/>
        </w:rPr>
      </w:pPr>
      <w:r>
        <w:rPr>
          <w:lang w:val="en-US"/>
        </w:rPr>
        <w:br w:type="page"/>
      </w:r>
    </w:p>
    <w:p w:rsidR="00F92EB6" w:rsidRPr="004A2BE3" w:rsidRDefault="00F14B4B" w:rsidP="00CB5E6F">
      <w:pPr>
        <w:pStyle w:val="Caption"/>
        <w:spacing w:after="0"/>
        <w:jc w:val="center"/>
        <w:rPr>
          <w:sz w:val="22"/>
          <w:szCs w:val="22"/>
          <w:lang w:val="en-US"/>
        </w:rPr>
      </w:pPr>
      <w:r w:rsidRPr="00F14B4B">
        <w:rPr>
          <w:sz w:val="22"/>
          <w:szCs w:val="22"/>
          <w:lang w:val="en-US"/>
        </w:rPr>
        <w:lastRenderedPageBreak/>
        <w:t>Ta</w:t>
      </w:r>
      <w:r w:rsidR="00965D8D" w:rsidRPr="004A2BE3">
        <w:rPr>
          <w:sz w:val="22"/>
          <w:szCs w:val="22"/>
          <w:lang w:val="en-US"/>
        </w:rPr>
        <w:t>ble</w:t>
      </w:r>
      <w:r w:rsidR="00695DC2" w:rsidRPr="004A2BE3">
        <w:rPr>
          <w:sz w:val="22"/>
          <w:szCs w:val="22"/>
          <w:lang w:val="en-US"/>
        </w:rPr>
        <w:t xml:space="preserve"> 3</w:t>
      </w:r>
      <w:r w:rsidR="00C1499B" w:rsidRPr="004A2BE3">
        <w:rPr>
          <w:sz w:val="22"/>
          <w:szCs w:val="22"/>
          <w:lang w:val="en-US"/>
        </w:rPr>
        <w:t xml:space="preserve">: </w:t>
      </w:r>
      <w:r w:rsidR="004A2BE3" w:rsidRPr="004A2BE3">
        <w:rPr>
          <w:sz w:val="22"/>
          <w:szCs w:val="22"/>
          <w:lang w:val="en-US"/>
        </w:rPr>
        <w:t>Central Government Current R</w:t>
      </w:r>
      <w:r w:rsidR="004A2BE3">
        <w:rPr>
          <w:sz w:val="22"/>
          <w:szCs w:val="22"/>
          <w:lang w:val="en-US"/>
        </w:rPr>
        <w:t>evenues</w:t>
      </w:r>
    </w:p>
    <w:tbl>
      <w:tblPr>
        <w:tblStyle w:val="LightShading-Accent2"/>
        <w:tblW w:w="8519" w:type="dxa"/>
        <w:jc w:val="center"/>
        <w:tblLayout w:type="fixed"/>
        <w:tblLook w:val="04A0"/>
      </w:tblPr>
      <w:tblGrid>
        <w:gridCol w:w="2335"/>
        <w:gridCol w:w="900"/>
        <w:gridCol w:w="963"/>
        <w:gridCol w:w="835"/>
        <w:gridCol w:w="710"/>
        <w:gridCol w:w="711"/>
        <w:gridCol w:w="644"/>
        <w:gridCol w:w="711"/>
        <w:gridCol w:w="710"/>
      </w:tblGrid>
      <w:tr w:rsidR="00271FFA" w:rsidRPr="003B0C21" w:rsidTr="00271FFA">
        <w:trPr>
          <w:cnfStyle w:val="100000000000"/>
          <w:trHeight w:val="247"/>
          <w:jc w:val="center"/>
        </w:trPr>
        <w:tc>
          <w:tcPr>
            <w:cnfStyle w:val="001000000000"/>
            <w:tcW w:w="2335" w:type="dxa"/>
            <w:tcBorders>
              <w:bottom w:val="nil"/>
            </w:tcBorders>
            <w:shd w:val="clear" w:color="auto" w:fill="8064A2" w:themeFill="accent4"/>
          </w:tcPr>
          <w:p w:rsidR="00271FFA" w:rsidRPr="004A2BE3" w:rsidRDefault="00271FFA" w:rsidP="00CB5E6F">
            <w:pPr>
              <w:autoSpaceDE w:val="0"/>
              <w:autoSpaceDN w:val="0"/>
              <w:adjustRightInd w:val="0"/>
              <w:spacing w:line="276" w:lineRule="auto"/>
              <w:jc w:val="center"/>
              <w:rPr>
                <w:bCs w:val="0"/>
                <w:color w:val="auto"/>
                <w:sz w:val="20"/>
                <w:szCs w:val="14"/>
                <w:lang w:val="en-US"/>
              </w:rPr>
            </w:pPr>
          </w:p>
        </w:tc>
        <w:tc>
          <w:tcPr>
            <w:tcW w:w="2698" w:type="dxa"/>
            <w:gridSpan w:val="3"/>
            <w:tcBorders>
              <w:bottom w:val="nil"/>
            </w:tcBorders>
            <w:shd w:val="clear" w:color="auto" w:fill="8064A2" w:themeFill="accent4"/>
          </w:tcPr>
          <w:p w:rsidR="00271FFA" w:rsidRPr="008B5E67" w:rsidRDefault="00271FFA" w:rsidP="00640AF6">
            <w:pPr>
              <w:autoSpaceDE w:val="0"/>
              <w:autoSpaceDN w:val="0"/>
              <w:adjustRightInd w:val="0"/>
              <w:spacing w:line="276" w:lineRule="auto"/>
              <w:jc w:val="center"/>
              <w:cnfStyle w:val="100000000000"/>
              <w:rPr>
                <w:bCs w:val="0"/>
                <w:color w:val="auto"/>
                <w:sz w:val="20"/>
                <w:szCs w:val="14"/>
              </w:rPr>
            </w:pPr>
            <w:proofErr w:type="spellStart"/>
            <w:r>
              <w:rPr>
                <w:bCs w:val="0"/>
                <w:color w:val="auto"/>
                <w:sz w:val="20"/>
                <w:szCs w:val="14"/>
              </w:rPr>
              <w:t>Millions</w:t>
            </w:r>
            <w:proofErr w:type="spellEnd"/>
            <w:r>
              <w:rPr>
                <w:bCs w:val="0"/>
                <w:color w:val="auto"/>
                <w:sz w:val="20"/>
                <w:szCs w:val="14"/>
              </w:rPr>
              <w:t xml:space="preserve"> of Nuevos Soles</w:t>
            </w:r>
          </w:p>
        </w:tc>
        <w:tc>
          <w:tcPr>
            <w:tcW w:w="1421" w:type="dxa"/>
            <w:gridSpan w:val="2"/>
            <w:tcBorders>
              <w:bottom w:val="nil"/>
            </w:tcBorders>
            <w:shd w:val="clear" w:color="auto" w:fill="8064A2" w:themeFill="accent4"/>
          </w:tcPr>
          <w:p w:rsidR="00271FFA" w:rsidRPr="008B5E67" w:rsidRDefault="00271FFA" w:rsidP="00640AF6">
            <w:pPr>
              <w:autoSpaceDE w:val="0"/>
              <w:autoSpaceDN w:val="0"/>
              <w:adjustRightInd w:val="0"/>
              <w:spacing w:line="276" w:lineRule="auto"/>
              <w:jc w:val="center"/>
              <w:cnfStyle w:val="100000000000"/>
              <w:rPr>
                <w:bCs w:val="0"/>
                <w:color w:val="auto"/>
                <w:sz w:val="20"/>
                <w:szCs w:val="14"/>
              </w:rPr>
            </w:pPr>
            <w:proofErr w:type="spellStart"/>
            <w:r>
              <w:rPr>
                <w:bCs w:val="0"/>
                <w:color w:val="auto"/>
                <w:sz w:val="20"/>
                <w:szCs w:val="14"/>
              </w:rPr>
              <w:t>Percentage</w:t>
            </w:r>
            <w:proofErr w:type="spellEnd"/>
          </w:p>
        </w:tc>
        <w:tc>
          <w:tcPr>
            <w:tcW w:w="2065" w:type="dxa"/>
            <w:gridSpan w:val="3"/>
            <w:tcBorders>
              <w:bottom w:val="nil"/>
            </w:tcBorders>
            <w:shd w:val="clear" w:color="auto" w:fill="8064A2" w:themeFill="accent4"/>
          </w:tcPr>
          <w:p w:rsidR="00271FFA" w:rsidRPr="008B5E67" w:rsidRDefault="00271FFA" w:rsidP="00695DC2">
            <w:pPr>
              <w:autoSpaceDE w:val="0"/>
              <w:autoSpaceDN w:val="0"/>
              <w:adjustRightInd w:val="0"/>
              <w:spacing w:line="276" w:lineRule="auto"/>
              <w:jc w:val="center"/>
              <w:cnfStyle w:val="100000000000"/>
              <w:rPr>
                <w:bCs w:val="0"/>
                <w:color w:val="auto"/>
                <w:sz w:val="20"/>
                <w:szCs w:val="14"/>
              </w:rPr>
            </w:pPr>
            <w:r>
              <w:rPr>
                <w:bCs w:val="0"/>
                <w:color w:val="auto"/>
                <w:sz w:val="20"/>
                <w:szCs w:val="14"/>
              </w:rPr>
              <w:t>% of GDP</w:t>
            </w:r>
          </w:p>
        </w:tc>
      </w:tr>
      <w:tr w:rsidR="00271FFA" w:rsidRPr="003B0C21" w:rsidTr="00271FFA">
        <w:trPr>
          <w:cnfStyle w:val="000000100000"/>
          <w:trHeight w:val="247"/>
          <w:jc w:val="center"/>
        </w:trPr>
        <w:tc>
          <w:tcPr>
            <w:cnfStyle w:val="001000000000"/>
            <w:tcW w:w="2335" w:type="dxa"/>
            <w:tcBorders>
              <w:top w:val="nil"/>
              <w:bottom w:val="nil"/>
            </w:tcBorders>
            <w:shd w:val="clear" w:color="auto" w:fill="95B3D7" w:themeFill="accent1" w:themeFillTint="99"/>
          </w:tcPr>
          <w:p w:rsidR="00271FFA" w:rsidRPr="008B5E67" w:rsidRDefault="00271FFA" w:rsidP="00640AF6">
            <w:pPr>
              <w:autoSpaceDE w:val="0"/>
              <w:autoSpaceDN w:val="0"/>
              <w:adjustRightInd w:val="0"/>
              <w:spacing w:line="276" w:lineRule="auto"/>
              <w:jc w:val="center"/>
              <w:rPr>
                <w:bCs w:val="0"/>
                <w:color w:val="auto"/>
                <w:sz w:val="20"/>
                <w:szCs w:val="14"/>
              </w:rPr>
            </w:pPr>
          </w:p>
        </w:tc>
        <w:tc>
          <w:tcPr>
            <w:tcW w:w="900" w:type="dxa"/>
            <w:tcBorders>
              <w:top w:val="nil"/>
              <w:bottom w:val="nil"/>
            </w:tcBorders>
            <w:shd w:val="clear" w:color="auto" w:fill="95B3D7" w:themeFill="accent1" w:themeFillTint="99"/>
          </w:tcPr>
          <w:p w:rsidR="00271FFA" w:rsidRPr="008B5E67" w:rsidRDefault="00271FFA" w:rsidP="00640AF6">
            <w:pPr>
              <w:autoSpaceDE w:val="0"/>
              <w:autoSpaceDN w:val="0"/>
              <w:adjustRightInd w:val="0"/>
              <w:spacing w:line="276" w:lineRule="auto"/>
              <w:jc w:val="center"/>
              <w:cnfStyle w:val="000000100000"/>
              <w:rPr>
                <w:b/>
                <w:bCs/>
                <w:color w:val="auto"/>
                <w:sz w:val="20"/>
                <w:szCs w:val="16"/>
              </w:rPr>
            </w:pPr>
            <w:r w:rsidRPr="008B5E67">
              <w:rPr>
                <w:b/>
                <w:bCs/>
                <w:color w:val="auto"/>
                <w:sz w:val="20"/>
                <w:szCs w:val="16"/>
              </w:rPr>
              <w:t>2005</w:t>
            </w:r>
          </w:p>
        </w:tc>
        <w:tc>
          <w:tcPr>
            <w:tcW w:w="963" w:type="dxa"/>
            <w:tcBorders>
              <w:top w:val="nil"/>
              <w:bottom w:val="nil"/>
            </w:tcBorders>
            <w:shd w:val="clear" w:color="auto" w:fill="95B3D7" w:themeFill="accent1" w:themeFillTint="99"/>
          </w:tcPr>
          <w:p w:rsidR="00271FFA" w:rsidRPr="008B5E67" w:rsidRDefault="00271FFA" w:rsidP="00640AF6">
            <w:pPr>
              <w:autoSpaceDE w:val="0"/>
              <w:autoSpaceDN w:val="0"/>
              <w:adjustRightInd w:val="0"/>
              <w:spacing w:line="276" w:lineRule="auto"/>
              <w:jc w:val="center"/>
              <w:cnfStyle w:val="000000100000"/>
              <w:rPr>
                <w:b/>
                <w:bCs/>
                <w:color w:val="auto"/>
                <w:sz w:val="20"/>
                <w:szCs w:val="16"/>
              </w:rPr>
            </w:pPr>
            <w:r w:rsidRPr="008B5E67">
              <w:rPr>
                <w:b/>
                <w:bCs/>
                <w:color w:val="auto"/>
                <w:sz w:val="20"/>
                <w:szCs w:val="16"/>
              </w:rPr>
              <w:t>2006</w:t>
            </w:r>
          </w:p>
        </w:tc>
        <w:tc>
          <w:tcPr>
            <w:tcW w:w="835" w:type="dxa"/>
            <w:tcBorders>
              <w:top w:val="nil"/>
              <w:bottom w:val="nil"/>
            </w:tcBorders>
            <w:shd w:val="clear" w:color="auto" w:fill="95B3D7" w:themeFill="accent1" w:themeFillTint="99"/>
          </w:tcPr>
          <w:p w:rsidR="00271FFA" w:rsidRPr="008B5E67" w:rsidRDefault="00271FFA" w:rsidP="00640AF6">
            <w:pPr>
              <w:autoSpaceDE w:val="0"/>
              <w:autoSpaceDN w:val="0"/>
              <w:adjustRightInd w:val="0"/>
              <w:spacing w:line="276" w:lineRule="auto"/>
              <w:jc w:val="center"/>
              <w:cnfStyle w:val="000000100000"/>
              <w:rPr>
                <w:b/>
                <w:bCs/>
                <w:color w:val="auto"/>
                <w:sz w:val="20"/>
                <w:szCs w:val="16"/>
              </w:rPr>
            </w:pPr>
            <w:r w:rsidRPr="008B5E67">
              <w:rPr>
                <w:b/>
                <w:bCs/>
                <w:color w:val="auto"/>
                <w:sz w:val="20"/>
                <w:szCs w:val="16"/>
              </w:rPr>
              <w:t xml:space="preserve">2007 </w:t>
            </w:r>
          </w:p>
        </w:tc>
        <w:tc>
          <w:tcPr>
            <w:tcW w:w="710" w:type="dxa"/>
            <w:tcBorders>
              <w:top w:val="nil"/>
              <w:bottom w:val="nil"/>
            </w:tcBorders>
            <w:shd w:val="clear" w:color="auto" w:fill="95B3D7" w:themeFill="accent1" w:themeFillTint="99"/>
          </w:tcPr>
          <w:p w:rsidR="00271FFA" w:rsidRPr="008B5E67" w:rsidRDefault="00271FFA" w:rsidP="00640AF6">
            <w:pPr>
              <w:autoSpaceDE w:val="0"/>
              <w:autoSpaceDN w:val="0"/>
              <w:adjustRightInd w:val="0"/>
              <w:spacing w:line="276" w:lineRule="auto"/>
              <w:jc w:val="center"/>
              <w:cnfStyle w:val="000000100000"/>
              <w:rPr>
                <w:b/>
                <w:bCs/>
                <w:color w:val="auto"/>
                <w:sz w:val="20"/>
                <w:szCs w:val="16"/>
              </w:rPr>
            </w:pPr>
            <w:r w:rsidRPr="008B5E67">
              <w:rPr>
                <w:b/>
                <w:bCs/>
                <w:color w:val="auto"/>
                <w:sz w:val="20"/>
                <w:szCs w:val="16"/>
              </w:rPr>
              <w:t>2005</w:t>
            </w:r>
          </w:p>
        </w:tc>
        <w:tc>
          <w:tcPr>
            <w:tcW w:w="711" w:type="dxa"/>
            <w:tcBorders>
              <w:top w:val="nil"/>
              <w:bottom w:val="nil"/>
            </w:tcBorders>
            <w:shd w:val="clear" w:color="auto" w:fill="95B3D7" w:themeFill="accent1" w:themeFillTint="99"/>
          </w:tcPr>
          <w:p w:rsidR="00271FFA" w:rsidRPr="008B5E67" w:rsidRDefault="00271FFA" w:rsidP="00640AF6">
            <w:pPr>
              <w:autoSpaceDE w:val="0"/>
              <w:autoSpaceDN w:val="0"/>
              <w:adjustRightInd w:val="0"/>
              <w:spacing w:line="276" w:lineRule="auto"/>
              <w:jc w:val="center"/>
              <w:cnfStyle w:val="000000100000"/>
              <w:rPr>
                <w:b/>
                <w:bCs/>
                <w:color w:val="auto"/>
                <w:sz w:val="20"/>
                <w:szCs w:val="16"/>
              </w:rPr>
            </w:pPr>
            <w:r w:rsidRPr="008B5E67">
              <w:rPr>
                <w:b/>
                <w:bCs/>
                <w:color w:val="auto"/>
                <w:sz w:val="20"/>
                <w:szCs w:val="16"/>
              </w:rPr>
              <w:t>2006</w:t>
            </w:r>
          </w:p>
        </w:tc>
        <w:tc>
          <w:tcPr>
            <w:tcW w:w="644" w:type="dxa"/>
            <w:tcBorders>
              <w:top w:val="nil"/>
              <w:bottom w:val="nil"/>
            </w:tcBorders>
            <w:shd w:val="clear" w:color="auto" w:fill="95B3D7" w:themeFill="accent1" w:themeFillTint="99"/>
          </w:tcPr>
          <w:p w:rsidR="00271FFA" w:rsidRPr="008B5E67" w:rsidRDefault="00271FFA" w:rsidP="00640AF6">
            <w:pPr>
              <w:autoSpaceDE w:val="0"/>
              <w:autoSpaceDN w:val="0"/>
              <w:adjustRightInd w:val="0"/>
              <w:spacing w:line="276" w:lineRule="auto"/>
              <w:jc w:val="center"/>
              <w:cnfStyle w:val="000000100000"/>
              <w:rPr>
                <w:b/>
                <w:bCs/>
                <w:color w:val="auto"/>
                <w:sz w:val="20"/>
                <w:szCs w:val="16"/>
              </w:rPr>
            </w:pPr>
            <w:r w:rsidRPr="008B5E67">
              <w:rPr>
                <w:b/>
                <w:bCs/>
                <w:color w:val="auto"/>
                <w:sz w:val="20"/>
                <w:szCs w:val="16"/>
              </w:rPr>
              <w:t>2005</w:t>
            </w:r>
          </w:p>
        </w:tc>
        <w:tc>
          <w:tcPr>
            <w:tcW w:w="711" w:type="dxa"/>
            <w:tcBorders>
              <w:top w:val="nil"/>
              <w:bottom w:val="nil"/>
            </w:tcBorders>
            <w:shd w:val="clear" w:color="auto" w:fill="95B3D7" w:themeFill="accent1" w:themeFillTint="99"/>
          </w:tcPr>
          <w:p w:rsidR="00271FFA" w:rsidRPr="008B5E67" w:rsidRDefault="00271FFA" w:rsidP="00640AF6">
            <w:pPr>
              <w:autoSpaceDE w:val="0"/>
              <w:autoSpaceDN w:val="0"/>
              <w:adjustRightInd w:val="0"/>
              <w:spacing w:line="276" w:lineRule="auto"/>
              <w:jc w:val="center"/>
              <w:cnfStyle w:val="000000100000"/>
              <w:rPr>
                <w:b/>
                <w:bCs/>
                <w:color w:val="auto"/>
                <w:sz w:val="20"/>
                <w:szCs w:val="16"/>
              </w:rPr>
            </w:pPr>
            <w:r w:rsidRPr="008B5E67">
              <w:rPr>
                <w:b/>
                <w:bCs/>
                <w:color w:val="auto"/>
                <w:sz w:val="20"/>
                <w:szCs w:val="16"/>
              </w:rPr>
              <w:t>2006</w:t>
            </w:r>
          </w:p>
        </w:tc>
        <w:tc>
          <w:tcPr>
            <w:tcW w:w="710" w:type="dxa"/>
            <w:tcBorders>
              <w:top w:val="nil"/>
              <w:bottom w:val="nil"/>
            </w:tcBorders>
            <w:shd w:val="clear" w:color="auto" w:fill="95B3D7" w:themeFill="accent1" w:themeFillTint="99"/>
          </w:tcPr>
          <w:p w:rsidR="00271FFA" w:rsidRPr="008B5E67" w:rsidRDefault="00271FFA" w:rsidP="00640AF6">
            <w:pPr>
              <w:autoSpaceDE w:val="0"/>
              <w:autoSpaceDN w:val="0"/>
              <w:adjustRightInd w:val="0"/>
              <w:spacing w:line="276" w:lineRule="auto"/>
              <w:jc w:val="center"/>
              <w:cnfStyle w:val="000000100000"/>
              <w:rPr>
                <w:b/>
                <w:bCs/>
                <w:color w:val="auto"/>
                <w:sz w:val="20"/>
                <w:szCs w:val="16"/>
              </w:rPr>
            </w:pPr>
            <w:r w:rsidRPr="008B5E67">
              <w:rPr>
                <w:b/>
                <w:bCs/>
                <w:color w:val="auto"/>
                <w:sz w:val="20"/>
                <w:szCs w:val="16"/>
              </w:rPr>
              <w:t xml:space="preserve">2007 </w:t>
            </w:r>
          </w:p>
        </w:tc>
      </w:tr>
      <w:tr w:rsidR="00271FFA" w:rsidRPr="004A2BE3" w:rsidTr="00271FFA">
        <w:trPr>
          <w:trHeight w:val="247"/>
          <w:jc w:val="center"/>
        </w:trPr>
        <w:tc>
          <w:tcPr>
            <w:cnfStyle w:val="001000000000"/>
            <w:tcW w:w="2335" w:type="dxa"/>
            <w:tcBorders>
              <w:top w:val="nil"/>
            </w:tcBorders>
          </w:tcPr>
          <w:p w:rsidR="00271FFA" w:rsidRPr="004A2BE3" w:rsidRDefault="00271FFA" w:rsidP="004A2BE3">
            <w:pPr>
              <w:autoSpaceDE w:val="0"/>
              <w:autoSpaceDN w:val="0"/>
              <w:adjustRightInd w:val="0"/>
              <w:rPr>
                <w:bCs w:val="0"/>
                <w:i/>
                <w:color w:val="000000"/>
              </w:rPr>
            </w:pPr>
            <w:proofErr w:type="spellStart"/>
            <w:r w:rsidRPr="004A2BE3">
              <w:rPr>
                <w:bCs w:val="0"/>
                <w:i/>
                <w:color w:val="000000"/>
              </w:rPr>
              <w:t>Tax</w:t>
            </w:r>
            <w:proofErr w:type="spellEnd"/>
            <w:r w:rsidRPr="004A2BE3">
              <w:rPr>
                <w:bCs w:val="0"/>
                <w:i/>
                <w:color w:val="000000"/>
              </w:rPr>
              <w:t xml:space="preserve"> </w:t>
            </w:r>
            <w:proofErr w:type="spellStart"/>
            <w:r w:rsidR="004A2BE3" w:rsidRPr="004A2BE3">
              <w:rPr>
                <w:bCs w:val="0"/>
                <w:i/>
                <w:color w:val="000000"/>
              </w:rPr>
              <w:t>R</w:t>
            </w:r>
            <w:r w:rsidRPr="004A2BE3">
              <w:rPr>
                <w:bCs w:val="0"/>
                <w:i/>
                <w:color w:val="000000"/>
              </w:rPr>
              <w:t>evenue</w:t>
            </w:r>
            <w:proofErr w:type="spellEnd"/>
          </w:p>
        </w:tc>
        <w:tc>
          <w:tcPr>
            <w:tcW w:w="900" w:type="dxa"/>
            <w:tcBorders>
              <w:top w:val="nil"/>
            </w:tcBorders>
          </w:tcPr>
          <w:p w:rsidR="00271FFA" w:rsidRPr="004A2BE3" w:rsidRDefault="00271FFA" w:rsidP="004A2BE3">
            <w:pPr>
              <w:autoSpaceDE w:val="0"/>
              <w:autoSpaceDN w:val="0"/>
              <w:adjustRightInd w:val="0"/>
              <w:spacing w:line="276" w:lineRule="auto"/>
              <w:cnfStyle w:val="000000000000"/>
              <w:rPr>
                <w:b/>
                <w:bCs/>
                <w:i/>
                <w:color w:val="000000"/>
              </w:rPr>
            </w:pPr>
            <w:r w:rsidRPr="004A2BE3">
              <w:rPr>
                <w:b/>
                <w:bCs/>
                <w:i/>
                <w:color w:val="000000"/>
              </w:rPr>
              <w:t>35,589</w:t>
            </w:r>
          </w:p>
        </w:tc>
        <w:tc>
          <w:tcPr>
            <w:tcW w:w="963" w:type="dxa"/>
            <w:tcBorders>
              <w:top w:val="nil"/>
            </w:tcBorders>
          </w:tcPr>
          <w:p w:rsidR="00271FFA" w:rsidRPr="004A2BE3" w:rsidRDefault="00271FFA" w:rsidP="004A2BE3">
            <w:pPr>
              <w:autoSpaceDE w:val="0"/>
              <w:autoSpaceDN w:val="0"/>
              <w:adjustRightInd w:val="0"/>
              <w:spacing w:line="276" w:lineRule="auto"/>
              <w:cnfStyle w:val="000000000000"/>
              <w:rPr>
                <w:b/>
                <w:bCs/>
                <w:i/>
                <w:color w:val="000000"/>
              </w:rPr>
            </w:pPr>
            <w:r w:rsidRPr="004A2BE3">
              <w:rPr>
                <w:b/>
                <w:bCs/>
                <w:i/>
                <w:color w:val="000000"/>
              </w:rPr>
              <w:t>45,485</w:t>
            </w:r>
          </w:p>
        </w:tc>
        <w:tc>
          <w:tcPr>
            <w:tcW w:w="835" w:type="dxa"/>
            <w:tcBorders>
              <w:top w:val="nil"/>
            </w:tcBorders>
          </w:tcPr>
          <w:p w:rsidR="00271FFA" w:rsidRPr="004A2BE3" w:rsidRDefault="00271FFA" w:rsidP="004A2BE3">
            <w:pPr>
              <w:autoSpaceDE w:val="0"/>
              <w:autoSpaceDN w:val="0"/>
              <w:adjustRightInd w:val="0"/>
              <w:spacing w:line="276" w:lineRule="auto"/>
              <w:cnfStyle w:val="000000000000"/>
              <w:rPr>
                <w:b/>
                <w:bCs/>
                <w:i/>
                <w:color w:val="000000"/>
              </w:rPr>
            </w:pPr>
            <w:r w:rsidRPr="004A2BE3">
              <w:rPr>
                <w:b/>
                <w:bCs/>
                <w:i/>
                <w:color w:val="000000"/>
              </w:rPr>
              <w:t>52,454</w:t>
            </w:r>
          </w:p>
        </w:tc>
        <w:tc>
          <w:tcPr>
            <w:tcW w:w="710" w:type="dxa"/>
            <w:tcBorders>
              <w:top w:val="nil"/>
            </w:tcBorders>
          </w:tcPr>
          <w:p w:rsidR="00271FFA" w:rsidRPr="004A2BE3" w:rsidRDefault="00271FFA" w:rsidP="004A2BE3">
            <w:pPr>
              <w:autoSpaceDE w:val="0"/>
              <w:autoSpaceDN w:val="0"/>
              <w:adjustRightInd w:val="0"/>
              <w:spacing w:line="276" w:lineRule="auto"/>
              <w:cnfStyle w:val="000000000000"/>
              <w:rPr>
                <w:b/>
                <w:bCs/>
                <w:i/>
                <w:color w:val="000000"/>
              </w:rPr>
            </w:pPr>
            <w:r w:rsidRPr="004A2BE3">
              <w:rPr>
                <w:b/>
                <w:bCs/>
                <w:i/>
                <w:color w:val="000000"/>
              </w:rPr>
              <w:t>86.7</w:t>
            </w:r>
          </w:p>
        </w:tc>
        <w:tc>
          <w:tcPr>
            <w:tcW w:w="711" w:type="dxa"/>
            <w:tcBorders>
              <w:top w:val="nil"/>
            </w:tcBorders>
          </w:tcPr>
          <w:p w:rsidR="00271FFA" w:rsidRPr="004A2BE3" w:rsidRDefault="00271FFA" w:rsidP="004A2BE3">
            <w:pPr>
              <w:autoSpaceDE w:val="0"/>
              <w:autoSpaceDN w:val="0"/>
              <w:adjustRightInd w:val="0"/>
              <w:spacing w:line="276" w:lineRule="auto"/>
              <w:cnfStyle w:val="000000000000"/>
              <w:rPr>
                <w:b/>
                <w:bCs/>
                <w:i/>
                <w:color w:val="000000"/>
              </w:rPr>
            </w:pPr>
            <w:r w:rsidRPr="004A2BE3">
              <w:rPr>
                <w:b/>
                <w:bCs/>
                <w:i/>
                <w:color w:val="000000"/>
              </w:rPr>
              <w:t>86.3</w:t>
            </w:r>
          </w:p>
        </w:tc>
        <w:tc>
          <w:tcPr>
            <w:tcW w:w="644" w:type="dxa"/>
            <w:tcBorders>
              <w:top w:val="nil"/>
            </w:tcBorders>
          </w:tcPr>
          <w:p w:rsidR="00271FFA" w:rsidRPr="004A2BE3" w:rsidRDefault="00271FFA" w:rsidP="004A2BE3">
            <w:pPr>
              <w:autoSpaceDE w:val="0"/>
              <w:autoSpaceDN w:val="0"/>
              <w:adjustRightInd w:val="0"/>
              <w:spacing w:line="276" w:lineRule="auto"/>
              <w:cnfStyle w:val="000000000000"/>
              <w:rPr>
                <w:b/>
                <w:bCs/>
                <w:i/>
                <w:color w:val="000000"/>
              </w:rPr>
            </w:pPr>
            <w:r w:rsidRPr="004A2BE3">
              <w:rPr>
                <w:b/>
                <w:bCs/>
                <w:i/>
                <w:color w:val="000000"/>
              </w:rPr>
              <w:t>13.6</w:t>
            </w:r>
          </w:p>
        </w:tc>
        <w:tc>
          <w:tcPr>
            <w:tcW w:w="711" w:type="dxa"/>
            <w:tcBorders>
              <w:top w:val="nil"/>
            </w:tcBorders>
          </w:tcPr>
          <w:p w:rsidR="00271FFA" w:rsidRPr="004A2BE3" w:rsidRDefault="00271FFA" w:rsidP="004A2BE3">
            <w:pPr>
              <w:autoSpaceDE w:val="0"/>
              <w:autoSpaceDN w:val="0"/>
              <w:adjustRightInd w:val="0"/>
              <w:spacing w:line="276" w:lineRule="auto"/>
              <w:cnfStyle w:val="000000000000"/>
              <w:rPr>
                <w:b/>
                <w:bCs/>
                <w:i/>
                <w:color w:val="000000"/>
              </w:rPr>
            </w:pPr>
            <w:r w:rsidRPr="004A2BE3">
              <w:rPr>
                <w:b/>
                <w:bCs/>
                <w:i/>
                <w:color w:val="000000"/>
              </w:rPr>
              <w:t>14.9</w:t>
            </w:r>
          </w:p>
        </w:tc>
        <w:tc>
          <w:tcPr>
            <w:tcW w:w="710" w:type="dxa"/>
            <w:tcBorders>
              <w:top w:val="nil"/>
            </w:tcBorders>
          </w:tcPr>
          <w:p w:rsidR="00271FFA" w:rsidRPr="004A2BE3" w:rsidRDefault="00271FFA" w:rsidP="004A2BE3">
            <w:pPr>
              <w:autoSpaceDE w:val="0"/>
              <w:autoSpaceDN w:val="0"/>
              <w:adjustRightInd w:val="0"/>
              <w:spacing w:line="276" w:lineRule="auto"/>
              <w:cnfStyle w:val="000000000000"/>
              <w:rPr>
                <w:b/>
                <w:bCs/>
                <w:i/>
                <w:color w:val="000000"/>
              </w:rPr>
            </w:pPr>
            <w:r w:rsidRPr="004A2BE3">
              <w:rPr>
                <w:b/>
                <w:bCs/>
                <w:i/>
                <w:color w:val="000000"/>
              </w:rPr>
              <w:t>15.4</w:t>
            </w:r>
          </w:p>
        </w:tc>
      </w:tr>
      <w:tr w:rsidR="00271FFA" w:rsidRPr="004A2BE3" w:rsidTr="00271FFA">
        <w:trPr>
          <w:cnfStyle w:val="000000100000"/>
          <w:trHeight w:val="247"/>
          <w:jc w:val="center"/>
        </w:trPr>
        <w:tc>
          <w:tcPr>
            <w:cnfStyle w:val="001000000000"/>
            <w:tcW w:w="2335" w:type="dxa"/>
          </w:tcPr>
          <w:p w:rsidR="00271FFA" w:rsidRPr="004A2BE3" w:rsidRDefault="00271FFA" w:rsidP="004A2BE3">
            <w:pPr>
              <w:autoSpaceDE w:val="0"/>
              <w:autoSpaceDN w:val="0"/>
              <w:adjustRightInd w:val="0"/>
              <w:spacing w:line="276" w:lineRule="auto"/>
              <w:jc w:val="right"/>
              <w:rPr>
                <w:b w:val="0"/>
                <w:color w:val="000000"/>
                <w:sz w:val="20"/>
                <w:szCs w:val="14"/>
              </w:rPr>
            </w:pPr>
            <w:proofErr w:type="spellStart"/>
            <w:r w:rsidRPr="004A2BE3">
              <w:rPr>
                <w:b w:val="0"/>
                <w:color w:val="000000"/>
                <w:sz w:val="20"/>
                <w:szCs w:val="14"/>
              </w:rPr>
              <w:t>Income</w:t>
            </w:r>
            <w:proofErr w:type="spellEnd"/>
            <w:r w:rsidRPr="004A2BE3">
              <w:rPr>
                <w:b w:val="0"/>
                <w:color w:val="000000"/>
                <w:sz w:val="20"/>
                <w:szCs w:val="14"/>
              </w:rPr>
              <w:t xml:space="preserve"> </w:t>
            </w:r>
            <w:proofErr w:type="spellStart"/>
            <w:r w:rsidRPr="004A2BE3">
              <w:rPr>
                <w:b w:val="0"/>
                <w:color w:val="000000"/>
                <w:sz w:val="20"/>
                <w:szCs w:val="14"/>
              </w:rPr>
              <w:t>Tax</w:t>
            </w:r>
            <w:proofErr w:type="spellEnd"/>
          </w:p>
        </w:tc>
        <w:tc>
          <w:tcPr>
            <w:tcW w:w="900" w:type="dxa"/>
          </w:tcPr>
          <w:p w:rsidR="00271FFA" w:rsidRPr="004A2BE3" w:rsidRDefault="00271FFA" w:rsidP="00640AF6">
            <w:pPr>
              <w:autoSpaceDE w:val="0"/>
              <w:autoSpaceDN w:val="0"/>
              <w:adjustRightInd w:val="0"/>
              <w:spacing w:line="276" w:lineRule="auto"/>
              <w:jc w:val="center"/>
              <w:cnfStyle w:val="000000100000"/>
              <w:rPr>
                <w:color w:val="000000"/>
                <w:sz w:val="20"/>
                <w:szCs w:val="14"/>
              </w:rPr>
            </w:pPr>
            <w:r w:rsidRPr="004A2BE3">
              <w:rPr>
                <w:color w:val="000000"/>
                <w:sz w:val="20"/>
                <w:szCs w:val="14"/>
              </w:rPr>
              <w:t>11,188</w:t>
            </w:r>
          </w:p>
        </w:tc>
        <w:tc>
          <w:tcPr>
            <w:tcW w:w="963" w:type="dxa"/>
          </w:tcPr>
          <w:p w:rsidR="00271FFA" w:rsidRPr="004A2BE3" w:rsidRDefault="00271FFA" w:rsidP="00640AF6">
            <w:pPr>
              <w:autoSpaceDE w:val="0"/>
              <w:autoSpaceDN w:val="0"/>
              <w:adjustRightInd w:val="0"/>
              <w:spacing w:line="276" w:lineRule="auto"/>
              <w:jc w:val="center"/>
              <w:cnfStyle w:val="000000100000"/>
              <w:rPr>
                <w:color w:val="000000"/>
                <w:sz w:val="20"/>
                <w:szCs w:val="14"/>
              </w:rPr>
            </w:pPr>
            <w:r w:rsidRPr="004A2BE3">
              <w:rPr>
                <w:color w:val="000000"/>
                <w:sz w:val="20"/>
                <w:szCs w:val="14"/>
              </w:rPr>
              <w:t>18,414</w:t>
            </w:r>
          </w:p>
        </w:tc>
        <w:tc>
          <w:tcPr>
            <w:tcW w:w="835" w:type="dxa"/>
          </w:tcPr>
          <w:p w:rsidR="00271FFA" w:rsidRPr="004A2BE3" w:rsidRDefault="00271FFA" w:rsidP="00640AF6">
            <w:pPr>
              <w:autoSpaceDE w:val="0"/>
              <w:autoSpaceDN w:val="0"/>
              <w:adjustRightInd w:val="0"/>
              <w:spacing w:line="276" w:lineRule="auto"/>
              <w:jc w:val="center"/>
              <w:cnfStyle w:val="000000100000"/>
              <w:rPr>
                <w:color w:val="000000"/>
                <w:sz w:val="20"/>
                <w:szCs w:val="14"/>
              </w:rPr>
            </w:pPr>
            <w:r w:rsidRPr="004A2BE3">
              <w:rPr>
                <w:color w:val="000000"/>
                <w:sz w:val="20"/>
                <w:szCs w:val="14"/>
              </w:rPr>
              <w:t>22,847</w:t>
            </w:r>
          </w:p>
        </w:tc>
        <w:tc>
          <w:tcPr>
            <w:tcW w:w="710" w:type="dxa"/>
          </w:tcPr>
          <w:p w:rsidR="00271FFA" w:rsidRPr="004A2BE3" w:rsidRDefault="00271FFA" w:rsidP="00640AF6">
            <w:pPr>
              <w:autoSpaceDE w:val="0"/>
              <w:autoSpaceDN w:val="0"/>
              <w:adjustRightInd w:val="0"/>
              <w:spacing w:line="276" w:lineRule="auto"/>
              <w:jc w:val="center"/>
              <w:cnfStyle w:val="000000100000"/>
              <w:rPr>
                <w:color w:val="000000"/>
                <w:sz w:val="20"/>
                <w:szCs w:val="14"/>
              </w:rPr>
            </w:pPr>
            <w:r w:rsidRPr="004A2BE3">
              <w:rPr>
                <w:color w:val="000000"/>
                <w:sz w:val="20"/>
                <w:szCs w:val="14"/>
              </w:rPr>
              <w:t>27.3</w:t>
            </w:r>
          </w:p>
        </w:tc>
        <w:tc>
          <w:tcPr>
            <w:tcW w:w="711" w:type="dxa"/>
          </w:tcPr>
          <w:p w:rsidR="00271FFA" w:rsidRPr="004A2BE3" w:rsidRDefault="00271FFA" w:rsidP="00640AF6">
            <w:pPr>
              <w:autoSpaceDE w:val="0"/>
              <w:autoSpaceDN w:val="0"/>
              <w:adjustRightInd w:val="0"/>
              <w:spacing w:line="276" w:lineRule="auto"/>
              <w:jc w:val="center"/>
              <w:cnfStyle w:val="000000100000"/>
              <w:rPr>
                <w:color w:val="000000"/>
                <w:sz w:val="20"/>
                <w:szCs w:val="14"/>
              </w:rPr>
            </w:pPr>
            <w:r w:rsidRPr="004A2BE3">
              <w:rPr>
                <w:color w:val="000000"/>
                <w:sz w:val="20"/>
                <w:szCs w:val="14"/>
              </w:rPr>
              <w:t>34.9</w:t>
            </w:r>
          </w:p>
        </w:tc>
        <w:tc>
          <w:tcPr>
            <w:tcW w:w="644" w:type="dxa"/>
          </w:tcPr>
          <w:p w:rsidR="00271FFA" w:rsidRPr="004A2BE3" w:rsidRDefault="00271FFA" w:rsidP="00640AF6">
            <w:pPr>
              <w:autoSpaceDE w:val="0"/>
              <w:autoSpaceDN w:val="0"/>
              <w:adjustRightInd w:val="0"/>
              <w:spacing w:line="276" w:lineRule="auto"/>
              <w:jc w:val="center"/>
              <w:cnfStyle w:val="000000100000"/>
              <w:rPr>
                <w:color w:val="000000"/>
                <w:sz w:val="20"/>
                <w:szCs w:val="14"/>
              </w:rPr>
            </w:pPr>
            <w:r w:rsidRPr="004A2BE3">
              <w:rPr>
                <w:color w:val="000000"/>
                <w:sz w:val="20"/>
                <w:szCs w:val="14"/>
              </w:rPr>
              <w:t>4.3</w:t>
            </w:r>
          </w:p>
        </w:tc>
        <w:tc>
          <w:tcPr>
            <w:tcW w:w="711" w:type="dxa"/>
          </w:tcPr>
          <w:p w:rsidR="00271FFA" w:rsidRPr="004A2BE3" w:rsidRDefault="00271FFA" w:rsidP="00640AF6">
            <w:pPr>
              <w:autoSpaceDE w:val="0"/>
              <w:autoSpaceDN w:val="0"/>
              <w:adjustRightInd w:val="0"/>
              <w:spacing w:line="276" w:lineRule="auto"/>
              <w:jc w:val="center"/>
              <w:cnfStyle w:val="000000100000"/>
              <w:rPr>
                <w:color w:val="000000"/>
                <w:sz w:val="20"/>
                <w:szCs w:val="14"/>
              </w:rPr>
            </w:pPr>
            <w:r w:rsidRPr="004A2BE3">
              <w:rPr>
                <w:color w:val="000000"/>
                <w:sz w:val="20"/>
                <w:szCs w:val="14"/>
              </w:rPr>
              <w:t>6.0</w:t>
            </w:r>
          </w:p>
        </w:tc>
        <w:tc>
          <w:tcPr>
            <w:tcW w:w="710" w:type="dxa"/>
          </w:tcPr>
          <w:p w:rsidR="00271FFA" w:rsidRPr="004A2BE3" w:rsidRDefault="00271FFA" w:rsidP="00640AF6">
            <w:pPr>
              <w:autoSpaceDE w:val="0"/>
              <w:autoSpaceDN w:val="0"/>
              <w:adjustRightInd w:val="0"/>
              <w:spacing w:line="276" w:lineRule="auto"/>
              <w:jc w:val="center"/>
              <w:cnfStyle w:val="000000100000"/>
              <w:rPr>
                <w:color w:val="000000"/>
                <w:sz w:val="20"/>
                <w:szCs w:val="14"/>
              </w:rPr>
            </w:pPr>
            <w:r w:rsidRPr="004A2BE3">
              <w:rPr>
                <w:color w:val="000000"/>
                <w:sz w:val="20"/>
                <w:szCs w:val="14"/>
              </w:rPr>
              <w:t>6.7</w:t>
            </w:r>
          </w:p>
        </w:tc>
      </w:tr>
      <w:tr w:rsidR="00271FFA" w:rsidRPr="004A2BE3" w:rsidTr="00271FFA">
        <w:trPr>
          <w:trHeight w:val="305"/>
          <w:jc w:val="center"/>
        </w:trPr>
        <w:tc>
          <w:tcPr>
            <w:cnfStyle w:val="001000000000"/>
            <w:tcW w:w="2335" w:type="dxa"/>
          </w:tcPr>
          <w:p w:rsidR="00271FFA" w:rsidRPr="004A2BE3" w:rsidRDefault="00271FFA" w:rsidP="004A2BE3">
            <w:pPr>
              <w:autoSpaceDE w:val="0"/>
              <w:autoSpaceDN w:val="0"/>
              <w:adjustRightInd w:val="0"/>
              <w:spacing w:line="276" w:lineRule="auto"/>
              <w:jc w:val="right"/>
              <w:rPr>
                <w:b w:val="0"/>
                <w:color w:val="000000"/>
                <w:sz w:val="20"/>
                <w:szCs w:val="14"/>
              </w:rPr>
            </w:pPr>
            <w:proofErr w:type="spellStart"/>
            <w:r w:rsidRPr="004A2BE3">
              <w:rPr>
                <w:b w:val="0"/>
                <w:color w:val="000000"/>
                <w:sz w:val="20"/>
                <w:szCs w:val="14"/>
              </w:rPr>
              <w:t>Value</w:t>
            </w:r>
            <w:proofErr w:type="spellEnd"/>
            <w:r w:rsidRPr="004A2BE3">
              <w:rPr>
                <w:b w:val="0"/>
                <w:color w:val="000000"/>
                <w:sz w:val="20"/>
                <w:szCs w:val="14"/>
              </w:rPr>
              <w:t xml:space="preserve"> </w:t>
            </w:r>
            <w:proofErr w:type="spellStart"/>
            <w:r w:rsidRPr="004A2BE3">
              <w:rPr>
                <w:b w:val="0"/>
                <w:color w:val="000000"/>
                <w:sz w:val="20"/>
                <w:szCs w:val="14"/>
              </w:rPr>
              <w:t>Added</w:t>
            </w:r>
            <w:proofErr w:type="spellEnd"/>
            <w:r w:rsidRPr="004A2BE3">
              <w:rPr>
                <w:b w:val="0"/>
                <w:color w:val="000000"/>
                <w:sz w:val="20"/>
                <w:szCs w:val="14"/>
              </w:rPr>
              <w:t xml:space="preserve"> </w:t>
            </w:r>
            <w:proofErr w:type="spellStart"/>
            <w:r w:rsidRPr="004A2BE3">
              <w:rPr>
                <w:b w:val="0"/>
                <w:color w:val="000000"/>
                <w:sz w:val="20"/>
                <w:szCs w:val="14"/>
              </w:rPr>
              <w:t>Tax</w:t>
            </w:r>
            <w:proofErr w:type="spellEnd"/>
          </w:p>
        </w:tc>
        <w:tc>
          <w:tcPr>
            <w:tcW w:w="900" w:type="dxa"/>
          </w:tcPr>
          <w:p w:rsidR="00271FFA" w:rsidRPr="004A2BE3" w:rsidRDefault="00271FFA" w:rsidP="00640AF6">
            <w:pPr>
              <w:autoSpaceDE w:val="0"/>
              <w:autoSpaceDN w:val="0"/>
              <w:adjustRightInd w:val="0"/>
              <w:spacing w:line="276" w:lineRule="auto"/>
              <w:jc w:val="center"/>
              <w:cnfStyle w:val="000000000000"/>
              <w:rPr>
                <w:color w:val="000000"/>
                <w:sz w:val="20"/>
                <w:szCs w:val="14"/>
              </w:rPr>
            </w:pPr>
            <w:r w:rsidRPr="004A2BE3">
              <w:rPr>
                <w:color w:val="000000"/>
                <w:sz w:val="20"/>
                <w:szCs w:val="14"/>
              </w:rPr>
              <w:t>18,302</w:t>
            </w:r>
          </w:p>
        </w:tc>
        <w:tc>
          <w:tcPr>
            <w:tcW w:w="963" w:type="dxa"/>
          </w:tcPr>
          <w:p w:rsidR="00271FFA" w:rsidRPr="004A2BE3" w:rsidRDefault="00271FFA" w:rsidP="00640AF6">
            <w:pPr>
              <w:autoSpaceDE w:val="0"/>
              <w:autoSpaceDN w:val="0"/>
              <w:adjustRightInd w:val="0"/>
              <w:spacing w:line="276" w:lineRule="auto"/>
              <w:jc w:val="center"/>
              <w:cnfStyle w:val="000000000000"/>
              <w:rPr>
                <w:color w:val="000000"/>
                <w:sz w:val="20"/>
                <w:szCs w:val="14"/>
              </w:rPr>
            </w:pPr>
            <w:r w:rsidRPr="004A2BE3">
              <w:rPr>
                <w:color w:val="000000"/>
                <w:sz w:val="20"/>
                <w:szCs w:val="14"/>
              </w:rPr>
              <w:t>21,517</w:t>
            </w:r>
          </w:p>
        </w:tc>
        <w:tc>
          <w:tcPr>
            <w:tcW w:w="835" w:type="dxa"/>
          </w:tcPr>
          <w:p w:rsidR="00271FFA" w:rsidRPr="004A2BE3" w:rsidRDefault="00271FFA" w:rsidP="00640AF6">
            <w:pPr>
              <w:autoSpaceDE w:val="0"/>
              <w:autoSpaceDN w:val="0"/>
              <w:adjustRightInd w:val="0"/>
              <w:spacing w:line="276" w:lineRule="auto"/>
              <w:jc w:val="center"/>
              <w:cnfStyle w:val="000000000000"/>
              <w:rPr>
                <w:color w:val="000000"/>
                <w:sz w:val="20"/>
                <w:szCs w:val="14"/>
              </w:rPr>
            </w:pPr>
          </w:p>
        </w:tc>
        <w:tc>
          <w:tcPr>
            <w:tcW w:w="710" w:type="dxa"/>
          </w:tcPr>
          <w:p w:rsidR="00271FFA" w:rsidRPr="004A2BE3" w:rsidRDefault="00271FFA" w:rsidP="00640AF6">
            <w:pPr>
              <w:autoSpaceDE w:val="0"/>
              <w:autoSpaceDN w:val="0"/>
              <w:adjustRightInd w:val="0"/>
              <w:spacing w:line="276" w:lineRule="auto"/>
              <w:jc w:val="center"/>
              <w:cnfStyle w:val="000000000000"/>
              <w:rPr>
                <w:color w:val="000000"/>
                <w:sz w:val="20"/>
                <w:szCs w:val="14"/>
              </w:rPr>
            </w:pPr>
            <w:r w:rsidRPr="004A2BE3">
              <w:rPr>
                <w:color w:val="000000"/>
                <w:sz w:val="20"/>
                <w:szCs w:val="14"/>
              </w:rPr>
              <w:t>44.6</w:t>
            </w:r>
          </w:p>
        </w:tc>
        <w:tc>
          <w:tcPr>
            <w:tcW w:w="711" w:type="dxa"/>
          </w:tcPr>
          <w:p w:rsidR="00271FFA" w:rsidRPr="004A2BE3" w:rsidRDefault="00271FFA" w:rsidP="00640AF6">
            <w:pPr>
              <w:autoSpaceDE w:val="0"/>
              <w:autoSpaceDN w:val="0"/>
              <w:adjustRightInd w:val="0"/>
              <w:spacing w:line="276" w:lineRule="auto"/>
              <w:jc w:val="center"/>
              <w:cnfStyle w:val="000000000000"/>
              <w:rPr>
                <w:color w:val="000000"/>
                <w:sz w:val="20"/>
                <w:szCs w:val="14"/>
              </w:rPr>
            </w:pPr>
            <w:r w:rsidRPr="004A2BE3">
              <w:rPr>
                <w:color w:val="000000"/>
                <w:sz w:val="20"/>
                <w:szCs w:val="14"/>
              </w:rPr>
              <w:t>40.8</w:t>
            </w:r>
          </w:p>
        </w:tc>
        <w:tc>
          <w:tcPr>
            <w:tcW w:w="644" w:type="dxa"/>
          </w:tcPr>
          <w:p w:rsidR="00271FFA" w:rsidRPr="004A2BE3" w:rsidRDefault="00271FFA" w:rsidP="00640AF6">
            <w:pPr>
              <w:autoSpaceDE w:val="0"/>
              <w:autoSpaceDN w:val="0"/>
              <w:adjustRightInd w:val="0"/>
              <w:spacing w:line="276" w:lineRule="auto"/>
              <w:jc w:val="center"/>
              <w:cnfStyle w:val="000000000000"/>
              <w:rPr>
                <w:color w:val="000000"/>
                <w:sz w:val="20"/>
                <w:szCs w:val="14"/>
              </w:rPr>
            </w:pPr>
            <w:r w:rsidRPr="004A2BE3">
              <w:rPr>
                <w:color w:val="000000"/>
                <w:sz w:val="20"/>
                <w:szCs w:val="14"/>
              </w:rPr>
              <w:t>7.0</w:t>
            </w:r>
          </w:p>
        </w:tc>
        <w:tc>
          <w:tcPr>
            <w:tcW w:w="711" w:type="dxa"/>
          </w:tcPr>
          <w:p w:rsidR="00271FFA" w:rsidRPr="004A2BE3" w:rsidRDefault="00271FFA" w:rsidP="00640AF6">
            <w:pPr>
              <w:autoSpaceDE w:val="0"/>
              <w:autoSpaceDN w:val="0"/>
              <w:adjustRightInd w:val="0"/>
              <w:spacing w:line="276" w:lineRule="auto"/>
              <w:jc w:val="center"/>
              <w:cnfStyle w:val="000000000000"/>
              <w:rPr>
                <w:color w:val="000000"/>
                <w:sz w:val="20"/>
                <w:szCs w:val="14"/>
              </w:rPr>
            </w:pPr>
            <w:r w:rsidRPr="004A2BE3">
              <w:rPr>
                <w:color w:val="000000"/>
                <w:sz w:val="20"/>
                <w:szCs w:val="14"/>
              </w:rPr>
              <w:t>7.0</w:t>
            </w:r>
          </w:p>
        </w:tc>
        <w:tc>
          <w:tcPr>
            <w:tcW w:w="710" w:type="dxa"/>
          </w:tcPr>
          <w:p w:rsidR="00271FFA" w:rsidRPr="004A2BE3" w:rsidRDefault="00271FFA" w:rsidP="00640AF6">
            <w:pPr>
              <w:autoSpaceDE w:val="0"/>
              <w:autoSpaceDN w:val="0"/>
              <w:adjustRightInd w:val="0"/>
              <w:spacing w:line="276" w:lineRule="auto"/>
              <w:jc w:val="center"/>
              <w:cnfStyle w:val="000000000000"/>
              <w:rPr>
                <w:color w:val="000000"/>
                <w:sz w:val="20"/>
                <w:szCs w:val="14"/>
              </w:rPr>
            </w:pPr>
            <w:r w:rsidRPr="004A2BE3">
              <w:rPr>
                <w:color w:val="000000"/>
                <w:sz w:val="20"/>
                <w:szCs w:val="14"/>
              </w:rPr>
              <w:t>7.4</w:t>
            </w:r>
          </w:p>
        </w:tc>
      </w:tr>
      <w:tr w:rsidR="00271FFA" w:rsidRPr="004A2BE3" w:rsidTr="00271FFA">
        <w:trPr>
          <w:cnfStyle w:val="000000100000"/>
          <w:trHeight w:val="305"/>
          <w:jc w:val="center"/>
        </w:trPr>
        <w:tc>
          <w:tcPr>
            <w:cnfStyle w:val="001000000000"/>
            <w:tcW w:w="2335" w:type="dxa"/>
          </w:tcPr>
          <w:p w:rsidR="00271FFA" w:rsidRPr="004A2BE3" w:rsidRDefault="004A2BE3" w:rsidP="004A2BE3">
            <w:pPr>
              <w:autoSpaceDE w:val="0"/>
              <w:autoSpaceDN w:val="0"/>
              <w:adjustRightInd w:val="0"/>
              <w:spacing w:line="276" w:lineRule="auto"/>
              <w:jc w:val="right"/>
              <w:rPr>
                <w:b w:val="0"/>
                <w:color w:val="000000"/>
                <w:sz w:val="20"/>
                <w:szCs w:val="14"/>
              </w:rPr>
            </w:pPr>
            <w:proofErr w:type="spellStart"/>
            <w:r w:rsidRPr="004A2BE3">
              <w:rPr>
                <w:b w:val="0"/>
                <w:color w:val="000000"/>
                <w:sz w:val="20"/>
                <w:szCs w:val="14"/>
              </w:rPr>
              <w:t>Excise</w:t>
            </w:r>
            <w:proofErr w:type="spellEnd"/>
            <w:r w:rsidRPr="004A2BE3">
              <w:rPr>
                <w:b w:val="0"/>
                <w:color w:val="000000"/>
                <w:sz w:val="20"/>
                <w:szCs w:val="14"/>
              </w:rPr>
              <w:t xml:space="preserve"> </w:t>
            </w:r>
            <w:proofErr w:type="spellStart"/>
            <w:r w:rsidRPr="004A2BE3">
              <w:rPr>
                <w:b w:val="0"/>
                <w:color w:val="000000"/>
                <w:sz w:val="20"/>
                <w:szCs w:val="14"/>
              </w:rPr>
              <w:t>Tax</w:t>
            </w:r>
            <w:proofErr w:type="spellEnd"/>
          </w:p>
        </w:tc>
        <w:tc>
          <w:tcPr>
            <w:tcW w:w="900" w:type="dxa"/>
          </w:tcPr>
          <w:p w:rsidR="00271FFA" w:rsidRPr="004A2BE3" w:rsidRDefault="00271FFA" w:rsidP="00640AF6">
            <w:pPr>
              <w:autoSpaceDE w:val="0"/>
              <w:autoSpaceDN w:val="0"/>
              <w:adjustRightInd w:val="0"/>
              <w:spacing w:line="276" w:lineRule="auto"/>
              <w:jc w:val="center"/>
              <w:cnfStyle w:val="000000100000"/>
              <w:rPr>
                <w:color w:val="000000"/>
                <w:sz w:val="20"/>
                <w:szCs w:val="14"/>
              </w:rPr>
            </w:pPr>
            <w:r w:rsidRPr="004A2BE3">
              <w:rPr>
                <w:color w:val="000000"/>
                <w:sz w:val="20"/>
                <w:szCs w:val="14"/>
              </w:rPr>
              <w:t>4,066</w:t>
            </w:r>
          </w:p>
        </w:tc>
        <w:tc>
          <w:tcPr>
            <w:tcW w:w="963" w:type="dxa"/>
          </w:tcPr>
          <w:p w:rsidR="00271FFA" w:rsidRPr="004A2BE3" w:rsidRDefault="00271FFA" w:rsidP="00640AF6">
            <w:pPr>
              <w:autoSpaceDE w:val="0"/>
              <w:autoSpaceDN w:val="0"/>
              <w:adjustRightInd w:val="0"/>
              <w:spacing w:line="276" w:lineRule="auto"/>
              <w:jc w:val="center"/>
              <w:cnfStyle w:val="000000100000"/>
              <w:rPr>
                <w:color w:val="000000"/>
                <w:sz w:val="20"/>
                <w:szCs w:val="14"/>
              </w:rPr>
            </w:pPr>
            <w:r w:rsidRPr="004A2BE3">
              <w:rPr>
                <w:color w:val="000000"/>
                <w:sz w:val="20"/>
                <w:szCs w:val="14"/>
              </w:rPr>
              <w:t>4,042</w:t>
            </w:r>
          </w:p>
        </w:tc>
        <w:tc>
          <w:tcPr>
            <w:tcW w:w="835" w:type="dxa"/>
          </w:tcPr>
          <w:p w:rsidR="00271FFA" w:rsidRPr="004A2BE3" w:rsidRDefault="00271FFA" w:rsidP="00640AF6">
            <w:pPr>
              <w:autoSpaceDE w:val="0"/>
              <w:autoSpaceDN w:val="0"/>
              <w:adjustRightInd w:val="0"/>
              <w:spacing w:line="276" w:lineRule="auto"/>
              <w:jc w:val="center"/>
              <w:cnfStyle w:val="000000100000"/>
              <w:rPr>
                <w:color w:val="000000"/>
                <w:sz w:val="20"/>
                <w:szCs w:val="14"/>
              </w:rPr>
            </w:pPr>
            <w:r w:rsidRPr="004A2BE3">
              <w:rPr>
                <w:color w:val="000000"/>
                <w:sz w:val="20"/>
                <w:szCs w:val="14"/>
              </w:rPr>
              <w:t>4,291</w:t>
            </w:r>
          </w:p>
        </w:tc>
        <w:tc>
          <w:tcPr>
            <w:tcW w:w="710" w:type="dxa"/>
          </w:tcPr>
          <w:p w:rsidR="00271FFA" w:rsidRPr="004A2BE3" w:rsidRDefault="00271FFA" w:rsidP="00640AF6">
            <w:pPr>
              <w:autoSpaceDE w:val="0"/>
              <w:autoSpaceDN w:val="0"/>
              <w:adjustRightInd w:val="0"/>
              <w:spacing w:line="276" w:lineRule="auto"/>
              <w:jc w:val="center"/>
              <w:cnfStyle w:val="000000100000"/>
              <w:rPr>
                <w:color w:val="000000"/>
                <w:sz w:val="20"/>
                <w:szCs w:val="14"/>
              </w:rPr>
            </w:pPr>
            <w:r w:rsidRPr="004A2BE3">
              <w:rPr>
                <w:color w:val="000000"/>
                <w:sz w:val="20"/>
                <w:szCs w:val="14"/>
              </w:rPr>
              <w:t>9.9</w:t>
            </w:r>
          </w:p>
        </w:tc>
        <w:tc>
          <w:tcPr>
            <w:tcW w:w="711" w:type="dxa"/>
          </w:tcPr>
          <w:p w:rsidR="00271FFA" w:rsidRPr="004A2BE3" w:rsidRDefault="00271FFA" w:rsidP="00640AF6">
            <w:pPr>
              <w:autoSpaceDE w:val="0"/>
              <w:autoSpaceDN w:val="0"/>
              <w:adjustRightInd w:val="0"/>
              <w:spacing w:line="276" w:lineRule="auto"/>
              <w:jc w:val="center"/>
              <w:cnfStyle w:val="000000100000"/>
              <w:rPr>
                <w:color w:val="000000"/>
                <w:sz w:val="20"/>
                <w:szCs w:val="14"/>
              </w:rPr>
            </w:pPr>
            <w:r w:rsidRPr="004A2BE3">
              <w:rPr>
                <w:color w:val="000000"/>
                <w:sz w:val="20"/>
                <w:szCs w:val="14"/>
              </w:rPr>
              <w:t>7.7</w:t>
            </w:r>
          </w:p>
        </w:tc>
        <w:tc>
          <w:tcPr>
            <w:tcW w:w="644" w:type="dxa"/>
          </w:tcPr>
          <w:p w:rsidR="00271FFA" w:rsidRPr="004A2BE3" w:rsidRDefault="00271FFA" w:rsidP="00640AF6">
            <w:pPr>
              <w:autoSpaceDE w:val="0"/>
              <w:autoSpaceDN w:val="0"/>
              <w:adjustRightInd w:val="0"/>
              <w:spacing w:line="276" w:lineRule="auto"/>
              <w:jc w:val="center"/>
              <w:cnfStyle w:val="000000100000"/>
              <w:rPr>
                <w:color w:val="000000"/>
                <w:sz w:val="20"/>
                <w:szCs w:val="14"/>
              </w:rPr>
            </w:pPr>
            <w:r w:rsidRPr="004A2BE3">
              <w:rPr>
                <w:color w:val="000000"/>
                <w:sz w:val="20"/>
                <w:szCs w:val="14"/>
              </w:rPr>
              <w:t>1.6</w:t>
            </w:r>
          </w:p>
        </w:tc>
        <w:tc>
          <w:tcPr>
            <w:tcW w:w="711" w:type="dxa"/>
          </w:tcPr>
          <w:p w:rsidR="00271FFA" w:rsidRPr="004A2BE3" w:rsidRDefault="00271FFA" w:rsidP="00640AF6">
            <w:pPr>
              <w:autoSpaceDE w:val="0"/>
              <w:autoSpaceDN w:val="0"/>
              <w:adjustRightInd w:val="0"/>
              <w:spacing w:line="276" w:lineRule="auto"/>
              <w:jc w:val="center"/>
              <w:cnfStyle w:val="000000100000"/>
              <w:rPr>
                <w:color w:val="000000"/>
                <w:sz w:val="20"/>
                <w:szCs w:val="14"/>
              </w:rPr>
            </w:pPr>
            <w:r w:rsidRPr="004A2BE3">
              <w:rPr>
                <w:color w:val="000000"/>
                <w:sz w:val="20"/>
                <w:szCs w:val="14"/>
              </w:rPr>
              <w:t>1.3</w:t>
            </w:r>
          </w:p>
        </w:tc>
        <w:tc>
          <w:tcPr>
            <w:tcW w:w="710" w:type="dxa"/>
          </w:tcPr>
          <w:p w:rsidR="00271FFA" w:rsidRPr="004A2BE3" w:rsidRDefault="00271FFA" w:rsidP="00640AF6">
            <w:pPr>
              <w:autoSpaceDE w:val="0"/>
              <w:autoSpaceDN w:val="0"/>
              <w:adjustRightInd w:val="0"/>
              <w:spacing w:line="276" w:lineRule="auto"/>
              <w:jc w:val="center"/>
              <w:cnfStyle w:val="000000100000"/>
              <w:rPr>
                <w:color w:val="000000"/>
                <w:sz w:val="20"/>
                <w:szCs w:val="14"/>
              </w:rPr>
            </w:pPr>
            <w:r w:rsidRPr="004A2BE3">
              <w:rPr>
                <w:color w:val="000000"/>
                <w:sz w:val="20"/>
                <w:szCs w:val="14"/>
              </w:rPr>
              <w:t>1.3</w:t>
            </w:r>
          </w:p>
        </w:tc>
      </w:tr>
      <w:tr w:rsidR="00271FFA" w:rsidRPr="004A2BE3" w:rsidTr="00271FFA">
        <w:trPr>
          <w:trHeight w:val="305"/>
          <w:jc w:val="center"/>
        </w:trPr>
        <w:tc>
          <w:tcPr>
            <w:cnfStyle w:val="001000000000"/>
            <w:tcW w:w="2335" w:type="dxa"/>
          </w:tcPr>
          <w:p w:rsidR="00271FFA" w:rsidRPr="004A2BE3" w:rsidRDefault="00271FFA" w:rsidP="004A2BE3">
            <w:pPr>
              <w:autoSpaceDE w:val="0"/>
              <w:autoSpaceDN w:val="0"/>
              <w:adjustRightInd w:val="0"/>
              <w:spacing w:line="276" w:lineRule="auto"/>
              <w:jc w:val="right"/>
              <w:rPr>
                <w:b w:val="0"/>
                <w:color w:val="000000"/>
                <w:sz w:val="20"/>
                <w:szCs w:val="14"/>
              </w:rPr>
            </w:pPr>
            <w:proofErr w:type="spellStart"/>
            <w:r w:rsidRPr="004A2BE3">
              <w:rPr>
                <w:b w:val="0"/>
                <w:color w:val="000000"/>
                <w:sz w:val="20"/>
                <w:szCs w:val="14"/>
              </w:rPr>
              <w:t>Import</w:t>
            </w:r>
            <w:proofErr w:type="spellEnd"/>
            <w:r w:rsidRPr="004A2BE3">
              <w:rPr>
                <w:b w:val="0"/>
                <w:color w:val="000000"/>
                <w:sz w:val="20"/>
                <w:szCs w:val="14"/>
              </w:rPr>
              <w:t xml:space="preserve"> </w:t>
            </w:r>
            <w:proofErr w:type="spellStart"/>
            <w:r w:rsidRPr="004A2BE3">
              <w:rPr>
                <w:b w:val="0"/>
                <w:color w:val="000000"/>
                <w:sz w:val="20"/>
                <w:szCs w:val="14"/>
              </w:rPr>
              <w:t>taxes</w:t>
            </w:r>
            <w:proofErr w:type="spellEnd"/>
          </w:p>
        </w:tc>
        <w:tc>
          <w:tcPr>
            <w:tcW w:w="900" w:type="dxa"/>
          </w:tcPr>
          <w:p w:rsidR="00271FFA" w:rsidRPr="004A2BE3" w:rsidRDefault="00271FFA" w:rsidP="00640AF6">
            <w:pPr>
              <w:autoSpaceDE w:val="0"/>
              <w:autoSpaceDN w:val="0"/>
              <w:adjustRightInd w:val="0"/>
              <w:spacing w:line="276" w:lineRule="auto"/>
              <w:jc w:val="center"/>
              <w:cnfStyle w:val="000000000000"/>
              <w:rPr>
                <w:color w:val="000000"/>
                <w:sz w:val="20"/>
                <w:szCs w:val="14"/>
              </w:rPr>
            </w:pPr>
            <w:r w:rsidRPr="004A2BE3">
              <w:rPr>
                <w:color w:val="000000"/>
                <w:sz w:val="20"/>
                <w:szCs w:val="14"/>
              </w:rPr>
              <w:t>3,143</w:t>
            </w:r>
          </w:p>
        </w:tc>
        <w:tc>
          <w:tcPr>
            <w:tcW w:w="963" w:type="dxa"/>
          </w:tcPr>
          <w:p w:rsidR="00271FFA" w:rsidRPr="004A2BE3" w:rsidRDefault="00271FFA" w:rsidP="00640AF6">
            <w:pPr>
              <w:autoSpaceDE w:val="0"/>
              <w:autoSpaceDN w:val="0"/>
              <w:adjustRightInd w:val="0"/>
              <w:spacing w:line="276" w:lineRule="auto"/>
              <w:jc w:val="center"/>
              <w:cnfStyle w:val="000000000000"/>
              <w:rPr>
                <w:color w:val="000000"/>
                <w:sz w:val="20"/>
                <w:szCs w:val="14"/>
              </w:rPr>
            </w:pPr>
            <w:r w:rsidRPr="004A2BE3">
              <w:rPr>
                <w:color w:val="000000"/>
                <w:sz w:val="20"/>
                <w:szCs w:val="14"/>
              </w:rPr>
              <w:t>2,847</w:t>
            </w:r>
          </w:p>
        </w:tc>
        <w:tc>
          <w:tcPr>
            <w:tcW w:w="835" w:type="dxa"/>
          </w:tcPr>
          <w:p w:rsidR="00271FFA" w:rsidRPr="004A2BE3" w:rsidRDefault="00271FFA" w:rsidP="00640AF6">
            <w:pPr>
              <w:autoSpaceDE w:val="0"/>
              <w:autoSpaceDN w:val="0"/>
              <w:adjustRightInd w:val="0"/>
              <w:spacing w:line="276" w:lineRule="auto"/>
              <w:jc w:val="center"/>
              <w:cnfStyle w:val="000000000000"/>
              <w:rPr>
                <w:color w:val="000000"/>
                <w:sz w:val="20"/>
                <w:szCs w:val="14"/>
              </w:rPr>
            </w:pPr>
            <w:r w:rsidRPr="004A2BE3">
              <w:rPr>
                <w:color w:val="000000"/>
                <w:sz w:val="20"/>
                <w:szCs w:val="14"/>
              </w:rPr>
              <w:t>2,198</w:t>
            </w:r>
          </w:p>
        </w:tc>
        <w:tc>
          <w:tcPr>
            <w:tcW w:w="710" w:type="dxa"/>
          </w:tcPr>
          <w:p w:rsidR="00271FFA" w:rsidRPr="004A2BE3" w:rsidRDefault="00271FFA" w:rsidP="00640AF6">
            <w:pPr>
              <w:autoSpaceDE w:val="0"/>
              <w:autoSpaceDN w:val="0"/>
              <w:adjustRightInd w:val="0"/>
              <w:spacing w:line="276" w:lineRule="auto"/>
              <w:jc w:val="center"/>
              <w:cnfStyle w:val="000000000000"/>
              <w:rPr>
                <w:color w:val="000000"/>
                <w:sz w:val="20"/>
                <w:szCs w:val="14"/>
              </w:rPr>
            </w:pPr>
            <w:r w:rsidRPr="004A2BE3">
              <w:rPr>
                <w:color w:val="000000"/>
                <w:sz w:val="20"/>
                <w:szCs w:val="14"/>
              </w:rPr>
              <w:t>7.7</w:t>
            </w:r>
          </w:p>
        </w:tc>
        <w:tc>
          <w:tcPr>
            <w:tcW w:w="711" w:type="dxa"/>
          </w:tcPr>
          <w:p w:rsidR="00271FFA" w:rsidRPr="004A2BE3" w:rsidRDefault="00271FFA" w:rsidP="00640AF6">
            <w:pPr>
              <w:autoSpaceDE w:val="0"/>
              <w:autoSpaceDN w:val="0"/>
              <w:adjustRightInd w:val="0"/>
              <w:spacing w:line="276" w:lineRule="auto"/>
              <w:jc w:val="center"/>
              <w:cnfStyle w:val="000000000000"/>
              <w:rPr>
                <w:color w:val="000000"/>
                <w:sz w:val="20"/>
                <w:szCs w:val="14"/>
              </w:rPr>
            </w:pPr>
            <w:r w:rsidRPr="004A2BE3">
              <w:rPr>
                <w:color w:val="000000"/>
                <w:sz w:val="20"/>
                <w:szCs w:val="14"/>
              </w:rPr>
              <w:t>5.4</w:t>
            </w:r>
          </w:p>
        </w:tc>
        <w:tc>
          <w:tcPr>
            <w:tcW w:w="644" w:type="dxa"/>
          </w:tcPr>
          <w:p w:rsidR="00271FFA" w:rsidRPr="004A2BE3" w:rsidRDefault="00271FFA" w:rsidP="00640AF6">
            <w:pPr>
              <w:autoSpaceDE w:val="0"/>
              <w:autoSpaceDN w:val="0"/>
              <w:adjustRightInd w:val="0"/>
              <w:spacing w:line="276" w:lineRule="auto"/>
              <w:jc w:val="center"/>
              <w:cnfStyle w:val="000000000000"/>
              <w:rPr>
                <w:color w:val="000000"/>
                <w:sz w:val="20"/>
                <w:szCs w:val="14"/>
              </w:rPr>
            </w:pPr>
            <w:r w:rsidRPr="004A2BE3">
              <w:rPr>
                <w:color w:val="000000"/>
                <w:sz w:val="20"/>
                <w:szCs w:val="14"/>
              </w:rPr>
              <w:t>1.2</w:t>
            </w:r>
          </w:p>
        </w:tc>
        <w:tc>
          <w:tcPr>
            <w:tcW w:w="711" w:type="dxa"/>
          </w:tcPr>
          <w:p w:rsidR="00271FFA" w:rsidRPr="004A2BE3" w:rsidRDefault="00271FFA" w:rsidP="00640AF6">
            <w:pPr>
              <w:autoSpaceDE w:val="0"/>
              <w:autoSpaceDN w:val="0"/>
              <w:adjustRightInd w:val="0"/>
              <w:spacing w:line="276" w:lineRule="auto"/>
              <w:jc w:val="center"/>
              <w:cnfStyle w:val="000000000000"/>
              <w:rPr>
                <w:color w:val="000000"/>
                <w:sz w:val="20"/>
                <w:szCs w:val="14"/>
              </w:rPr>
            </w:pPr>
            <w:r w:rsidRPr="004A2BE3">
              <w:rPr>
                <w:color w:val="000000"/>
                <w:sz w:val="20"/>
                <w:szCs w:val="14"/>
              </w:rPr>
              <w:t>0.9</w:t>
            </w:r>
          </w:p>
        </w:tc>
        <w:tc>
          <w:tcPr>
            <w:tcW w:w="710" w:type="dxa"/>
          </w:tcPr>
          <w:p w:rsidR="00271FFA" w:rsidRPr="004A2BE3" w:rsidRDefault="00271FFA" w:rsidP="00640AF6">
            <w:pPr>
              <w:autoSpaceDE w:val="0"/>
              <w:autoSpaceDN w:val="0"/>
              <w:adjustRightInd w:val="0"/>
              <w:spacing w:line="276" w:lineRule="auto"/>
              <w:jc w:val="center"/>
              <w:cnfStyle w:val="000000000000"/>
              <w:rPr>
                <w:color w:val="000000"/>
                <w:sz w:val="20"/>
                <w:szCs w:val="14"/>
              </w:rPr>
            </w:pPr>
            <w:r w:rsidRPr="004A2BE3">
              <w:rPr>
                <w:color w:val="000000"/>
                <w:sz w:val="20"/>
                <w:szCs w:val="14"/>
              </w:rPr>
              <w:t>0.6</w:t>
            </w:r>
          </w:p>
        </w:tc>
      </w:tr>
      <w:tr w:rsidR="00271FFA" w:rsidRPr="004A2BE3" w:rsidTr="00271FFA">
        <w:trPr>
          <w:cnfStyle w:val="000000100000"/>
          <w:trHeight w:val="305"/>
          <w:jc w:val="center"/>
        </w:trPr>
        <w:tc>
          <w:tcPr>
            <w:cnfStyle w:val="001000000000"/>
            <w:tcW w:w="2335" w:type="dxa"/>
          </w:tcPr>
          <w:p w:rsidR="00271FFA" w:rsidRPr="004A2BE3" w:rsidRDefault="00271FFA" w:rsidP="004A2BE3">
            <w:pPr>
              <w:autoSpaceDE w:val="0"/>
              <w:autoSpaceDN w:val="0"/>
              <w:adjustRightInd w:val="0"/>
              <w:spacing w:line="276" w:lineRule="auto"/>
              <w:jc w:val="right"/>
              <w:rPr>
                <w:b w:val="0"/>
                <w:color w:val="000000"/>
                <w:sz w:val="20"/>
                <w:szCs w:val="14"/>
              </w:rPr>
            </w:pPr>
            <w:proofErr w:type="spellStart"/>
            <w:r w:rsidRPr="004A2BE3">
              <w:rPr>
                <w:b w:val="0"/>
                <w:color w:val="000000"/>
                <w:sz w:val="20"/>
                <w:szCs w:val="14"/>
              </w:rPr>
              <w:t>Other</w:t>
            </w:r>
            <w:proofErr w:type="spellEnd"/>
            <w:r w:rsidR="004A2BE3" w:rsidRPr="004A2BE3">
              <w:rPr>
                <w:b w:val="0"/>
                <w:color w:val="000000"/>
                <w:sz w:val="20"/>
                <w:szCs w:val="14"/>
              </w:rPr>
              <w:t xml:space="preserve"> </w:t>
            </w:r>
            <w:proofErr w:type="spellStart"/>
            <w:r w:rsidR="004A2BE3" w:rsidRPr="004A2BE3">
              <w:rPr>
                <w:b w:val="0"/>
                <w:color w:val="000000"/>
                <w:sz w:val="20"/>
                <w:szCs w:val="14"/>
              </w:rPr>
              <w:t>tax</w:t>
            </w:r>
            <w:proofErr w:type="spellEnd"/>
            <w:r w:rsidRPr="004A2BE3">
              <w:rPr>
                <w:b w:val="0"/>
                <w:color w:val="000000"/>
                <w:sz w:val="20"/>
                <w:szCs w:val="14"/>
              </w:rPr>
              <w:t xml:space="preserve"> </w:t>
            </w:r>
            <w:proofErr w:type="spellStart"/>
            <w:r w:rsidRPr="004A2BE3">
              <w:rPr>
                <w:b w:val="0"/>
                <w:color w:val="000000"/>
                <w:sz w:val="20"/>
                <w:szCs w:val="14"/>
              </w:rPr>
              <w:t>revenues</w:t>
            </w:r>
            <w:proofErr w:type="spellEnd"/>
          </w:p>
        </w:tc>
        <w:tc>
          <w:tcPr>
            <w:tcW w:w="900" w:type="dxa"/>
          </w:tcPr>
          <w:p w:rsidR="00271FFA" w:rsidRPr="004A2BE3" w:rsidRDefault="00271FFA" w:rsidP="00640AF6">
            <w:pPr>
              <w:autoSpaceDE w:val="0"/>
              <w:autoSpaceDN w:val="0"/>
              <w:adjustRightInd w:val="0"/>
              <w:spacing w:line="276" w:lineRule="auto"/>
              <w:jc w:val="center"/>
              <w:cnfStyle w:val="000000100000"/>
              <w:rPr>
                <w:color w:val="000000"/>
                <w:sz w:val="20"/>
                <w:szCs w:val="14"/>
              </w:rPr>
            </w:pPr>
            <w:r w:rsidRPr="004A2BE3">
              <w:rPr>
                <w:color w:val="000000"/>
                <w:sz w:val="20"/>
                <w:szCs w:val="14"/>
              </w:rPr>
              <w:t>2,980</w:t>
            </w:r>
          </w:p>
        </w:tc>
        <w:tc>
          <w:tcPr>
            <w:tcW w:w="963" w:type="dxa"/>
          </w:tcPr>
          <w:p w:rsidR="00271FFA" w:rsidRPr="004A2BE3" w:rsidRDefault="00271FFA" w:rsidP="00640AF6">
            <w:pPr>
              <w:autoSpaceDE w:val="0"/>
              <w:autoSpaceDN w:val="0"/>
              <w:adjustRightInd w:val="0"/>
              <w:spacing w:line="276" w:lineRule="auto"/>
              <w:jc w:val="center"/>
              <w:cnfStyle w:val="000000100000"/>
              <w:rPr>
                <w:color w:val="000000"/>
                <w:sz w:val="20"/>
                <w:szCs w:val="14"/>
              </w:rPr>
            </w:pPr>
            <w:r w:rsidRPr="004A2BE3">
              <w:rPr>
                <w:color w:val="000000"/>
                <w:sz w:val="20"/>
                <w:szCs w:val="14"/>
              </w:rPr>
              <w:t>3,369</w:t>
            </w:r>
          </w:p>
        </w:tc>
        <w:tc>
          <w:tcPr>
            <w:tcW w:w="835" w:type="dxa"/>
          </w:tcPr>
          <w:p w:rsidR="00271FFA" w:rsidRPr="004A2BE3" w:rsidRDefault="00271FFA" w:rsidP="00640AF6">
            <w:pPr>
              <w:autoSpaceDE w:val="0"/>
              <w:autoSpaceDN w:val="0"/>
              <w:adjustRightInd w:val="0"/>
              <w:spacing w:line="276" w:lineRule="auto"/>
              <w:jc w:val="center"/>
              <w:cnfStyle w:val="000000100000"/>
              <w:rPr>
                <w:color w:val="000000"/>
                <w:sz w:val="20"/>
                <w:szCs w:val="14"/>
              </w:rPr>
            </w:pPr>
            <w:r w:rsidRPr="004A2BE3">
              <w:rPr>
                <w:color w:val="000000"/>
                <w:sz w:val="20"/>
                <w:szCs w:val="14"/>
              </w:rPr>
              <w:t>3,848</w:t>
            </w:r>
          </w:p>
        </w:tc>
        <w:tc>
          <w:tcPr>
            <w:tcW w:w="710" w:type="dxa"/>
          </w:tcPr>
          <w:p w:rsidR="00271FFA" w:rsidRPr="004A2BE3" w:rsidRDefault="00271FFA" w:rsidP="00640AF6">
            <w:pPr>
              <w:autoSpaceDE w:val="0"/>
              <w:autoSpaceDN w:val="0"/>
              <w:adjustRightInd w:val="0"/>
              <w:spacing w:line="276" w:lineRule="auto"/>
              <w:jc w:val="center"/>
              <w:cnfStyle w:val="000000100000"/>
              <w:rPr>
                <w:color w:val="000000"/>
                <w:sz w:val="20"/>
                <w:szCs w:val="14"/>
              </w:rPr>
            </w:pPr>
            <w:r w:rsidRPr="004A2BE3">
              <w:rPr>
                <w:color w:val="000000"/>
                <w:sz w:val="20"/>
                <w:szCs w:val="14"/>
              </w:rPr>
              <w:t>7.3</w:t>
            </w:r>
          </w:p>
        </w:tc>
        <w:tc>
          <w:tcPr>
            <w:tcW w:w="711" w:type="dxa"/>
          </w:tcPr>
          <w:p w:rsidR="00271FFA" w:rsidRPr="004A2BE3" w:rsidRDefault="00271FFA" w:rsidP="00640AF6">
            <w:pPr>
              <w:autoSpaceDE w:val="0"/>
              <w:autoSpaceDN w:val="0"/>
              <w:adjustRightInd w:val="0"/>
              <w:spacing w:line="276" w:lineRule="auto"/>
              <w:jc w:val="center"/>
              <w:cnfStyle w:val="000000100000"/>
              <w:rPr>
                <w:color w:val="000000"/>
                <w:sz w:val="20"/>
                <w:szCs w:val="14"/>
              </w:rPr>
            </w:pPr>
            <w:r w:rsidRPr="004A2BE3">
              <w:rPr>
                <w:color w:val="000000"/>
                <w:sz w:val="20"/>
                <w:szCs w:val="14"/>
              </w:rPr>
              <w:t>6.4</w:t>
            </w:r>
          </w:p>
        </w:tc>
        <w:tc>
          <w:tcPr>
            <w:tcW w:w="644" w:type="dxa"/>
          </w:tcPr>
          <w:p w:rsidR="00271FFA" w:rsidRPr="004A2BE3" w:rsidRDefault="00271FFA" w:rsidP="00640AF6">
            <w:pPr>
              <w:autoSpaceDE w:val="0"/>
              <w:autoSpaceDN w:val="0"/>
              <w:adjustRightInd w:val="0"/>
              <w:spacing w:line="276" w:lineRule="auto"/>
              <w:jc w:val="center"/>
              <w:cnfStyle w:val="000000100000"/>
              <w:rPr>
                <w:color w:val="000000"/>
                <w:sz w:val="20"/>
                <w:szCs w:val="14"/>
              </w:rPr>
            </w:pPr>
            <w:r w:rsidRPr="004A2BE3">
              <w:rPr>
                <w:color w:val="000000"/>
                <w:sz w:val="20"/>
                <w:szCs w:val="14"/>
              </w:rPr>
              <w:t>1.1</w:t>
            </w:r>
          </w:p>
        </w:tc>
        <w:tc>
          <w:tcPr>
            <w:tcW w:w="711" w:type="dxa"/>
          </w:tcPr>
          <w:p w:rsidR="00271FFA" w:rsidRPr="004A2BE3" w:rsidRDefault="00271FFA" w:rsidP="00640AF6">
            <w:pPr>
              <w:autoSpaceDE w:val="0"/>
              <w:autoSpaceDN w:val="0"/>
              <w:adjustRightInd w:val="0"/>
              <w:spacing w:line="276" w:lineRule="auto"/>
              <w:jc w:val="center"/>
              <w:cnfStyle w:val="000000100000"/>
              <w:rPr>
                <w:color w:val="000000"/>
                <w:sz w:val="20"/>
                <w:szCs w:val="14"/>
              </w:rPr>
            </w:pPr>
            <w:r w:rsidRPr="004A2BE3">
              <w:rPr>
                <w:color w:val="000000"/>
                <w:sz w:val="20"/>
                <w:szCs w:val="14"/>
              </w:rPr>
              <w:t>1.1</w:t>
            </w:r>
          </w:p>
        </w:tc>
        <w:tc>
          <w:tcPr>
            <w:tcW w:w="710" w:type="dxa"/>
          </w:tcPr>
          <w:p w:rsidR="00271FFA" w:rsidRPr="004A2BE3" w:rsidRDefault="00271FFA" w:rsidP="00640AF6">
            <w:pPr>
              <w:autoSpaceDE w:val="0"/>
              <w:autoSpaceDN w:val="0"/>
              <w:adjustRightInd w:val="0"/>
              <w:spacing w:line="276" w:lineRule="auto"/>
              <w:jc w:val="center"/>
              <w:cnfStyle w:val="000000100000"/>
              <w:rPr>
                <w:color w:val="000000"/>
                <w:sz w:val="20"/>
                <w:szCs w:val="14"/>
              </w:rPr>
            </w:pPr>
            <w:r w:rsidRPr="004A2BE3">
              <w:rPr>
                <w:color w:val="000000"/>
                <w:sz w:val="20"/>
                <w:szCs w:val="14"/>
              </w:rPr>
              <w:t>1.1</w:t>
            </w:r>
          </w:p>
        </w:tc>
      </w:tr>
      <w:tr w:rsidR="00271FFA" w:rsidRPr="004A2BE3" w:rsidTr="00271FFA">
        <w:trPr>
          <w:trHeight w:val="305"/>
          <w:jc w:val="center"/>
        </w:trPr>
        <w:tc>
          <w:tcPr>
            <w:cnfStyle w:val="001000000000"/>
            <w:tcW w:w="2335" w:type="dxa"/>
          </w:tcPr>
          <w:p w:rsidR="00271FFA" w:rsidRPr="004A2BE3" w:rsidRDefault="004A2BE3" w:rsidP="004A2BE3">
            <w:pPr>
              <w:autoSpaceDE w:val="0"/>
              <w:autoSpaceDN w:val="0"/>
              <w:adjustRightInd w:val="0"/>
              <w:spacing w:line="276" w:lineRule="auto"/>
              <w:jc w:val="right"/>
              <w:rPr>
                <w:b w:val="0"/>
                <w:color w:val="000000"/>
                <w:sz w:val="20"/>
                <w:szCs w:val="14"/>
              </w:rPr>
            </w:pPr>
            <w:proofErr w:type="spellStart"/>
            <w:r w:rsidRPr="004A2BE3">
              <w:rPr>
                <w:b w:val="0"/>
                <w:color w:val="000000"/>
                <w:sz w:val="20"/>
                <w:szCs w:val="14"/>
              </w:rPr>
              <w:t>Tax</w:t>
            </w:r>
            <w:proofErr w:type="spellEnd"/>
            <w:r w:rsidRPr="004A2BE3">
              <w:rPr>
                <w:b w:val="0"/>
                <w:color w:val="000000"/>
                <w:sz w:val="20"/>
                <w:szCs w:val="14"/>
              </w:rPr>
              <w:t xml:space="preserve"> </w:t>
            </w:r>
            <w:proofErr w:type="spellStart"/>
            <w:r w:rsidRPr="004A2BE3">
              <w:rPr>
                <w:b w:val="0"/>
                <w:color w:val="000000"/>
                <w:sz w:val="20"/>
                <w:szCs w:val="14"/>
              </w:rPr>
              <w:t>refund</w:t>
            </w:r>
            <w:proofErr w:type="spellEnd"/>
          </w:p>
        </w:tc>
        <w:tc>
          <w:tcPr>
            <w:tcW w:w="900" w:type="dxa"/>
          </w:tcPr>
          <w:p w:rsidR="00271FFA" w:rsidRPr="004A2BE3" w:rsidRDefault="00271FFA" w:rsidP="00640AF6">
            <w:pPr>
              <w:autoSpaceDE w:val="0"/>
              <w:autoSpaceDN w:val="0"/>
              <w:adjustRightInd w:val="0"/>
              <w:spacing w:line="276" w:lineRule="auto"/>
              <w:jc w:val="center"/>
              <w:cnfStyle w:val="000000000000"/>
              <w:rPr>
                <w:color w:val="000000"/>
                <w:sz w:val="20"/>
                <w:szCs w:val="14"/>
              </w:rPr>
            </w:pPr>
            <w:r w:rsidRPr="004A2BE3">
              <w:rPr>
                <w:color w:val="000000"/>
                <w:sz w:val="20"/>
                <w:szCs w:val="14"/>
              </w:rPr>
              <w:t>-4,090</w:t>
            </w:r>
          </w:p>
        </w:tc>
        <w:tc>
          <w:tcPr>
            <w:tcW w:w="963" w:type="dxa"/>
          </w:tcPr>
          <w:p w:rsidR="00271FFA" w:rsidRPr="004A2BE3" w:rsidRDefault="00271FFA" w:rsidP="00640AF6">
            <w:pPr>
              <w:autoSpaceDE w:val="0"/>
              <w:autoSpaceDN w:val="0"/>
              <w:adjustRightInd w:val="0"/>
              <w:spacing w:line="276" w:lineRule="auto"/>
              <w:jc w:val="center"/>
              <w:cnfStyle w:val="000000000000"/>
              <w:rPr>
                <w:color w:val="000000"/>
                <w:sz w:val="20"/>
                <w:szCs w:val="14"/>
              </w:rPr>
            </w:pPr>
            <w:r w:rsidRPr="004A2BE3">
              <w:rPr>
                <w:color w:val="000000"/>
                <w:sz w:val="20"/>
                <w:szCs w:val="14"/>
              </w:rPr>
              <w:t>-4,704</w:t>
            </w:r>
          </w:p>
        </w:tc>
        <w:tc>
          <w:tcPr>
            <w:tcW w:w="835" w:type="dxa"/>
          </w:tcPr>
          <w:p w:rsidR="00271FFA" w:rsidRPr="004A2BE3" w:rsidRDefault="00271FFA" w:rsidP="00640AF6">
            <w:pPr>
              <w:autoSpaceDE w:val="0"/>
              <w:autoSpaceDN w:val="0"/>
              <w:adjustRightInd w:val="0"/>
              <w:spacing w:line="276" w:lineRule="auto"/>
              <w:jc w:val="center"/>
              <w:cnfStyle w:val="000000000000"/>
              <w:rPr>
                <w:color w:val="000000"/>
                <w:sz w:val="20"/>
                <w:szCs w:val="14"/>
              </w:rPr>
            </w:pPr>
            <w:r w:rsidRPr="004A2BE3">
              <w:rPr>
                <w:color w:val="000000"/>
                <w:sz w:val="20"/>
                <w:szCs w:val="14"/>
              </w:rPr>
              <w:t>-5,989</w:t>
            </w:r>
          </w:p>
        </w:tc>
        <w:tc>
          <w:tcPr>
            <w:tcW w:w="710" w:type="dxa"/>
          </w:tcPr>
          <w:p w:rsidR="00271FFA" w:rsidRPr="004A2BE3" w:rsidRDefault="00271FFA" w:rsidP="00640AF6">
            <w:pPr>
              <w:autoSpaceDE w:val="0"/>
              <w:autoSpaceDN w:val="0"/>
              <w:adjustRightInd w:val="0"/>
              <w:spacing w:line="276" w:lineRule="auto"/>
              <w:jc w:val="center"/>
              <w:cnfStyle w:val="000000000000"/>
              <w:rPr>
                <w:color w:val="000000"/>
                <w:sz w:val="20"/>
                <w:szCs w:val="14"/>
              </w:rPr>
            </w:pPr>
            <w:r w:rsidRPr="004A2BE3">
              <w:rPr>
                <w:color w:val="000000"/>
                <w:sz w:val="20"/>
                <w:szCs w:val="14"/>
              </w:rPr>
              <w:t>(10.0)</w:t>
            </w:r>
          </w:p>
        </w:tc>
        <w:tc>
          <w:tcPr>
            <w:tcW w:w="711" w:type="dxa"/>
          </w:tcPr>
          <w:p w:rsidR="00271FFA" w:rsidRPr="004A2BE3" w:rsidRDefault="00271FFA" w:rsidP="00640AF6">
            <w:pPr>
              <w:autoSpaceDE w:val="0"/>
              <w:autoSpaceDN w:val="0"/>
              <w:adjustRightInd w:val="0"/>
              <w:spacing w:line="276" w:lineRule="auto"/>
              <w:jc w:val="center"/>
              <w:cnfStyle w:val="000000000000"/>
              <w:rPr>
                <w:color w:val="000000"/>
                <w:sz w:val="20"/>
                <w:szCs w:val="14"/>
              </w:rPr>
            </w:pPr>
            <w:r w:rsidRPr="004A2BE3">
              <w:rPr>
                <w:color w:val="000000"/>
                <w:sz w:val="20"/>
                <w:szCs w:val="14"/>
              </w:rPr>
              <w:t>(8.9)</w:t>
            </w:r>
          </w:p>
        </w:tc>
        <w:tc>
          <w:tcPr>
            <w:tcW w:w="644" w:type="dxa"/>
          </w:tcPr>
          <w:p w:rsidR="00271FFA" w:rsidRPr="004A2BE3" w:rsidRDefault="00271FFA" w:rsidP="00640AF6">
            <w:pPr>
              <w:autoSpaceDE w:val="0"/>
              <w:autoSpaceDN w:val="0"/>
              <w:adjustRightInd w:val="0"/>
              <w:spacing w:line="276" w:lineRule="auto"/>
              <w:jc w:val="center"/>
              <w:cnfStyle w:val="000000000000"/>
              <w:rPr>
                <w:color w:val="000000"/>
                <w:sz w:val="20"/>
                <w:szCs w:val="14"/>
              </w:rPr>
            </w:pPr>
            <w:r w:rsidRPr="004A2BE3">
              <w:rPr>
                <w:color w:val="000000"/>
                <w:sz w:val="20"/>
                <w:szCs w:val="14"/>
              </w:rPr>
              <w:t>(1.6)</w:t>
            </w:r>
          </w:p>
        </w:tc>
        <w:tc>
          <w:tcPr>
            <w:tcW w:w="711" w:type="dxa"/>
          </w:tcPr>
          <w:p w:rsidR="00271FFA" w:rsidRPr="004A2BE3" w:rsidRDefault="00271FFA" w:rsidP="00640AF6">
            <w:pPr>
              <w:autoSpaceDE w:val="0"/>
              <w:autoSpaceDN w:val="0"/>
              <w:adjustRightInd w:val="0"/>
              <w:spacing w:line="276" w:lineRule="auto"/>
              <w:jc w:val="center"/>
              <w:cnfStyle w:val="000000000000"/>
              <w:rPr>
                <w:color w:val="000000"/>
                <w:sz w:val="20"/>
                <w:szCs w:val="14"/>
              </w:rPr>
            </w:pPr>
            <w:r w:rsidRPr="004A2BE3">
              <w:rPr>
                <w:color w:val="000000"/>
                <w:sz w:val="20"/>
                <w:szCs w:val="14"/>
              </w:rPr>
              <w:t>(1.5)</w:t>
            </w:r>
          </w:p>
        </w:tc>
        <w:tc>
          <w:tcPr>
            <w:tcW w:w="710" w:type="dxa"/>
          </w:tcPr>
          <w:p w:rsidR="00271FFA" w:rsidRPr="004A2BE3" w:rsidRDefault="00271FFA" w:rsidP="00640AF6">
            <w:pPr>
              <w:autoSpaceDE w:val="0"/>
              <w:autoSpaceDN w:val="0"/>
              <w:adjustRightInd w:val="0"/>
              <w:spacing w:line="276" w:lineRule="auto"/>
              <w:jc w:val="center"/>
              <w:cnfStyle w:val="000000000000"/>
              <w:rPr>
                <w:color w:val="000000"/>
                <w:sz w:val="20"/>
                <w:szCs w:val="14"/>
              </w:rPr>
            </w:pPr>
            <w:r w:rsidRPr="004A2BE3">
              <w:rPr>
                <w:color w:val="000000"/>
                <w:sz w:val="20"/>
                <w:szCs w:val="14"/>
              </w:rPr>
              <w:t>(1.8)</w:t>
            </w:r>
          </w:p>
        </w:tc>
      </w:tr>
      <w:tr w:rsidR="00271FFA" w:rsidRPr="004A2BE3" w:rsidTr="00271FFA">
        <w:trPr>
          <w:cnfStyle w:val="000000100000"/>
          <w:trHeight w:val="305"/>
          <w:jc w:val="center"/>
        </w:trPr>
        <w:tc>
          <w:tcPr>
            <w:cnfStyle w:val="001000000000"/>
            <w:tcW w:w="2335" w:type="dxa"/>
          </w:tcPr>
          <w:p w:rsidR="00271FFA" w:rsidRPr="004A2BE3" w:rsidRDefault="00626495" w:rsidP="00640AF6">
            <w:pPr>
              <w:autoSpaceDE w:val="0"/>
              <w:autoSpaceDN w:val="0"/>
              <w:adjustRightInd w:val="0"/>
              <w:spacing w:line="276" w:lineRule="auto"/>
              <w:rPr>
                <w:bCs w:val="0"/>
                <w:i/>
                <w:color w:val="000000"/>
              </w:rPr>
            </w:pPr>
            <w:r w:rsidRPr="004A2BE3">
              <w:rPr>
                <w:bCs w:val="0"/>
                <w:i/>
                <w:color w:val="000000"/>
              </w:rPr>
              <w:t>Non-</w:t>
            </w:r>
            <w:proofErr w:type="spellStart"/>
            <w:r w:rsidRPr="004A2BE3">
              <w:rPr>
                <w:bCs w:val="0"/>
                <w:i/>
                <w:color w:val="000000"/>
              </w:rPr>
              <w:t>tax</w:t>
            </w:r>
            <w:proofErr w:type="spellEnd"/>
            <w:r w:rsidRPr="004A2BE3">
              <w:rPr>
                <w:bCs w:val="0"/>
                <w:i/>
                <w:color w:val="000000"/>
              </w:rPr>
              <w:t xml:space="preserve"> </w:t>
            </w:r>
            <w:proofErr w:type="spellStart"/>
            <w:r w:rsidR="004A2BE3" w:rsidRPr="004A2BE3">
              <w:rPr>
                <w:bCs w:val="0"/>
                <w:i/>
                <w:color w:val="000000"/>
              </w:rPr>
              <w:t>R</w:t>
            </w:r>
            <w:r w:rsidRPr="004A2BE3">
              <w:rPr>
                <w:bCs w:val="0"/>
                <w:i/>
                <w:color w:val="000000"/>
              </w:rPr>
              <w:t>evenues</w:t>
            </w:r>
            <w:proofErr w:type="spellEnd"/>
          </w:p>
        </w:tc>
        <w:tc>
          <w:tcPr>
            <w:tcW w:w="900" w:type="dxa"/>
          </w:tcPr>
          <w:p w:rsidR="00271FFA" w:rsidRPr="004A2BE3" w:rsidRDefault="00271FFA" w:rsidP="00640AF6">
            <w:pPr>
              <w:autoSpaceDE w:val="0"/>
              <w:autoSpaceDN w:val="0"/>
              <w:adjustRightInd w:val="0"/>
              <w:spacing w:line="276" w:lineRule="auto"/>
              <w:jc w:val="center"/>
              <w:cnfStyle w:val="000000100000"/>
              <w:rPr>
                <w:b/>
                <w:bCs/>
                <w:i/>
                <w:color w:val="000000"/>
              </w:rPr>
            </w:pPr>
            <w:r w:rsidRPr="004A2BE3">
              <w:rPr>
                <w:b/>
                <w:bCs/>
                <w:i/>
                <w:color w:val="000000"/>
              </w:rPr>
              <w:t>5,458</w:t>
            </w:r>
          </w:p>
        </w:tc>
        <w:tc>
          <w:tcPr>
            <w:tcW w:w="963" w:type="dxa"/>
          </w:tcPr>
          <w:p w:rsidR="00271FFA" w:rsidRPr="004A2BE3" w:rsidRDefault="00271FFA" w:rsidP="00640AF6">
            <w:pPr>
              <w:autoSpaceDE w:val="0"/>
              <w:autoSpaceDN w:val="0"/>
              <w:adjustRightInd w:val="0"/>
              <w:spacing w:line="276" w:lineRule="auto"/>
              <w:jc w:val="center"/>
              <w:cnfStyle w:val="000000100000"/>
              <w:rPr>
                <w:b/>
                <w:bCs/>
                <w:i/>
                <w:color w:val="000000"/>
              </w:rPr>
            </w:pPr>
            <w:r w:rsidRPr="004A2BE3">
              <w:rPr>
                <w:b/>
                <w:bCs/>
                <w:i/>
                <w:color w:val="000000"/>
              </w:rPr>
              <w:t>7,229</w:t>
            </w:r>
          </w:p>
        </w:tc>
        <w:tc>
          <w:tcPr>
            <w:tcW w:w="835" w:type="dxa"/>
          </w:tcPr>
          <w:p w:rsidR="00271FFA" w:rsidRPr="004A2BE3" w:rsidRDefault="00271FFA" w:rsidP="00640AF6">
            <w:pPr>
              <w:autoSpaceDE w:val="0"/>
              <w:autoSpaceDN w:val="0"/>
              <w:adjustRightInd w:val="0"/>
              <w:spacing w:line="276" w:lineRule="auto"/>
              <w:jc w:val="center"/>
              <w:cnfStyle w:val="000000100000"/>
              <w:rPr>
                <w:b/>
                <w:bCs/>
                <w:i/>
                <w:color w:val="000000"/>
              </w:rPr>
            </w:pPr>
            <w:r w:rsidRPr="004A2BE3">
              <w:rPr>
                <w:b/>
                <w:bCs/>
                <w:i/>
                <w:color w:val="000000"/>
              </w:rPr>
              <w:t>8,659</w:t>
            </w:r>
          </w:p>
        </w:tc>
        <w:tc>
          <w:tcPr>
            <w:tcW w:w="710" w:type="dxa"/>
          </w:tcPr>
          <w:p w:rsidR="00271FFA" w:rsidRPr="004A2BE3" w:rsidRDefault="00271FFA" w:rsidP="00640AF6">
            <w:pPr>
              <w:autoSpaceDE w:val="0"/>
              <w:autoSpaceDN w:val="0"/>
              <w:adjustRightInd w:val="0"/>
              <w:spacing w:line="276" w:lineRule="auto"/>
              <w:jc w:val="center"/>
              <w:cnfStyle w:val="000000100000"/>
              <w:rPr>
                <w:b/>
                <w:bCs/>
                <w:i/>
                <w:color w:val="000000"/>
              </w:rPr>
            </w:pPr>
            <w:r w:rsidRPr="004A2BE3">
              <w:rPr>
                <w:b/>
                <w:bCs/>
                <w:i/>
                <w:color w:val="000000"/>
              </w:rPr>
              <w:t>13.3</w:t>
            </w:r>
          </w:p>
        </w:tc>
        <w:tc>
          <w:tcPr>
            <w:tcW w:w="711" w:type="dxa"/>
          </w:tcPr>
          <w:p w:rsidR="00271FFA" w:rsidRPr="004A2BE3" w:rsidRDefault="00271FFA" w:rsidP="00640AF6">
            <w:pPr>
              <w:autoSpaceDE w:val="0"/>
              <w:autoSpaceDN w:val="0"/>
              <w:adjustRightInd w:val="0"/>
              <w:spacing w:line="276" w:lineRule="auto"/>
              <w:jc w:val="center"/>
              <w:cnfStyle w:val="000000100000"/>
              <w:rPr>
                <w:b/>
                <w:bCs/>
                <w:i/>
                <w:color w:val="000000"/>
              </w:rPr>
            </w:pPr>
            <w:r w:rsidRPr="004A2BE3">
              <w:rPr>
                <w:b/>
                <w:bCs/>
                <w:i/>
                <w:color w:val="000000"/>
              </w:rPr>
              <w:t>13.7</w:t>
            </w:r>
          </w:p>
        </w:tc>
        <w:tc>
          <w:tcPr>
            <w:tcW w:w="644" w:type="dxa"/>
          </w:tcPr>
          <w:p w:rsidR="00271FFA" w:rsidRPr="004A2BE3" w:rsidRDefault="00271FFA" w:rsidP="00640AF6">
            <w:pPr>
              <w:autoSpaceDE w:val="0"/>
              <w:autoSpaceDN w:val="0"/>
              <w:adjustRightInd w:val="0"/>
              <w:spacing w:line="276" w:lineRule="auto"/>
              <w:jc w:val="center"/>
              <w:cnfStyle w:val="000000100000"/>
              <w:rPr>
                <w:b/>
                <w:bCs/>
                <w:i/>
                <w:color w:val="000000"/>
              </w:rPr>
            </w:pPr>
            <w:r w:rsidRPr="004A2BE3">
              <w:rPr>
                <w:b/>
                <w:bCs/>
                <w:i/>
                <w:color w:val="000000"/>
              </w:rPr>
              <w:t>2.1</w:t>
            </w:r>
          </w:p>
        </w:tc>
        <w:tc>
          <w:tcPr>
            <w:tcW w:w="711" w:type="dxa"/>
          </w:tcPr>
          <w:p w:rsidR="00271FFA" w:rsidRPr="004A2BE3" w:rsidRDefault="00271FFA" w:rsidP="00640AF6">
            <w:pPr>
              <w:autoSpaceDE w:val="0"/>
              <w:autoSpaceDN w:val="0"/>
              <w:adjustRightInd w:val="0"/>
              <w:spacing w:line="276" w:lineRule="auto"/>
              <w:jc w:val="center"/>
              <w:cnfStyle w:val="000000100000"/>
              <w:rPr>
                <w:b/>
                <w:bCs/>
                <w:i/>
                <w:color w:val="000000"/>
              </w:rPr>
            </w:pPr>
            <w:r w:rsidRPr="004A2BE3">
              <w:rPr>
                <w:b/>
                <w:bCs/>
                <w:i/>
                <w:color w:val="000000"/>
              </w:rPr>
              <w:t>2.4</w:t>
            </w:r>
          </w:p>
        </w:tc>
        <w:tc>
          <w:tcPr>
            <w:tcW w:w="710" w:type="dxa"/>
          </w:tcPr>
          <w:p w:rsidR="00271FFA" w:rsidRPr="004A2BE3" w:rsidRDefault="00271FFA" w:rsidP="00640AF6">
            <w:pPr>
              <w:autoSpaceDE w:val="0"/>
              <w:autoSpaceDN w:val="0"/>
              <w:adjustRightInd w:val="0"/>
              <w:spacing w:line="276" w:lineRule="auto"/>
              <w:jc w:val="center"/>
              <w:cnfStyle w:val="000000100000"/>
              <w:rPr>
                <w:b/>
                <w:bCs/>
                <w:i/>
                <w:color w:val="000000"/>
              </w:rPr>
            </w:pPr>
            <w:r w:rsidRPr="004A2BE3">
              <w:rPr>
                <w:b/>
                <w:bCs/>
                <w:i/>
                <w:color w:val="000000"/>
              </w:rPr>
              <w:t>2.5</w:t>
            </w:r>
          </w:p>
        </w:tc>
      </w:tr>
      <w:tr w:rsidR="00271FFA" w:rsidRPr="002D537F" w:rsidTr="00271FFA">
        <w:trPr>
          <w:trHeight w:val="305"/>
          <w:jc w:val="center"/>
        </w:trPr>
        <w:tc>
          <w:tcPr>
            <w:cnfStyle w:val="001000000000"/>
            <w:tcW w:w="2335" w:type="dxa"/>
          </w:tcPr>
          <w:p w:rsidR="00271FFA" w:rsidRPr="002D537F" w:rsidRDefault="00271FFA" w:rsidP="002D537F">
            <w:pPr>
              <w:autoSpaceDE w:val="0"/>
              <w:autoSpaceDN w:val="0"/>
              <w:adjustRightInd w:val="0"/>
              <w:spacing w:line="276" w:lineRule="auto"/>
              <w:rPr>
                <w:bCs w:val="0"/>
                <w:i/>
                <w:color w:val="000000"/>
              </w:rPr>
            </w:pPr>
            <w:r w:rsidRPr="002D537F">
              <w:rPr>
                <w:bCs w:val="0"/>
                <w:i/>
                <w:color w:val="000000"/>
              </w:rPr>
              <w:t>TOTAL</w:t>
            </w:r>
          </w:p>
        </w:tc>
        <w:tc>
          <w:tcPr>
            <w:tcW w:w="900" w:type="dxa"/>
          </w:tcPr>
          <w:p w:rsidR="00271FFA" w:rsidRPr="002D537F" w:rsidRDefault="00271FFA" w:rsidP="00640AF6">
            <w:pPr>
              <w:autoSpaceDE w:val="0"/>
              <w:autoSpaceDN w:val="0"/>
              <w:adjustRightInd w:val="0"/>
              <w:spacing w:line="276" w:lineRule="auto"/>
              <w:jc w:val="center"/>
              <w:cnfStyle w:val="000000000000"/>
              <w:rPr>
                <w:b/>
                <w:bCs/>
                <w:i/>
                <w:color w:val="000000"/>
              </w:rPr>
            </w:pPr>
            <w:r w:rsidRPr="002D537F">
              <w:rPr>
                <w:b/>
                <w:bCs/>
                <w:i/>
                <w:color w:val="000000"/>
              </w:rPr>
              <w:t>41,047</w:t>
            </w:r>
          </w:p>
        </w:tc>
        <w:tc>
          <w:tcPr>
            <w:tcW w:w="963" w:type="dxa"/>
          </w:tcPr>
          <w:p w:rsidR="00271FFA" w:rsidRPr="002D537F" w:rsidRDefault="00271FFA" w:rsidP="00640AF6">
            <w:pPr>
              <w:autoSpaceDE w:val="0"/>
              <w:autoSpaceDN w:val="0"/>
              <w:adjustRightInd w:val="0"/>
              <w:spacing w:line="276" w:lineRule="auto"/>
              <w:jc w:val="center"/>
              <w:cnfStyle w:val="000000000000"/>
              <w:rPr>
                <w:b/>
                <w:bCs/>
                <w:i/>
                <w:color w:val="000000"/>
              </w:rPr>
            </w:pPr>
            <w:r w:rsidRPr="002D537F">
              <w:rPr>
                <w:b/>
                <w:bCs/>
                <w:i/>
                <w:color w:val="000000"/>
              </w:rPr>
              <w:t>52,714</w:t>
            </w:r>
          </w:p>
        </w:tc>
        <w:tc>
          <w:tcPr>
            <w:tcW w:w="835" w:type="dxa"/>
          </w:tcPr>
          <w:p w:rsidR="00271FFA" w:rsidRPr="002D537F" w:rsidRDefault="00271FFA" w:rsidP="00640AF6">
            <w:pPr>
              <w:autoSpaceDE w:val="0"/>
              <w:autoSpaceDN w:val="0"/>
              <w:adjustRightInd w:val="0"/>
              <w:spacing w:line="276" w:lineRule="auto"/>
              <w:jc w:val="center"/>
              <w:cnfStyle w:val="000000000000"/>
              <w:rPr>
                <w:b/>
                <w:bCs/>
                <w:i/>
                <w:color w:val="000000"/>
              </w:rPr>
            </w:pPr>
            <w:r w:rsidRPr="002D537F">
              <w:rPr>
                <w:b/>
                <w:bCs/>
                <w:i/>
                <w:color w:val="000000"/>
              </w:rPr>
              <w:t>61,113</w:t>
            </w:r>
          </w:p>
        </w:tc>
        <w:tc>
          <w:tcPr>
            <w:tcW w:w="710" w:type="dxa"/>
          </w:tcPr>
          <w:p w:rsidR="00271FFA" w:rsidRPr="002D537F" w:rsidRDefault="00271FFA" w:rsidP="002D537F">
            <w:pPr>
              <w:autoSpaceDE w:val="0"/>
              <w:autoSpaceDN w:val="0"/>
              <w:adjustRightInd w:val="0"/>
              <w:spacing w:line="276" w:lineRule="auto"/>
              <w:jc w:val="center"/>
              <w:cnfStyle w:val="000000000000"/>
              <w:rPr>
                <w:b/>
                <w:bCs/>
                <w:i/>
                <w:color w:val="000000"/>
              </w:rPr>
            </w:pPr>
            <w:r w:rsidRPr="002D537F">
              <w:rPr>
                <w:b/>
                <w:bCs/>
                <w:i/>
                <w:color w:val="000000"/>
              </w:rPr>
              <w:t>100</w:t>
            </w:r>
          </w:p>
        </w:tc>
        <w:tc>
          <w:tcPr>
            <w:tcW w:w="711" w:type="dxa"/>
          </w:tcPr>
          <w:p w:rsidR="00271FFA" w:rsidRPr="002D537F" w:rsidRDefault="00271FFA" w:rsidP="002D537F">
            <w:pPr>
              <w:autoSpaceDE w:val="0"/>
              <w:autoSpaceDN w:val="0"/>
              <w:adjustRightInd w:val="0"/>
              <w:spacing w:line="276" w:lineRule="auto"/>
              <w:jc w:val="center"/>
              <w:cnfStyle w:val="000000000000"/>
              <w:rPr>
                <w:b/>
                <w:bCs/>
                <w:i/>
                <w:color w:val="000000"/>
              </w:rPr>
            </w:pPr>
            <w:r w:rsidRPr="002D537F">
              <w:rPr>
                <w:b/>
                <w:bCs/>
                <w:i/>
                <w:color w:val="000000"/>
              </w:rPr>
              <w:t>100</w:t>
            </w:r>
          </w:p>
        </w:tc>
        <w:tc>
          <w:tcPr>
            <w:tcW w:w="644" w:type="dxa"/>
          </w:tcPr>
          <w:p w:rsidR="00271FFA" w:rsidRPr="002D537F" w:rsidRDefault="00271FFA" w:rsidP="00640AF6">
            <w:pPr>
              <w:autoSpaceDE w:val="0"/>
              <w:autoSpaceDN w:val="0"/>
              <w:adjustRightInd w:val="0"/>
              <w:spacing w:line="276" w:lineRule="auto"/>
              <w:jc w:val="center"/>
              <w:cnfStyle w:val="000000000000"/>
              <w:rPr>
                <w:b/>
                <w:bCs/>
                <w:i/>
                <w:color w:val="000000"/>
              </w:rPr>
            </w:pPr>
            <w:r w:rsidRPr="002D537F">
              <w:rPr>
                <w:b/>
                <w:bCs/>
                <w:i/>
                <w:color w:val="000000"/>
              </w:rPr>
              <w:t>15.7</w:t>
            </w:r>
          </w:p>
        </w:tc>
        <w:tc>
          <w:tcPr>
            <w:tcW w:w="711" w:type="dxa"/>
          </w:tcPr>
          <w:p w:rsidR="00271FFA" w:rsidRPr="002D537F" w:rsidRDefault="00271FFA" w:rsidP="00640AF6">
            <w:pPr>
              <w:autoSpaceDE w:val="0"/>
              <w:autoSpaceDN w:val="0"/>
              <w:adjustRightInd w:val="0"/>
              <w:spacing w:line="276" w:lineRule="auto"/>
              <w:jc w:val="center"/>
              <w:cnfStyle w:val="000000000000"/>
              <w:rPr>
                <w:b/>
                <w:bCs/>
                <w:i/>
                <w:color w:val="000000"/>
              </w:rPr>
            </w:pPr>
            <w:r w:rsidRPr="002D537F">
              <w:rPr>
                <w:b/>
                <w:bCs/>
                <w:i/>
                <w:color w:val="000000"/>
              </w:rPr>
              <w:t>17.3</w:t>
            </w:r>
          </w:p>
        </w:tc>
        <w:tc>
          <w:tcPr>
            <w:tcW w:w="710" w:type="dxa"/>
          </w:tcPr>
          <w:p w:rsidR="00271FFA" w:rsidRPr="002D537F" w:rsidRDefault="00271FFA" w:rsidP="00640AF6">
            <w:pPr>
              <w:autoSpaceDE w:val="0"/>
              <w:autoSpaceDN w:val="0"/>
              <w:adjustRightInd w:val="0"/>
              <w:spacing w:line="276" w:lineRule="auto"/>
              <w:jc w:val="center"/>
              <w:cnfStyle w:val="000000000000"/>
              <w:rPr>
                <w:b/>
                <w:bCs/>
                <w:i/>
                <w:color w:val="000000"/>
              </w:rPr>
            </w:pPr>
            <w:r w:rsidRPr="002D537F">
              <w:rPr>
                <w:b/>
                <w:bCs/>
                <w:i/>
                <w:color w:val="000000"/>
              </w:rPr>
              <w:t>17.9</w:t>
            </w:r>
          </w:p>
        </w:tc>
      </w:tr>
    </w:tbl>
    <w:p w:rsidR="00F92EB6" w:rsidRPr="000F030C" w:rsidRDefault="00626495" w:rsidP="00640AF6">
      <w:pPr>
        <w:rPr>
          <w:sz w:val="18"/>
          <w:szCs w:val="18"/>
          <w:lang w:val="es-PE"/>
        </w:rPr>
      </w:pPr>
      <w:proofErr w:type="spellStart"/>
      <w:r>
        <w:rPr>
          <w:sz w:val="18"/>
          <w:szCs w:val="18"/>
          <w:lang w:val="es-PE"/>
        </w:rPr>
        <w:t>Source</w:t>
      </w:r>
      <w:proofErr w:type="spellEnd"/>
      <w:r w:rsidR="00F92EB6" w:rsidRPr="009918ED">
        <w:rPr>
          <w:sz w:val="18"/>
          <w:szCs w:val="18"/>
          <w:lang w:val="es-PE"/>
        </w:rPr>
        <w:t xml:space="preserve">: MEF, Banco de la Nación y SUNAT.  </w:t>
      </w:r>
      <w:r w:rsidR="00F92EB6" w:rsidRPr="000F030C">
        <w:rPr>
          <w:sz w:val="18"/>
          <w:szCs w:val="18"/>
          <w:lang w:val="es-PE"/>
        </w:rPr>
        <w:t xml:space="preserve">BCRP, </w:t>
      </w:r>
      <w:proofErr w:type="spellStart"/>
      <w:r w:rsidR="00F34BC3" w:rsidRPr="000F030C">
        <w:rPr>
          <w:sz w:val="18"/>
          <w:szCs w:val="18"/>
          <w:lang w:val="es-PE"/>
        </w:rPr>
        <w:t>Weekly</w:t>
      </w:r>
      <w:proofErr w:type="spellEnd"/>
      <w:r w:rsidR="00F34BC3" w:rsidRPr="000F030C">
        <w:rPr>
          <w:sz w:val="18"/>
          <w:szCs w:val="18"/>
          <w:lang w:val="es-PE"/>
        </w:rPr>
        <w:t xml:space="preserve"> </w:t>
      </w:r>
      <w:proofErr w:type="spellStart"/>
      <w:r w:rsidR="00F34BC3" w:rsidRPr="000F030C">
        <w:rPr>
          <w:sz w:val="18"/>
          <w:szCs w:val="18"/>
          <w:lang w:val="es-PE"/>
        </w:rPr>
        <w:t>Report</w:t>
      </w:r>
      <w:proofErr w:type="spellEnd"/>
      <w:r w:rsidR="00F92EB6" w:rsidRPr="000F030C">
        <w:rPr>
          <w:sz w:val="18"/>
          <w:szCs w:val="18"/>
          <w:lang w:val="es-PE"/>
        </w:rPr>
        <w:t xml:space="preserve"> N</w:t>
      </w:r>
      <w:r w:rsidR="00F34BC3" w:rsidRPr="000F030C">
        <w:rPr>
          <w:sz w:val="18"/>
          <w:szCs w:val="18"/>
          <w:lang w:val="es-PE"/>
        </w:rPr>
        <w:t>°</w:t>
      </w:r>
      <w:r w:rsidR="00F92EB6" w:rsidRPr="000F030C">
        <w:rPr>
          <w:sz w:val="18"/>
          <w:szCs w:val="18"/>
          <w:lang w:val="es-PE"/>
        </w:rPr>
        <w:t xml:space="preserve"> 35, 2007. </w:t>
      </w:r>
    </w:p>
    <w:p w:rsidR="00B4142E" w:rsidRDefault="00B4142E">
      <w:pPr>
        <w:rPr>
          <w:rFonts w:eastAsia="Times New Roman"/>
          <w:lang w:eastAsia="es-ES"/>
        </w:rPr>
      </w:pPr>
    </w:p>
    <w:p w:rsidR="00B4142E" w:rsidRDefault="00B4142E">
      <w:pPr>
        <w:rPr>
          <w:rFonts w:asciiTheme="majorHAnsi" w:eastAsia="Times New Roman" w:hAnsiTheme="majorHAnsi" w:cstheme="majorBidi"/>
          <w:b/>
          <w:bCs/>
          <w:color w:val="4F81BD" w:themeColor="accent1"/>
          <w:sz w:val="26"/>
          <w:szCs w:val="26"/>
          <w:lang w:eastAsia="es-ES"/>
        </w:rPr>
      </w:pPr>
      <w:r>
        <w:rPr>
          <w:rFonts w:asciiTheme="majorHAnsi" w:eastAsia="Times New Roman" w:hAnsiTheme="majorHAnsi" w:cstheme="majorBidi"/>
          <w:b/>
          <w:bCs/>
          <w:color w:val="4F81BD" w:themeColor="accent1"/>
          <w:sz w:val="26"/>
          <w:szCs w:val="26"/>
          <w:lang w:eastAsia="es-ES"/>
        </w:rPr>
        <w:br w:type="page"/>
      </w:r>
    </w:p>
    <w:p w:rsidR="00D04271" w:rsidRPr="00631D93" w:rsidRDefault="0073121E" w:rsidP="0073121E">
      <w:pPr>
        <w:pStyle w:val="Heading2"/>
        <w:numPr>
          <w:ilvl w:val="0"/>
          <w:numId w:val="14"/>
        </w:numPr>
        <w:rPr>
          <w:rFonts w:eastAsia="Times New Roman"/>
          <w:lang w:val="en-US" w:eastAsia="es-ES"/>
        </w:rPr>
      </w:pPr>
      <w:bookmarkStart w:id="15" w:name="_Toc255446165"/>
      <w:r>
        <w:rPr>
          <w:rFonts w:eastAsia="Times New Roman"/>
          <w:lang w:val="en-US" w:eastAsia="es-ES"/>
        </w:rPr>
        <w:lastRenderedPageBreak/>
        <w:t>Results and Discussion</w:t>
      </w:r>
      <w:bookmarkEnd w:id="15"/>
    </w:p>
    <w:p w:rsidR="00B4142E" w:rsidRPr="00B4142E" w:rsidRDefault="00B4142E" w:rsidP="00B4142E">
      <w:pPr>
        <w:ind w:left="360"/>
        <w:jc w:val="both"/>
        <w:rPr>
          <w:bCs/>
          <w:szCs w:val="20"/>
          <w:lang w:val="en-US"/>
        </w:rPr>
      </w:pPr>
      <w:r w:rsidRPr="00B4142E">
        <w:rPr>
          <w:bCs/>
          <w:szCs w:val="20"/>
          <w:lang w:val="en-US"/>
        </w:rPr>
        <w:t>One of the national targets, set in political documents and agreements between political parties and civil society, is to increase the proportion of education expenditure to 6% of GDP. However, it is not clear which are the targets for quality learning performance. There are some efforts that aimed at this last point, like the initiative to link the budget with specific goals (“</w:t>
      </w:r>
      <w:proofErr w:type="spellStart"/>
      <w:r w:rsidRPr="00B4142E">
        <w:rPr>
          <w:bCs/>
          <w:szCs w:val="20"/>
          <w:lang w:val="en-US"/>
        </w:rPr>
        <w:t>Presupuesto</w:t>
      </w:r>
      <w:proofErr w:type="spellEnd"/>
      <w:r w:rsidRPr="00B4142E">
        <w:rPr>
          <w:bCs/>
          <w:szCs w:val="20"/>
          <w:lang w:val="en-US"/>
        </w:rPr>
        <w:t xml:space="preserve"> </w:t>
      </w:r>
      <w:proofErr w:type="spellStart"/>
      <w:r w:rsidRPr="00B4142E">
        <w:rPr>
          <w:bCs/>
          <w:szCs w:val="20"/>
          <w:lang w:val="en-US"/>
        </w:rPr>
        <w:t>por</w:t>
      </w:r>
      <w:proofErr w:type="spellEnd"/>
      <w:r w:rsidRPr="00B4142E">
        <w:rPr>
          <w:bCs/>
          <w:szCs w:val="20"/>
          <w:lang w:val="en-US"/>
        </w:rPr>
        <w:t xml:space="preserve"> </w:t>
      </w:r>
      <w:proofErr w:type="spellStart"/>
      <w:r w:rsidRPr="00B4142E">
        <w:rPr>
          <w:bCs/>
          <w:szCs w:val="20"/>
          <w:lang w:val="en-US"/>
        </w:rPr>
        <w:t>Resultados</w:t>
      </w:r>
      <w:proofErr w:type="spellEnd"/>
      <w:r w:rsidRPr="00B4142E">
        <w:rPr>
          <w:bCs/>
          <w:szCs w:val="20"/>
          <w:lang w:val="en-US"/>
        </w:rPr>
        <w:t xml:space="preserve">”, </w:t>
      </w:r>
      <w:proofErr w:type="spellStart"/>
      <w:r w:rsidRPr="00B4142E">
        <w:rPr>
          <w:bCs/>
          <w:szCs w:val="20"/>
          <w:lang w:val="en-US"/>
        </w:rPr>
        <w:t>PpR</w:t>
      </w:r>
      <w:proofErr w:type="spellEnd"/>
      <w:r w:rsidRPr="00B4142E">
        <w:rPr>
          <w:bCs/>
          <w:szCs w:val="20"/>
          <w:lang w:val="en-US"/>
        </w:rPr>
        <w:t>). For the case of the Education sector, national government designed a program focused on second grade, but it is on its initial phase and the budget allocated on this program is still not enough and does not have the expected results either so far.</w:t>
      </w:r>
    </w:p>
    <w:p w:rsidR="00753383" w:rsidRPr="00631D93" w:rsidRDefault="00965D8D" w:rsidP="00631D93">
      <w:pPr>
        <w:pStyle w:val="Caption"/>
        <w:jc w:val="center"/>
        <w:rPr>
          <w:rFonts w:ascii="Arial" w:eastAsia="Times New Roman" w:hAnsi="Arial" w:cs="Arial"/>
          <w:color w:val="000000"/>
          <w:sz w:val="22"/>
          <w:szCs w:val="22"/>
          <w:lang w:val="en-US" w:eastAsia="es-ES"/>
        </w:rPr>
      </w:pPr>
      <w:r w:rsidRPr="00631D93">
        <w:rPr>
          <w:sz w:val="22"/>
          <w:szCs w:val="22"/>
          <w:lang w:val="en-US"/>
        </w:rPr>
        <w:t>Table</w:t>
      </w:r>
      <w:r w:rsidR="00631D93" w:rsidRPr="00631D93">
        <w:rPr>
          <w:sz w:val="22"/>
          <w:szCs w:val="22"/>
          <w:lang w:val="en-US"/>
        </w:rPr>
        <w:t xml:space="preserve"> 4</w:t>
      </w:r>
      <w:r w:rsidR="00753383" w:rsidRPr="00631D93">
        <w:rPr>
          <w:sz w:val="22"/>
          <w:szCs w:val="22"/>
          <w:lang w:val="en-US"/>
        </w:rPr>
        <w:t>: Recurrent and capital spen</w:t>
      </w:r>
      <w:r w:rsidR="00E25DE7" w:rsidRPr="00631D93">
        <w:rPr>
          <w:sz w:val="22"/>
          <w:szCs w:val="22"/>
          <w:lang w:val="en-US"/>
        </w:rPr>
        <w:t xml:space="preserve">ding by facility level, amount (in thousands of </w:t>
      </w:r>
      <w:proofErr w:type="spellStart"/>
      <w:r w:rsidR="00E25DE7" w:rsidRPr="00631D93">
        <w:rPr>
          <w:sz w:val="22"/>
          <w:szCs w:val="22"/>
          <w:lang w:val="en-US"/>
        </w:rPr>
        <w:t>N</w:t>
      </w:r>
      <w:r w:rsidR="00753383" w:rsidRPr="00631D93">
        <w:rPr>
          <w:sz w:val="22"/>
          <w:szCs w:val="22"/>
          <w:lang w:val="en-US"/>
        </w:rPr>
        <w:t>uevos</w:t>
      </w:r>
      <w:proofErr w:type="spellEnd"/>
      <w:r w:rsidR="00753383" w:rsidRPr="00631D93">
        <w:rPr>
          <w:sz w:val="22"/>
          <w:szCs w:val="22"/>
          <w:lang w:val="en-US"/>
        </w:rPr>
        <w:t xml:space="preserve"> </w:t>
      </w:r>
      <w:r w:rsidR="00E25DE7" w:rsidRPr="00631D93">
        <w:rPr>
          <w:sz w:val="22"/>
          <w:szCs w:val="22"/>
          <w:lang w:val="en-US"/>
        </w:rPr>
        <w:t>S</w:t>
      </w:r>
      <w:r w:rsidR="00753383" w:rsidRPr="00631D93">
        <w:rPr>
          <w:sz w:val="22"/>
          <w:szCs w:val="22"/>
          <w:lang w:val="en-US"/>
        </w:rPr>
        <w:t xml:space="preserve">oles, constant prices </w:t>
      </w:r>
      <w:proofErr w:type="gramStart"/>
      <w:r w:rsidR="00753383" w:rsidRPr="00631D93">
        <w:rPr>
          <w:sz w:val="22"/>
          <w:szCs w:val="22"/>
          <w:lang w:val="en-US"/>
        </w:rPr>
        <w:t>2006 )</w:t>
      </w:r>
      <w:proofErr w:type="gramEnd"/>
    </w:p>
    <w:tbl>
      <w:tblPr>
        <w:tblW w:w="8624" w:type="dxa"/>
        <w:jc w:val="center"/>
        <w:tblInd w:w="70" w:type="dxa"/>
        <w:tblCellMar>
          <w:left w:w="70" w:type="dxa"/>
          <w:right w:w="70" w:type="dxa"/>
        </w:tblCellMar>
        <w:tblLook w:val="04A0"/>
      </w:tblPr>
      <w:tblGrid>
        <w:gridCol w:w="1382"/>
        <w:gridCol w:w="1419"/>
        <w:gridCol w:w="1438"/>
        <w:gridCol w:w="1419"/>
        <w:gridCol w:w="1419"/>
        <w:gridCol w:w="1547"/>
      </w:tblGrid>
      <w:tr w:rsidR="00BA7786" w:rsidRPr="00B4142E" w:rsidTr="00B4142E">
        <w:trPr>
          <w:trHeight w:val="380"/>
          <w:jc w:val="center"/>
        </w:trPr>
        <w:tc>
          <w:tcPr>
            <w:tcW w:w="1382" w:type="dxa"/>
            <w:tcBorders>
              <w:top w:val="nil"/>
              <w:left w:val="nil"/>
              <w:bottom w:val="nil"/>
              <w:right w:val="nil"/>
            </w:tcBorders>
            <w:shd w:val="clear" w:color="000000" w:fill="B2A1C7"/>
            <w:noWrap/>
            <w:vAlign w:val="bottom"/>
            <w:hideMark/>
          </w:tcPr>
          <w:p w:rsidR="00BA7786" w:rsidRPr="00B4142E" w:rsidRDefault="00BA7786" w:rsidP="00BA7786">
            <w:pPr>
              <w:spacing w:after="0" w:line="240" w:lineRule="auto"/>
              <w:rPr>
                <w:rFonts w:ascii="Calibri" w:eastAsia="Times New Roman" w:hAnsi="Calibri" w:cs="Times New Roman"/>
                <w:color w:val="000000"/>
                <w:sz w:val="16"/>
                <w:szCs w:val="16"/>
                <w:lang w:val="en-US" w:eastAsia="es-ES"/>
              </w:rPr>
            </w:pPr>
            <w:r w:rsidRPr="00B4142E">
              <w:rPr>
                <w:rFonts w:ascii="Calibri" w:eastAsia="Times New Roman" w:hAnsi="Calibri" w:cs="Times New Roman"/>
                <w:color w:val="000000"/>
                <w:sz w:val="16"/>
                <w:szCs w:val="16"/>
                <w:lang w:val="en-US" w:eastAsia="es-ES"/>
              </w:rPr>
              <w:t> </w:t>
            </w:r>
          </w:p>
        </w:tc>
        <w:tc>
          <w:tcPr>
            <w:tcW w:w="1419" w:type="dxa"/>
            <w:tcBorders>
              <w:top w:val="nil"/>
              <w:left w:val="nil"/>
              <w:bottom w:val="nil"/>
              <w:right w:val="nil"/>
            </w:tcBorders>
            <w:shd w:val="clear" w:color="000000" w:fill="B2A1C7"/>
            <w:vAlign w:val="center"/>
            <w:hideMark/>
          </w:tcPr>
          <w:p w:rsidR="00BA7786" w:rsidRPr="00B4142E" w:rsidRDefault="00BA7786" w:rsidP="00BA7786">
            <w:pPr>
              <w:spacing w:after="0" w:line="240" w:lineRule="auto"/>
              <w:jc w:val="center"/>
              <w:rPr>
                <w:rFonts w:ascii="Calibri" w:eastAsia="Times New Roman" w:hAnsi="Calibri" w:cs="Times New Roman"/>
                <w:b/>
                <w:bCs/>
                <w:color w:val="000000"/>
                <w:sz w:val="16"/>
                <w:szCs w:val="16"/>
                <w:lang w:eastAsia="es-ES"/>
              </w:rPr>
            </w:pPr>
            <w:r w:rsidRPr="00B4142E">
              <w:rPr>
                <w:rFonts w:ascii="Calibri" w:eastAsia="Times New Roman" w:hAnsi="Calibri" w:cs="Times New Roman"/>
                <w:b/>
                <w:bCs/>
                <w:color w:val="000000"/>
                <w:sz w:val="16"/>
                <w:szCs w:val="16"/>
                <w:lang w:eastAsia="es-ES"/>
              </w:rPr>
              <w:t>2006</w:t>
            </w:r>
          </w:p>
        </w:tc>
        <w:tc>
          <w:tcPr>
            <w:tcW w:w="1438" w:type="dxa"/>
            <w:tcBorders>
              <w:top w:val="nil"/>
              <w:left w:val="nil"/>
              <w:bottom w:val="nil"/>
              <w:right w:val="nil"/>
            </w:tcBorders>
            <w:shd w:val="clear" w:color="000000" w:fill="B2A1C7"/>
            <w:vAlign w:val="center"/>
            <w:hideMark/>
          </w:tcPr>
          <w:p w:rsidR="00BA7786" w:rsidRPr="00B4142E" w:rsidRDefault="00BA7786" w:rsidP="00BA7786">
            <w:pPr>
              <w:spacing w:after="0" w:line="240" w:lineRule="auto"/>
              <w:jc w:val="center"/>
              <w:rPr>
                <w:rFonts w:ascii="Calibri" w:eastAsia="Times New Roman" w:hAnsi="Calibri" w:cs="Times New Roman"/>
                <w:b/>
                <w:bCs/>
                <w:color w:val="000000"/>
                <w:sz w:val="16"/>
                <w:szCs w:val="16"/>
                <w:lang w:eastAsia="es-ES"/>
              </w:rPr>
            </w:pPr>
            <w:r w:rsidRPr="00B4142E">
              <w:rPr>
                <w:rFonts w:ascii="Calibri" w:eastAsia="Times New Roman" w:hAnsi="Calibri" w:cs="Times New Roman"/>
                <w:b/>
                <w:bCs/>
                <w:color w:val="000000"/>
                <w:sz w:val="16"/>
                <w:szCs w:val="16"/>
                <w:lang w:eastAsia="es-ES"/>
              </w:rPr>
              <w:t>2007</w:t>
            </w:r>
          </w:p>
        </w:tc>
        <w:tc>
          <w:tcPr>
            <w:tcW w:w="1419" w:type="dxa"/>
            <w:tcBorders>
              <w:top w:val="nil"/>
              <w:left w:val="nil"/>
              <w:bottom w:val="nil"/>
              <w:right w:val="nil"/>
            </w:tcBorders>
            <w:shd w:val="clear" w:color="000000" w:fill="B2A1C7"/>
            <w:vAlign w:val="center"/>
            <w:hideMark/>
          </w:tcPr>
          <w:p w:rsidR="00BA7786" w:rsidRPr="00B4142E" w:rsidRDefault="00BA7786" w:rsidP="00BA7786">
            <w:pPr>
              <w:spacing w:after="0" w:line="240" w:lineRule="auto"/>
              <w:jc w:val="center"/>
              <w:rPr>
                <w:rFonts w:ascii="Calibri" w:eastAsia="Times New Roman" w:hAnsi="Calibri" w:cs="Times New Roman"/>
                <w:b/>
                <w:bCs/>
                <w:color w:val="000000"/>
                <w:sz w:val="16"/>
                <w:szCs w:val="16"/>
                <w:lang w:eastAsia="es-ES"/>
              </w:rPr>
            </w:pPr>
            <w:r w:rsidRPr="00B4142E">
              <w:rPr>
                <w:rFonts w:ascii="Calibri" w:eastAsia="Times New Roman" w:hAnsi="Calibri" w:cs="Times New Roman"/>
                <w:b/>
                <w:bCs/>
                <w:color w:val="000000"/>
                <w:sz w:val="16"/>
                <w:szCs w:val="16"/>
                <w:lang w:eastAsia="es-ES"/>
              </w:rPr>
              <w:t>2008</w:t>
            </w:r>
          </w:p>
        </w:tc>
        <w:tc>
          <w:tcPr>
            <w:tcW w:w="1419" w:type="dxa"/>
            <w:tcBorders>
              <w:top w:val="nil"/>
              <w:left w:val="nil"/>
              <w:bottom w:val="nil"/>
              <w:right w:val="nil"/>
            </w:tcBorders>
            <w:shd w:val="clear" w:color="000000" w:fill="B2A1C7"/>
            <w:vAlign w:val="center"/>
            <w:hideMark/>
          </w:tcPr>
          <w:p w:rsidR="00BA7786" w:rsidRPr="00B4142E" w:rsidRDefault="00BA7786" w:rsidP="00BA7786">
            <w:pPr>
              <w:spacing w:after="0" w:line="240" w:lineRule="auto"/>
              <w:jc w:val="center"/>
              <w:rPr>
                <w:rFonts w:ascii="Calibri" w:eastAsia="Times New Roman" w:hAnsi="Calibri" w:cs="Times New Roman"/>
                <w:b/>
                <w:bCs/>
                <w:color w:val="000000"/>
                <w:sz w:val="16"/>
                <w:szCs w:val="16"/>
                <w:lang w:eastAsia="es-ES"/>
              </w:rPr>
            </w:pPr>
            <w:r w:rsidRPr="00B4142E">
              <w:rPr>
                <w:rFonts w:ascii="Calibri" w:eastAsia="Times New Roman" w:hAnsi="Calibri" w:cs="Times New Roman"/>
                <w:b/>
                <w:bCs/>
                <w:color w:val="000000"/>
                <w:sz w:val="16"/>
                <w:szCs w:val="16"/>
                <w:lang w:eastAsia="es-ES"/>
              </w:rPr>
              <w:t>2009</w:t>
            </w:r>
          </w:p>
        </w:tc>
        <w:tc>
          <w:tcPr>
            <w:tcW w:w="1547" w:type="dxa"/>
            <w:tcBorders>
              <w:top w:val="nil"/>
              <w:left w:val="nil"/>
              <w:bottom w:val="nil"/>
              <w:right w:val="nil"/>
            </w:tcBorders>
            <w:shd w:val="clear" w:color="000000" w:fill="B2A1C7"/>
            <w:vAlign w:val="center"/>
            <w:hideMark/>
          </w:tcPr>
          <w:p w:rsidR="00BA7786" w:rsidRPr="00B4142E" w:rsidRDefault="00BA7786" w:rsidP="00BA7786">
            <w:pPr>
              <w:spacing w:after="0" w:line="240" w:lineRule="auto"/>
              <w:jc w:val="center"/>
              <w:rPr>
                <w:rFonts w:ascii="Calibri" w:eastAsia="Times New Roman" w:hAnsi="Calibri" w:cs="Times New Roman"/>
                <w:b/>
                <w:bCs/>
                <w:color w:val="000000"/>
                <w:sz w:val="16"/>
                <w:szCs w:val="16"/>
                <w:lang w:eastAsia="es-ES"/>
              </w:rPr>
            </w:pPr>
            <w:r w:rsidRPr="00B4142E">
              <w:rPr>
                <w:rFonts w:ascii="Calibri" w:eastAsia="Times New Roman" w:hAnsi="Calibri" w:cs="Times New Roman"/>
                <w:b/>
                <w:bCs/>
                <w:color w:val="000000"/>
                <w:sz w:val="16"/>
                <w:szCs w:val="16"/>
                <w:lang w:eastAsia="es-ES"/>
              </w:rPr>
              <w:t>2010 (</w:t>
            </w:r>
            <w:proofErr w:type="spellStart"/>
            <w:r w:rsidRPr="00B4142E">
              <w:rPr>
                <w:rFonts w:ascii="Calibri" w:eastAsia="Times New Roman" w:hAnsi="Calibri" w:cs="Times New Roman"/>
                <w:b/>
                <w:bCs/>
                <w:color w:val="000000"/>
                <w:sz w:val="16"/>
                <w:szCs w:val="16"/>
                <w:lang w:eastAsia="es-ES"/>
              </w:rPr>
              <w:t>Budgeted</w:t>
            </w:r>
            <w:proofErr w:type="spellEnd"/>
            <w:r w:rsidRPr="00B4142E">
              <w:rPr>
                <w:rFonts w:ascii="Calibri" w:eastAsia="Times New Roman" w:hAnsi="Calibri" w:cs="Times New Roman"/>
                <w:b/>
                <w:bCs/>
                <w:color w:val="000000"/>
                <w:sz w:val="16"/>
                <w:szCs w:val="16"/>
                <w:lang w:eastAsia="es-ES"/>
              </w:rPr>
              <w:t>)</w:t>
            </w:r>
          </w:p>
        </w:tc>
      </w:tr>
      <w:tr w:rsidR="00BA7786" w:rsidRPr="00B4142E" w:rsidTr="00B4142E">
        <w:trPr>
          <w:trHeight w:val="272"/>
          <w:jc w:val="center"/>
        </w:trPr>
        <w:tc>
          <w:tcPr>
            <w:tcW w:w="1382" w:type="dxa"/>
            <w:tcBorders>
              <w:top w:val="nil"/>
              <w:left w:val="nil"/>
              <w:bottom w:val="nil"/>
              <w:right w:val="nil"/>
            </w:tcBorders>
            <w:shd w:val="clear" w:color="000000" w:fill="CCCCFF"/>
            <w:noWrap/>
            <w:vAlign w:val="bottom"/>
            <w:hideMark/>
          </w:tcPr>
          <w:p w:rsidR="00BA7786" w:rsidRPr="00B4142E" w:rsidRDefault="00BA7786" w:rsidP="00BA7786">
            <w:pPr>
              <w:spacing w:after="0" w:line="240" w:lineRule="auto"/>
              <w:rPr>
                <w:rFonts w:ascii="Calibri" w:eastAsia="Times New Roman" w:hAnsi="Calibri" w:cs="Times New Roman"/>
                <w:b/>
                <w:bCs/>
                <w:color w:val="000000"/>
                <w:sz w:val="16"/>
                <w:szCs w:val="16"/>
                <w:lang w:eastAsia="es-ES"/>
              </w:rPr>
            </w:pPr>
            <w:proofErr w:type="spellStart"/>
            <w:r w:rsidRPr="00B4142E">
              <w:rPr>
                <w:rFonts w:ascii="Calibri" w:eastAsia="Times New Roman" w:hAnsi="Calibri" w:cs="Times New Roman"/>
                <w:b/>
                <w:bCs/>
                <w:color w:val="000000"/>
                <w:sz w:val="16"/>
                <w:szCs w:val="16"/>
                <w:lang w:eastAsia="es-ES"/>
              </w:rPr>
              <w:t>Preschool</w:t>
            </w:r>
            <w:proofErr w:type="spellEnd"/>
          </w:p>
        </w:tc>
        <w:tc>
          <w:tcPr>
            <w:tcW w:w="1419" w:type="dxa"/>
            <w:tcBorders>
              <w:top w:val="nil"/>
              <w:left w:val="nil"/>
              <w:bottom w:val="nil"/>
              <w:right w:val="nil"/>
            </w:tcBorders>
            <w:shd w:val="clear" w:color="000000" w:fill="CCCCFF"/>
            <w:noWrap/>
            <w:vAlign w:val="bottom"/>
            <w:hideMark/>
          </w:tcPr>
          <w:p w:rsidR="00BA7786" w:rsidRPr="00B4142E" w:rsidRDefault="00BA7786" w:rsidP="00BA7786">
            <w:pPr>
              <w:spacing w:after="0" w:line="240" w:lineRule="auto"/>
              <w:rPr>
                <w:rFonts w:ascii="Calibri" w:eastAsia="Times New Roman" w:hAnsi="Calibri" w:cs="Times New Roman"/>
                <w:color w:val="000000"/>
                <w:sz w:val="16"/>
                <w:szCs w:val="16"/>
                <w:lang w:eastAsia="es-ES"/>
              </w:rPr>
            </w:pPr>
            <w:r w:rsidRPr="00B4142E">
              <w:rPr>
                <w:rFonts w:ascii="Calibri" w:eastAsia="Times New Roman" w:hAnsi="Calibri" w:cs="Times New Roman"/>
                <w:color w:val="000000"/>
                <w:sz w:val="16"/>
                <w:szCs w:val="16"/>
                <w:lang w:eastAsia="es-ES"/>
              </w:rPr>
              <w:t> </w:t>
            </w:r>
          </w:p>
        </w:tc>
        <w:tc>
          <w:tcPr>
            <w:tcW w:w="1438" w:type="dxa"/>
            <w:tcBorders>
              <w:top w:val="nil"/>
              <w:left w:val="nil"/>
              <w:bottom w:val="nil"/>
              <w:right w:val="nil"/>
            </w:tcBorders>
            <w:shd w:val="clear" w:color="000000" w:fill="CCCCFF"/>
            <w:noWrap/>
            <w:vAlign w:val="bottom"/>
            <w:hideMark/>
          </w:tcPr>
          <w:p w:rsidR="00BA7786" w:rsidRPr="00B4142E" w:rsidRDefault="00BA7786" w:rsidP="00BA7786">
            <w:pPr>
              <w:spacing w:after="0" w:line="240" w:lineRule="auto"/>
              <w:rPr>
                <w:rFonts w:ascii="Calibri" w:eastAsia="Times New Roman" w:hAnsi="Calibri" w:cs="Times New Roman"/>
                <w:color w:val="000000"/>
                <w:sz w:val="16"/>
                <w:szCs w:val="16"/>
                <w:lang w:eastAsia="es-ES"/>
              </w:rPr>
            </w:pPr>
            <w:r w:rsidRPr="00B4142E">
              <w:rPr>
                <w:rFonts w:ascii="Calibri" w:eastAsia="Times New Roman" w:hAnsi="Calibri" w:cs="Times New Roman"/>
                <w:color w:val="000000"/>
                <w:sz w:val="16"/>
                <w:szCs w:val="16"/>
                <w:lang w:eastAsia="es-ES"/>
              </w:rPr>
              <w:t> </w:t>
            </w:r>
          </w:p>
        </w:tc>
        <w:tc>
          <w:tcPr>
            <w:tcW w:w="1419" w:type="dxa"/>
            <w:tcBorders>
              <w:top w:val="nil"/>
              <w:left w:val="nil"/>
              <w:bottom w:val="nil"/>
              <w:right w:val="nil"/>
            </w:tcBorders>
            <w:shd w:val="clear" w:color="000000" w:fill="CCCCFF"/>
            <w:noWrap/>
            <w:vAlign w:val="bottom"/>
            <w:hideMark/>
          </w:tcPr>
          <w:p w:rsidR="00BA7786" w:rsidRPr="00B4142E" w:rsidRDefault="00BA7786" w:rsidP="00BA7786">
            <w:pPr>
              <w:spacing w:after="0" w:line="240" w:lineRule="auto"/>
              <w:rPr>
                <w:rFonts w:ascii="Calibri" w:eastAsia="Times New Roman" w:hAnsi="Calibri" w:cs="Times New Roman"/>
                <w:color w:val="000000"/>
                <w:sz w:val="16"/>
                <w:szCs w:val="16"/>
                <w:lang w:eastAsia="es-ES"/>
              </w:rPr>
            </w:pPr>
            <w:r w:rsidRPr="00B4142E">
              <w:rPr>
                <w:rFonts w:ascii="Calibri" w:eastAsia="Times New Roman" w:hAnsi="Calibri" w:cs="Times New Roman"/>
                <w:color w:val="000000"/>
                <w:sz w:val="16"/>
                <w:szCs w:val="16"/>
                <w:lang w:eastAsia="es-ES"/>
              </w:rPr>
              <w:t> </w:t>
            </w:r>
          </w:p>
        </w:tc>
        <w:tc>
          <w:tcPr>
            <w:tcW w:w="1419" w:type="dxa"/>
            <w:tcBorders>
              <w:top w:val="nil"/>
              <w:left w:val="nil"/>
              <w:bottom w:val="nil"/>
              <w:right w:val="nil"/>
            </w:tcBorders>
            <w:shd w:val="clear" w:color="000000" w:fill="CCCCFF"/>
            <w:noWrap/>
            <w:vAlign w:val="bottom"/>
            <w:hideMark/>
          </w:tcPr>
          <w:p w:rsidR="00BA7786" w:rsidRPr="00B4142E" w:rsidRDefault="00BA7786" w:rsidP="00BA7786">
            <w:pPr>
              <w:spacing w:after="0" w:line="240" w:lineRule="auto"/>
              <w:rPr>
                <w:rFonts w:ascii="Calibri" w:eastAsia="Times New Roman" w:hAnsi="Calibri" w:cs="Times New Roman"/>
                <w:color w:val="000000"/>
                <w:sz w:val="16"/>
                <w:szCs w:val="16"/>
                <w:lang w:eastAsia="es-ES"/>
              </w:rPr>
            </w:pPr>
            <w:r w:rsidRPr="00B4142E">
              <w:rPr>
                <w:rFonts w:ascii="Calibri" w:eastAsia="Times New Roman" w:hAnsi="Calibri" w:cs="Times New Roman"/>
                <w:color w:val="000000"/>
                <w:sz w:val="16"/>
                <w:szCs w:val="16"/>
                <w:lang w:eastAsia="es-ES"/>
              </w:rPr>
              <w:t> </w:t>
            </w:r>
          </w:p>
        </w:tc>
        <w:tc>
          <w:tcPr>
            <w:tcW w:w="1547" w:type="dxa"/>
            <w:tcBorders>
              <w:top w:val="nil"/>
              <w:left w:val="nil"/>
              <w:bottom w:val="nil"/>
              <w:right w:val="nil"/>
            </w:tcBorders>
            <w:shd w:val="clear" w:color="000000" w:fill="CCCCFF"/>
            <w:noWrap/>
            <w:vAlign w:val="bottom"/>
            <w:hideMark/>
          </w:tcPr>
          <w:p w:rsidR="00BA7786" w:rsidRPr="00B4142E" w:rsidRDefault="00BA7786" w:rsidP="00BA7786">
            <w:pPr>
              <w:spacing w:after="0" w:line="240" w:lineRule="auto"/>
              <w:rPr>
                <w:rFonts w:ascii="Calibri" w:eastAsia="Times New Roman" w:hAnsi="Calibri" w:cs="Times New Roman"/>
                <w:color w:val="000000"/>
                <w:sz w:val="16"/>
                <w:szCs w:val="16"/>
                <w:lang w:eastAsia="es-ES"/>
              </w:rPr>
            </w:pPr>
            <w:r w:rsidRPr="00B4142E">
              <w:rPr>
                <w:rFonts w:ascii="Calibri" w:eastAsia="Times New Roman" w:hAnsi="Calibri" w:cs="Times New Roman"/>
                <w:color w:val="000000"/>
                <w:sz w:val="16"/>
                <w:szCs w:val="16"/>
                <w:lang w:eastAsia="es-ES"/>
              </w:rPr>
              <w:t> </w:t>
            </w:r>
          </w:p>
        </w:tc>
      </w:tr>
      <w:tr w:rsidR="00BA7786" w:rsidRPr="00B4142E" w:rsidTr="00BA7786">
        <w:trPr>
          <w:trHeight w:val="300"/>
          <w:jc w:val="center"/>
        </w:trPr>
        <w:tc>
          <w:tcPr>
            <w:tcW w:w="1382" w:type="dxa"/>
            <w:tcBorders>
              <w:top w:val="nil"/>
              <w:left w:val="nil"/>
              <w:bottom w:val="nil"/>
              <w:right w:val="nil"/>
            </w:tcBorders>
            <w:shd w:val="clear" w:color="auto" w:fill="auto"/>
            <w:noWrap/>
            <w:vAlign w:val="bottom"/>
            <w:hideMark/>
          </w:tcPr>
          <w:p w:rsidR="00BA7786" w:rsidRPr="00B4142E" w:rsidRDefault="00BA7786" w:rsidP="00BA7786">
            <w:pPr>
              <w:spacing w:after="0" w:line="240" w:lineRule="auto"/>
              <w:rPr>
                <w:rFonts w:ascii="Calibri" w:eastAsia="Times New Roman" w:hAnsi="Calibri" w:cs="Times New Roman"/>
                <w:color w:val="000000"/>
                <w:sz w:val="16"/>
                <w:szCs w:val="16"/>
                <w:lang w:eastAsia="es-ES"/>
              </w:rPr>
            </w:pPr>
            <w:proofErr w:type="spellStart"/>
            <w:r w:rsidRPr="00B4142E">
              <w:rPr>
                <w:rFonts w:ascii="Calibri" w:eastAsia="Times New Roman" w:hAnsi="Calibri" w:cs="Times New Roman"/>
                <w:color w:val="000000"/>
                <w:sz w:val="16"/>
                <w:szCs w:val="16"/>
                <w:lang w:eastAsia="es-ES"/>
              </w:rPr>
              <w:t>Recurrent</w:t>
            </w:r>
            <w:proofErr w:type="spellEnd"/>
          </w:p>
        </w:tc>
        <w:tc>
          <w:tcPr>
            <w:tcW w:w="1419" w:type="dxa"/>
            <w:tcBorders>
              <w:top w:val="nil"/>
              <w:left w:val="nil"/>
              <w:bottom w:val="nil"/>
              <w:right w:val="nil"/>
            </w:tcBorders>
            <w:shd w:val="clear" w:color="auto" w:fill="auto"/>
            <w:noWrap/>
            <w:vAlign w:val="bottom"/>
            <w:hideMark/>
          </w:tcPr>
          <w:p w:rsidR="00BA7786" w:rsidRPr="00B4142E" w:rsidRDefault="00BA7786" w:rsidP="00BA7786">
            <w:pPr>
              <w:spacing w:after="0" w:line="240" w:lineRule="auto"/>
              <w:jc w:val="right"/>
              <w:rPr>
                <w:rFonts w:ascii="Calibri" w:eastAsia="Times New Roman" w:hAnsi="Calibri" w:cs="Times New Roman"/>
                <w:color w:val="000000"/>
                <w:sz w:val="16"/>
                <w:szCs w:val="16"/>
                <w:lang w:eastAsia="es-ES"/>
              </w:rPr>
            </w:pPr>
            <w:r w:rsidRPr="00B4142E">
              <w:rPr>
                <w:rFonts w:ascii="Calibri" w:eastAsia="Times New Roman" w:hAnsi="Calibri" w:cs="Times New Roman"/>
                <w:color w:val="000000"/>
                <w:sz w:val="16"/>
                <w:szCs w:val="16"/>
                <w:lang w:eastAsia="es-ES"/>
              </w:rPr>
              <w:t>646,958.47</w:t>
            </w:r>
          </w:p>
        </w:tc>
        <w:tc>
          <w:tcPr>
            <w:tcW w:w="1438" w:type="dxa"/>
            <w:tcBorders>
              <w:top w:val="nil"/>
              <w:left w:val="nil"/>
              <w:bottom w:val="nil"/>
              <w:right w:val="nil"/>
            </w:tcBorders>
            <w:shd w:val="clear" w:color="auto" w:fill="auto"/>
            <w:noWrap/>
            <w:vAlign w:val="bottom"/>
            <w:hideMark/>
          </w:tcPr>
          <w:p w:rsidR="00BA7786" w:rsidRPr="00B4142E" w:rsidRDefault="00BA7786" w:rsidP="00BA7786">
            <w:pPr>
              <w:spacing w:after="0" w:line="240" w:lineRule="auto"/>
              <w:jc w:val="right"/>
              <w:rPr>
                <w:rFonts w:ascii="Calibri" w:eastAsia="Times New Roman" w:hAnsi="Calibri" w:cs="Times New Roman"/>
                <w:color w:val="000000"/>
                <w:sz w:val="16"/>
                <w:szCs w:val="16"/>
                <w:lang w:eastAsia="es-ES"/>
              </w:rPr>
            </w:pPr>
            <w:r w:rsidRPr="00B4142E">
              <w:rPr>
                <w:rFonts w:ascii="Calibri" w:eastAsia="Times New Roman" w:hAnsi="Calibri" w:cs="Times New Roman"/>
                <w:color w:val="000000"/>
                <w:sz w:val="16"/>
                <w:szCs w:val="16"/>
                <w:lang w:eastAsia="es-ES"/>
              </w:rPr>
              <w:t>673,580.62</w:t>
            </w:r>
          </w:p>
        </w:tc>
        <w:tc>
          <w:tcPr>
            <w:tcW w:w="1419" w:type="dxa"/>
            <w:tcBorders>
              <w:top w:val="nil"/>
              <w:left w:val="nil"/>
              <w:bottom w:val="nil"/>
              <w:right w:val="nil"/>
            </w:tcBorders>
            <w:shd w:val="clear" w:color="auto" w:fill="auto"/>
            <w:noWrap/>
            <w:vAlign w:val="bottom"/>
            <w:hideMark/>
          </w:tcPr>
          <w:p w:rsidR="00BA7786" w:rsidRPr="00B4142E" w:rsidRDefault="00BA7786" w:rsidP="00BA7786">
            <w:pPr>
              <w:spacing w:after="0" w:line="240" w:lineRule="auto"/>
              <w:jc w:val="right"/>
              <w:rPr>
                <w:rFonts w:ascii="Calibri" w:eastAsia="Times New Roman" w:hAnsi="Calibri" w:cs="Times New Roman"/>
                <w:color w:val="000000"/>
                <w:sz w:val="16"/>
                <w:szCs w:val="16"/>
                <w:lang w:eastAsia="es-ES"/>
              </w:rPr>
            </w:pPr>
            <w:r w:rsidRPr="00B4142E">
              <w:rPr>
                <w:rFonts w:ascii="Calibri" w:eastAsia="Times New Roman" w:hAnsi="Calibri" w:cs="Times New Roman"/>
                <w:color w:val="000000"/>
                <w:sz w:val="16"/>
                <w:szCs w:val="16"/>
                <w:lang w:eastAsia="es-ES"/>
              </w:rPr>
              <w:t>675,560.80</w:t>
            </w:r>
          </w:p>
        </w:tc>
        <w:tc>
          <w:tcPr>
            <w:tcW w:w="1419" w:type="dxa"/>
            <w:tcBorders>
              <w:top w:val="nil"/>
              <w:left w:val="nil"/>
              <w:bottom w:val="nil"/>
              <w:right w:val="nil"/>
            </w:tcBorders>
            <w:shd w:val="clear" w:color="auto" w:fill="auto"/>
            <w:noWrap/>
            <w:vAlign w:val="bottom"/>
            <w:hideMark/>
          </w:tcPr>
          <w:p w:rsidR="00BA7786" w:rsidRPr="00B4142E" w:rsidRDefault="00BA7786" w:rsidP="00BA7786">
            <w:pPr>
              <w:spacing w:after="0" w:line="240" w:lineRule="auto"/>
              <w:jc w:val="right"/>
              <w:rPr>
                <w:rFonts w:ascii="Calibri" w:eastAsia="Times New Roman" w:hAnsi="Calibri" w:cs="Times New Roman"/>
                <w:color w:val="000000"/>
                <w:sz w:val="16"/>
                <w:szCs w:val="16"/>
                <w:lang w:eastAsia="es-ES"/>
              </w:rPr>
            </w:pPr>
            <w:r w:rsidRPr="00B4142E">
              <w:rPr>
                <w:rFonts w:ascii="Calibri" w:eastAsia="Times New Roman" w:hAnsi="Calibri" w:cs="Times New Roman"/>
                <w:color w:val="000000"/>
                <w:sz w:val="16"/>
                <w:szCs w:val="16"/>
                <w:lang w:eastAsia="es-ES"/>
              </w:rPr>
              <w:t>758,145.87</w:t>
            </w:r>
          </w:p>
        </w:tc>
        <w:tc>
          <w:tcPr>
            <w:tcW w:w="1547" w:type="dxa"/>
            <w:tcBorders>
              <w:top w:val="nil"/>
              <w:left w:val="nil"/>
              <w:bottom w:val="nil"/>
              <w:right w:val="nil"/>
            </w:tcBorders>
            <w:shd w:val="clear" w:color="auto" w:fill="auto"/>
            <w:noWrap/>
            <w:vAlign w:val="bottom"/>
            <w:hideMark/>
          </w:tcPr>
          <w:p w:rsidR="00BA7786" w:rsidRPr="00B4142E" w:rsidRDefault="00BA7786" w:rsidP="00BA7786">
            <w:pPr>
              <w:spacing w:after="0" w:line="240" w:lineRule="auto"/>
              <w:jc w:val="right"/>
              <w:rPr>
                <w:rFonts w:ascii="Calibri" w:eastAsia="Times New Roman" w:hAnsi="Calibri" w:cs="Times New Roman"/>
                <w:color w:val="000000"/>
                <w:sz w:val="16"/>
                <w:szCs w:val="16"/>
                <w:lang w:eastAsia="es-ES"/>
              </w:rPr>
            </w:pPr>
            <w:r w:rsidRPr="00B4142E">
              <w:rPr>
                <w:rFonts w:ascii="Calibri" w:eastAsia="Times New Roman" w:hAnsi="Calibri" w:cs="Times New Roman"/>
                <w:color w:val="000000"/>
                <w:sz w:val="16"/>
                <w:szCs w:val="16"/>
                <w:lang w:eastAsia="es-ES"/>
              </w:rPr>
              <w:t>759,789.82</w:t>
            </w:r>
          </w:p>
        </w:tc>
      </w:tr>
      <w:tr w:rsidR="00BA7786" w:rsidRPr="00B4142E" w:rsidTr="00BA7786">
        <w:trPr>
          <w:trHeight w:val="300"/>
          <w:jc w:val="center"/>
        </w:trPr>
        <w:tc>
          <w:tcPr>
            <w:tcW w:w="1382" w:type="dxa"/>
            <w:tcBorders>
              <w:top w:val="nil"/>
              <w:left w:val="nil"/>
              <w:bottom w:val="nil"/>
              <w:right w:val="nil"/>
            </w:tcBorders>
            <w:shd w:val="clear" w:color="auto" w:fill="auto"/>
            <w:noWrap/>
            <w:vAlign w:val="bottom"/>
            <w:hideMark/>
          </w:tcPr>
          <w:p w:rsidR="00BA7786" w:rsidRPr="00B4142E" w:rsidRDefault="00BA7786" w:rsidP="00BA7786">
            <w:pPr>
              <w:spacing w:after="0" w:line="240" w:lineRule="auto"/>
              <w:rPr>
                <w:rFonts w:ascii="Calibri" w:eastAsia="Times New Roman" w:hAnsi="Calibri" w:cs="Times New Roman"/>
                <w:color w:val="000000"/>
                <w:sz w:val="16"/>
                <w:szCs w:val="16"/>
                <w:lang w:eastAsia="es-ES"/>
              </w:rPr>
            </w:pPr>
            <w:r w:rsidRPr="00B4142E">
              <w:rPr>
                <w:rFonts w:ascii="Calibri" w:eastAsia="Times New Roman" w:hAnsi="Calibri" w:cs="Times New Roman"/>
                <w:color w:val="000000"/>
                <w:sz w:val="16"/>
                <w:szCs w:val="16"/>
                <w:lang w:eastAsia="es-ES"/>
              </w:rPr>
              <w:t xml:space="preserve">   </w:t>
            </w:r>
            <w:proofErr w:type="spellStart"/>
            <w:r w:rsidRPr="00B4142E">
              <w:rPr>
                <w:rFonts w:ascii="Calibri" w:eastAsia="Times New Roman" w:hAnsi="Calibri" w:cs="Times New Roman"/>
                <w:color w:val="000000"/>
                <w:sz w:val="16"/>
                <w:szCs w:val="16"/>
                <w:lang w:eastAsia="es-ES"/>
              </w:rPr>
              <w:t>Wages</w:t>
            </w:r>
            <w:proofErr w:type="spellEnd"/>
          </w:p>
        </w:tc>
        <w:tc>
          <w:tcPr>
            <w:tcW w:w="1419" w:type="dxa"/>
            <w:tcBorders>
              <w:top w:val="nil"/>
              <w:left w:val="nil"/>
              <w:bottom w:val="nil"/>
              <w:right w:val="nil"/>
            </w:tcBorders>
            <w:shd w:val="clear" w:color="auto" w:fill="auto"/>
            <w:noWrap/>
            <w:vAlign w:val="bottom"/>
            <w:hideMark/>
          </w:tcPr>
          <w:p w:rsidR="00BA7786" w:rsidRPr="00B4142E" w:rsidRDefault="00BA7786" w:rsidP="00BA7786">
            <w:pPr>
              <w:spacing w:after="0" w:line="240" w:lineRule="auto"/>
              <w:jc w:val="right"/>
              <w:rPr>
                <w:rFonts w:ascii="Calibri" w:eastAsia="Times New Roman" w:hAnsi="Calibri" w:cs="Times New Roman"/>
                <w:color w:val="000000"/>
                <w:sz w:val="16"/>
                <w:szCs w:val="16"/>
                <w:lang w:eastAsia="es-ES"/>
              </w:rPr>
            </w:pPr>
            <w:r w:rsidRPr="00B4142E">
              <w:rPr>
                <w:rFonts w:ascii="Calibri" w:eastAsia="Times New Roman" w:hAnsi="Calibri" w:cs="Times New Roman"/>
                <w:color w:val="000000"/>
                <w:sz w:val="16"/>
                <w:szCs w:val="16"/>
                <w:lang w:eastAsia="es-ES"/>
              </w:rPr>
              <w:t>580,148.39</w:t>
            </w:r>
          </w:p>
        </w:tc>
        <w:tc>
          <w:tcPr>
            <w:tcW w:w="1438" w:type="dxa"/>
            <w:tcBorders>
              <w:top w:val="nil"/>
              <w:left w:val="nil"/>
              <w:bottom w:val="nil"/>
              <w:right w:val="nil"/>
            </w:tcBorders>
            <w:shd w:val="clear" w:color="auto" w:fill="auto"/>
            <w:noWrap/>
            <w:vAlign w:val="bottom"/>
            <w:hideMark/>
          </w:tcPr>
          <w:p w:rsidR="00BA7786" w:rsidRPr="00B4142E" w:rsidRDefault="00BA7786" w:rsidP="00BA7786">
            <w:pPr>
              <w:spacing w:after="0" w:line="240" w:lineRule="auto"/>
              <w:jc w:val="right"/>
              <w:rPr>
                <w:rFonts w:ascii="Calibri" w:eastAsia="Times New Roman" w:hAnsi="Calibri" w:cs="Times New Roman"/>
                <w:color w:val="000000"/>
                <w:sz w:val="16"/>
                <w:szCs w:val="16"/>
                <w:lang w:eastAsia="es-ES"/>
              </w:rPr>
            </w:pPr>
            <w:r w:rsidRPr="00B4142E">
              <w:rPr>
                <w:rFonts w:ascii="Calibri" w:eastAsia="Times New Roman" w:hAnsi="Calibri" w:cs="Times New Roman"/>
                <w:color w:val="000000"/>
                <w:sz w:val="16"/>
                <w:szCs w:val="16"/>
                <w:lang w:eastAsia="es-ES"/>
              </w:rPr>
              <w:t>601,145.50</w:t>
            </w:r>
          </w:p>
        </w:tc>
        <w:tc>
          <w:tcPr>
            <w:tcW w:w="1419" w:type="dxa"/>
            <w:tcBorders>
              <w:top w:val="nil"/>
              <w:left w:val="nil"/>
              <w:bottom w:val="nil"/>
              <w:right w:val="nil"/>
            </w:tcBorders>
            <w:shd w:val="clear" w:color="auto" w:fill="auto"/>
            <w:noWrap/>
            <w:vAlign w:val="bottom"/>
            <w:hideMark/>
          </w:tcPr>
          <w:p w:rsidR="00BA7786" w:rsidRPr="00B4142E" w:rsidRDefault="00BA7786" w:rsidP="00BA7786">
            <w:pPr>
              <w:spacing w:after="0" w:line="240" w:lineRule="auto"/>
              <w:jc w:val="right"/>
              <w:rPr>
                <w:rFonts w:ascii="Calibri" w:eastAsia="Times New Roman" w:hAnsi="Calibri" w:cs="Times New Roman"/>
                <w:color w:val="000000"/>
                <w:sz w:val="16"/>
                <w:szCs w:val="16"/>
                <w:lang w:eastAsia="es-ES"/>
              </w:rPr>
            </w:pPr>
            <w:r w:rsidRPr="00B4142E">
              <w:rPr>
                <w:rFonts w:ascii="Calibri" w:eastAsia="Times New Roman" w:hAnsi="Calibri" w:cs="Times New Roman"/>
                <w:color w:val="000000"/>
                <w:sz w:val="16"/>
                <w:szCs w:val="16"/>
                <w:lang w:eastAsia="es-ES"/>
              </w:rPr>
              <w:t>601,067.89</w:t>
            </w:r>
          </w:p>
        </w:tc>
        <w:tc>
          <w:tcPr>
            <w:tcW w:w="1419" w:type="dxa"/>
            <w:tcBorders>
              <w:top w:val="nil"/>
              <w:left w:val="nil"/>
              <w:bottom w:val="nil"/>
              <w:right w:val="nil"/>
            </w:tcBorders>
            <w:shd w:val="clear" w:color="auto" w:fill="auto"/>
            <w:noWrap/>
            <w:vAlign w:val="bottom"/>
            <w:hideMark/>
          </w:tcPr>
          <w:p w:rsidR="00BA7786" w:rsidRPr="00B4142E" w:rsidRDefault="00BA7786" w:rsidP="00BA7786">
            <w:pPr>
              <w:spacing w:after="0" w:line="240" w:lineRule="auto"/>
              <w:jc w:val="right"/>
              <w:rPr>
                <w:rFonts w:ascii="Calibri" w:eastAsia="Times New Roman" w:hAnsi="Calibri" w:cs="Times New Roman"/>
                <w:color w:val="000000"/>
                <w:sz w:val="16"/>
                <w:szCs w:val="16"/>
                <w:lang w:eastAsia="es-ES"/>
              </w:rPr>
            </w:pPr>
            <w:r w:rsidRPr="00B4142E">
              <w:rPr>
                <w:rFonts w:ascii="Calibri" w:eastAsia="Times New Roman" w:hAnsi="Calibri" w:cs="Times New Roman"/>
                <w:color w:val="000000"/>
                <w:sz w:val="16"/>
                <w:szCs w:val="16"/>
                <w:lang w:eastAsia="es-ES"/>
              </w:rPr>
              <w:t>707,236.28</w:t>
            </w:r>
          </w:p>
        </w:tc>
        <w:tc>
          <w:tcPr>
            <w:tcW w:w="1547" w:type="dxa"/>
            <w:tcBorders>
              <w:top w:val="nil"/>
              <w:left w:val="nil"/>
              <w:bottom w:val="nil"/>
              <w:right w:val="nil"/>
            </w:tcBorders>
            <w:shd w:val="clear" w:color="auto" w:fill="auto"/>
            <w:noWrap/>
            <w:vAlign w:val="bottom"/>
            <w:hideMark/>
          </w:tcPr>
          <w:p w:rsidR="00BA7786" w:rsidRPr="00B4142E" w:rsidRDefault="00BA7786" w:rsidP="00BA7786">
            <w:pPr>
              <w:spacing w:after="0" w:line="240" w:lineRule="auto"/>
              <w:jc w:val="right"/>
              <w:rPr>
                <w:rFonts w:ascii="Calibri" w:eastAsia="Times New Roman" w:hAnsi="Calibri" w:cs="Times New Roman"/>
                <w:color w:val="000000"/>
                <w:sz w:val="16"/>
                <w:szCs w:val="16"/>
                <w:lang w:eastAsia="es-ES"/>
              </w:rPr>
            </w:pPr>
            <w:r w:rsidRPr="00B4142E">
              <w:rPr>
                <w:rFonts w:ascii="Calibri" w:eastAsia="Times New Roman" w:hAnsi="Calibri" w:cs="Times New Roman"/>
                <w:color w:val="000000"/>
                <w:sz w:val="16"/>
                <w:szCs w:val="16"/>
                <w:lang w:eastAsia="es-ES"/>
              </w:rPr>
              <w:t>672,825.63</w:t>
            </w:r>
          </w:p>
        </w:tc>
      </w:tr>
      <w:tr w:rsidR="00BA7786" w:rsidRPr="00B4142E" w:rsidTr="00BA7786">
        <w:trPr>
          <w:trHeight w:val="300"/>
          <w:jc w:val="center"/>
        </w:trPr>
        <w:tc>
          <w:tcPr>
            <w:tcW w:w="1382" w:type="dxa"/>
            <w:tcBorders>
              <w:top w:val="nil"/>
              <w:left w:val="nil"/>
              <w:bottom w:val="nil"/>
              <w:right w:val="nil"/>
            </w:tcBorders>
            <w:shd w:val="clear" w:color="auto" w:fill="auto"/>
            <w:noWrap/>
            <w:vAlign w:val="bottom"/>
            <w:hideMark/>
          </w:tcPr>
          <w:p w:rsidR="00BA7786" w:rsidRPr="00B4142E" w:rsidRDefault="00BA7786" w:rsidP="00BA7786">
            <w:pPr>
              <w:spacing w:after="0" w:line="240" w:lineRule="auto"/>
              <w:rPr>
                <w:rFonts w:ascii="Calibri" w:eastAsia="Times New Roman" w:hAnsi="Calibri" w:cs="Times New Roman"/>
                <w:color w:val="000000"/>
                <w:sz w:val="16"/>
                <w:szCs w:val="16"/>
                <w:lang w:eastAsia="es-ES"/>
              </w:rPr>
            </w:pPr>
            <w:r w:rsidRPr="00B4142E">
              <w:rPr>
                <w:rFonts w:ascii="Calibri" w:eastAsia="Times New Roman" w:hAnsi="Calibri" w:cs="Times New Roman"/>
                <w:color w:val="000000"/>
                <w:sz w:val="16"/>
                <w:szCs w:val="16"/>
                <w:lang w:eastAsia="es-ES"/>
              </w:rPr>
              <w:t xml:space="preserve">   Non-</w:t>
            </w:r>
            <w:proofErr w:type="spellStart"/>
            <w:r w:rsidRPr="00B4142E">
              <w:rPr>
                <w:rFonts w:ascii="Calibri" w:eastAsia="Times New Roman" w:hAnsi="Calibri" w:cs="Times New Roman"/>
                <w:color w:val="000000"/>
                <w:sz w:val="16"/>
                <w:szCs w:val="16"/>
                <w:lang w:eastAsia="es-ES"/>
              </w:rPr>
              <w:t>Wages</w:t>
            </w:r>
            <w:proofErr w:type="spellEnd"/>
          </w:p>
        </w:tc>
        <w:tc>
          <w:tcPr>
            <w:tcW w:w="1419" w:type="dxa"/>
            <w:tcBorders>
              <w:top w:val="nil"/>
              <w:left w:val="nil"/>
              <w:bottom w:val="nil"/>
              <w:right w:val="nil"/>
            </w:tcBorders>
            <w:shd w:val="clear" w:color="auto" w:fill="auto"/>
            <w:noWrap/>
            <w:vAlign w:val="bottom"/>
            <w:hideMark/>
          </w:tcPr>
          <w:p w:rsidR="00BA7786" w:rsidRPr="00B4142E" w:rsidRDefault="00BA7786" w:rsidP="00BA7786">
            <w:pPr>
              <w:spacing w:after="0" w:line="240" w:lineRule="auto"/>
              <w:jc w:val="right"/>
              <w:rPr>
                <w:rFonts w:ascii="Calibri" w:eastAsia="Times New Roman" w:hAnsi="Calibri" w:cs="Times New Roman"/>
                <w:color w:val="000000"/>
                <w:sz w:val="16"/>
                <w:szCs w:val="16"/>
                <w:lang w:eastAsia="es-ES"/>
              </w:rPr>
            </w:pPr>
            <w:r w:rsidRPr="00B4142E">
              <w:rPr>
                <w:rFonts w:ascii="Calibri" w:eastAsia="Times New Roman" w:hAnsi="Calibri" w:cs="Times New Roman"/>
                <w:color w:val="000000"/>
                <w:sz w:val="16"/>
                <w:szCs w:val="16"/>
                <w:lang w:eastAsia="es-ES"/>
              </w:rPr>
              <w:t>66,810.07</w:t>
            </w:r>
          </w:p>
        </w:tc>
        <w:tc>
          <w:tcPr>
            <w:tcW w:w="1438" w:type="dxa"/>
            <w:tcBorders>
              <w:top w:val="nil"/>
              <w:left w:val="nil"/>
              <w:bottom w:val="nil"/>
              <w:right w:val="nil"/>
            </w:tcBorders>
            <w:shd w:val="clear" w:color="auto" w:fill="auto"/>
            <w:noWrap/>
            <w:vAlign w:val="bottom"/>
            <w:hideMark/>
          </w:tcPr>
          <w:p w:rsidR="00BA7786" w:rsidRPr="00B4142E" w:rsidRDefault="00BA7786" w:rsidP="00BA7786">
            <w:pPr>
              <w:spacing w:after="0" w:line="240" w:lineRule="auto"/>
              <w:jc w:val="right"/>
              <w:rPr>
                <w:rFonts w:ascii="Calibri" w:eastAsia="Times New Roman" w:hAnsi="Calibri" w:cs="Times New Roman"/>
                <w:color w:val="000000"/>
                <w:sz w:val="16"/>
                <w:szCs w:val="16"/>
                <w:lang w:eastAsia="es-ES"/>
              </w:rPr>
            </w:pPr>
            <w:r w:rsidRPr="00B4142E">
              <w:rPr>
                <w:rFonts w:ascii="Calibri" w:eastAsia="Times New Roman" w:hAnsi="Calibri" w:cs="Times New Roman"/>
                <w:color w:val="000000"/>
                <w:sz w:val="16"/>
                <w:szCs w:val="16"/>
                <w:lang w:eastAsia="es-ES"/>
              </w:rPr>
              <w:t>72,435.12</w:t>
            </w:r>
          </w:p>
        </w:tc>
        <w:tc>
          <w:tcPr>
            <w:tcW w:w="1419" w:type="dxa"/>
            <w:tcBorders>
              <w:top w:val="nil"/>
              <w:left w:val="nil"/>
              <w:bottom w:val="nil"/>
              <w:right w:val="nil"/>
            </w:tcBorders>
            <w:shd w:val="clear" w:color="auto" w:fill="auto"/>
            <w:noWrap/>
            <w:vAlign w:val="bottom"/>
            <w:hideMark/>
          </w:tcPr>
          <w:p w:rsidR="00BA7786" w:rsidRPr="00B4142E" w:rsidRDefault="00BA7786" w:rsidP="00BA7786">
            <w:pPr>
              <w:spacing w:after="0" w:line="240" w:lineRule="auto"/>
              <w:jc w:val="right"/>
              <w:rPr>
                <w:rFonts w:ascii="Calibri" w:eastAsia="Times New Roman" w:hAnsi="Calibri" w:cs="Times New Roman"/>
                <w:color w:val="000000"/>
                <w:sz w:val="16"/>
                <w:szCs w:val="16"/>
                <w:lang w:eastAsia="es-ES"/>
              </w:rPr>
            </w:pPr>
            <w:r w:rsidRPr="00B4142E">
              <w:rPr>
                <w:rFonts w:ascii="Calibri" w:eastAsia="Times New Roman" w:hAnsi="Calibri" w:cs="Times New Roman"/>
                <w:color w:val="000000"/>
                <w:sz w:val="16"/>
                <w:szCs w:val="16"/>
                <w:lang w:eastAsia="es-ES"/>
              </w:rPr>
              <w:t>74,492.91</w:t>
            </w:r>
          </w:p>
        </w:tc>
        <w:tc>
          <w:tcPr>
            <w:tcW w:w="1419" w:type="dxa"/>
            <w:tcBorders>
              <w:top w:val="nil"/>
              <w:left w:val="nil"/>
              <w:bottom w:val="nil"/>
              <w:right w:val="nil"/>
            </w:tcBorders>
            <w:shd w:val="clear" w:color="auto" w:fill="auto"/>
            <w:noWrap/>
            <w:vAlign w:val="bottom"/>
            <w:hideMark/>
          </w:tcPr>
          <w:p w:rsidR="00BA7786" w:rsidRPr="00B4142E" w:rsidRDefault="00BA7786" w:rsidP="00BA7786">
            <w:pPr>
              <w:spacing w:after="0" w:line="240" w:lineRule="auto"/>
              <w:jc w:val="right"/>
              <w:rPr>
                <w:rFonts w:ascii="Calibri" w:eastAsia="Times New Roman" w:hAnsi="Calibri" w:cs="Times New Roman"/>
                <w:color w:val="000000"/>
                <w:sz w:val="16"/>
                <w:szCs w:val="16"/>
                <w:lang w:eastAsia="es-ES"/>
              </w:rPr>
            </w:pPr>
            <w:r w:rsidRPr="00B4142E">
              <w:rPr>
                <w:rFonts w:ascii="Calibri" w:eastAsia="Times New Roman" w:hAnsi="Calibri" w:cs="Times New Roman"/>
                <w:color w:val="000000"/>
                <w:sz w:val="16"/>
                <w:szCs w:val="16"/>
                <w:lang w:eastAsia="es-ES"/>
              </w:rPr>
              <w:t>50,909.60</w:t>
            </w:r>
          </w:p>
        </w:tc>
        <w:tc>
          <w:tcPr>
            <w:tcW w:w="1547" w:type="dxa"/>
            <w:tcBorders>
              <w:top w:val="nil"/>
              <w:left w:val="nil"/>
              <w:bottom w:val="nil"/>
              <w:right w:val="nil"/>
            </w:tcBorders>
            <w:shd w:val="clear" w:color="auto" w:fill="auto"/>
            <w:noWrap/>
            <w:vAlign w:val="bottom"/>
            <w:hideMark/>
          </w:tcPr>
          <w:p w:rsidR="00BA7786" w:rsidRPr="00B4142E" w:rsidRDefault="00BA7786" w:rsidP="00BA7786">
            <w:pPr>
              <w:spacing w:after="0" w:line="240" w:lineRule="auto"/>
              <w:jc w:val="right"/>
              <w:rPr>
                <w:rFonts w:ascii="Calibri" w:eastAsia="Times New Roman" w:hAnsi="Calibri" w:cs="Times New Roman"/>
                <w:color w:val="000000"/>
                <w:sz w:val="16"/>
                <w:szCs w:val="16"/>
                <w:lang w:eastAsia="es-ES"/>
              </w:rPr>
            </w:pPr>
            <w:r w:rsidRPr="00B4142E">
              <w:rPr>
                <w:rFonts w:ascii="Calibri" w:eastAsia="Times New Roman" w:hAnsi="Calibri" w:cs="Times New Roman"/>
                <w:color w:val="000000"/>
                <w:sz w:val="16"/>
                <w:szCs w:val="16"/>
                <w:lang w:eastAsia="es-ES"/>
              </w:rPr>
              <w:t>86,964.19</w:t>
            </w:r>
          </w:p>
        </w:tc>
      </w:tr>
      <w:tr w:rsidR="00BA7786" w:rsidRPr="00B4142E" w:rsidTr="00BA7786">
        <w:trPr>
          <w:trHeight w:val="300"/>
          <w:jc w:val="center"/>
        </w:trPr>
        <w:tc>
          <w:tcPr>
            <w:tcW w:w="1382" w:type="dxa"/>
            <w:tcBorders>
              <w:top w:val="nil"/>
              <w:left w:val="nil"/>
              <w:bottom w:val="nil"/>
              <w:right w:val="nil"/>
            </w:tcBorders>
            <w:shd w:val="clear" w:color="auto" w:fill="auto"/>
            <w:noWrap/>
            <w:vAlign w:val="bottom"/>
            <w:hideMark/>
          </w:tcPr>
          <w:p w:rsidR="00BA7786" w:rsidRPr="00B4142E" w:rsidRDefault="00BA7786" w:rsidP="00BA7786">
            <w:pPr>
              <w:spacing w:after="0" w:line="240" w:lineRule="auto"/>
              <w:rPr>
                <w:rFonts w:ascii="Calibri" w:eastAsia="Times New Roman" w:hAnsi="Calibri" w:cs="Times New Roman"/>
                <w:color w:val="000000"/>
                <w:sz w:val="16"/>
                <w:szCs w:val="16"/>
                <w:lang w:eastAsia="es-ES"/>
              </w:rPr>
            </w:pPr>
            <w:r w:rsidRPr="00B4142E">
              <w:rPr>
                <w:rFonts w:ascii="Calibri" w:eastAsia="Times New Roman" w:hAnsi="Calibri" w:cs="Times New Roman"/>
                <w:color w:val="000000"/>
                <w:sz w:val="16"/>
                <w:szCs w:val="16"/>
                <w:lang w:eastAsia="es-ES"/>
              </w:rPr>
              <w:t>Capital</w:t>
            </w:r>
          </w:p>
        </w:tc>
        <w:tc>
          <w:tcPr>
            <w:tcW w:w="1419" w:type="dxa"/>
            <w:tcBorders>
              <w:top w:val="nil"/>
              <w:left w:val="nil"/>
              <w:bottom w:val="nil"/>
              <w:right w:val="nil"/>
            </w:tcBorders>
            <w:shd w:val="clear" w:color="auto" w:fill="auto"/>
            <w:noWrap/>
            <w:vAlign w:val="bottom"/>
            <w:hideMark/>
          </w:tcPr>
          <w:p w:rsidR="00BA7786" w:rsidRPr="00B4142E" w:rsidRDefault="00BA7786" w:rsidP="00BA7786">
            <w:pPr>
              <w:spacing w:after="0" w:line="240" w:lineRule="auto"/>
              <w:jc w:val="right"/>
              <w:rPr>
                <w:rFonts w:ascii="Calibri" w:eastAsia="Times New Roman" w:hAnsi="Calibri" w:cs="Times New Roman"/>
                <w:color w:val="000000"/>
                <w:sz w:val="16"/>
                <w:szCs w:val="16"/>
                <w:lang w:eastAsia="es-ES"/>
              </w:rPr>
            </w:pPr>
            <w:r w:rsidRPr="00B4142E">
              <w:rPr>
                <w:rFonts w:ascii="Calibri" w:eastAsia="Times New Roman" w:hAnsi="Calibri" w:cs="Times New Roman"/>
                <w:color w:val="000000"/>
                <w:sz w:val="16"/>
                <w:szCs w:val="16"/>
                <w:lang w:eastAsia="es-ES"/>
              </w:rPr>
              <w:t>8,422.37</w:t>
            </w:r>
          </w:p>
        </w:tc>
        <w:tc>
          <w:tcPr>
            <w:tcW w:w="1438" w:type="dxa"/>
            <w:tcBorders>
              <w:top w:val="nil"/>
              <w:left w:val="nil"/>
              <w:bottom w:val="nil"/>
              <w:right w:val="nil"/>
            </w:tcBorders>
            <w:shd w:val="clear" w:color="auto" w:fill="auto"/>
            <w:noWrap/>
            <w:vAlign w:val="bottom"/>
            <w:hideMark/>
          </w:tcPr>
          <w:p w:rsidR="00BA7786" w:rsidRPr="00B4142E" w:rsidRDefault="00BA7786" w:rsidP="00BA7786">
            <w:pPr>
              <w:spacing w:after="0" w:line="240" w:lineRule="auto"/>
              <w:jc w:val="right"/>
              <w:rPr>
                <w:rFonts w:ascii="Calibri" w:eastAsia="Times New Roman" w:hAnsi="Calibri" w:cs="Times New Roman"/>
                <w:color w:val="000000"/>
                <w:sz w:val="16"/>
                <w:szCs w:val="16"/>
                <w:lang w:eastAsia="es-ES"/>
              </w:rPr>
            </w:pPr>
            <w:r w:rsidRPr="00B4142E">
              <w:rPr>
                <w:rFonts w:ascii="Calibri" w:eastAsia="Times New Roman" w:hAnsi="Calibri" w:cs="Times New Roman"/>
                <w:color w:val="000000"/>
                <w:sz w:val="16"/>
                <w:szCs w:val="16"/>
                <w:lang w:eastAsia="es-ES"/>
              </w:rPr>
              <w:t>12,375.15</w:t>
            </w:r>
          </w:p>
        </w:tc>
        <w:tc>
          <w:tcPr>
            <w:tcW w:w="1419" w:type="dxa"/>
            <w:tcBorders>
              <w:top w:val="nil"/>
              <w:left w:val="nil"/>
              <w:bottom w:val="nil"/>
              <w:right w:val="nil"/>
            </w:tcBorders>
            <w:shd w:val="clear" w:color="auto" w:fill="auto"/>
            <w:noWrap/>
            <w:vAlign w:val="bottom"/>
            <w:hideMark/>
          </w:tcPr>
          <w:p w:rsidR="00BA7786" w:rsidRPr="00B4142E" w:rsidRDefault="00BA7786" w:rsidP="00BA7786">
            <w:pPr>
              <w:spacing w:after="0" w:line="240" w:lineRule="auto"/>
              <w:jc w:val="right"/>
              <w:rPr>
                <w:rFonts w:ascii="Calibri" w:eastAsia="Times New Roman" w:hAnsi="Calibri" w:cs="Times New Roman"/>
                <w:color w:val="000000"/>
                <w:sz w:val="16"/>
                <w:szCs w:val="16"/>
                <w:lang w:eastAsia="es-ES"/>
              </w:rPr>
            </w:pPr>
            <w:r w:rsidRPr="00B4142E">
              <w:rPr>
                <w:rFonts w:ascii="Calibri" w:eastAsia="Times New Roman" w:hAnsi="Calibri" w:cs="Times New Roman"/>
                <w:color w:val="000000"/>
                <w:sz w:val="16"/>
                <w:szCs w:val="16"/>
                <w:lang w:eastAsia="es-ES"/>
              </w:rPr>
              <w:t>10,253.60</w:t>
            </w:r>
          </w:p>
        </w:tc>
        <w:tc>
          <w:tcPr>
            <w:tcW w:w="1419" w:type="dxa"/>
            <w:tcBorders>
              <w:top w:val="nil"/>
              <w:left w:val="nil"/>
              <w:bottom w:val="nil"/>
              <w:right w:val="nil"/>
            </w:tcBorders>
            <w:shd w:val="clear" w:color="auto" w:fill="auto"/>
            <w:noWrap/>
            <w:vAlign w:val="bottom"/>
            <w:hideMark/>
          </w:tcPr>
          <w:p w:rsidR="00BA7786" w:rsidRPr="00B4142E" w:rsidRDefault="00BA7786" w:rsidP="00BA7786">
            <w:pPr>
              <w:spacing w:after="0" w:line="240" w:lineRule="auto"/>
              <w:jc w:val="right"/>
              <w:rPr>
                <w:rFonts w:ascii="Calibri" w:eastAsia="Times New Roman" w:hAnsi="Calibri" w:cs="Times New Roman"/>
                <w:color w:val="000000"/>
                <w:sz w:val="16"/>
                <w:szCs w:val="16"/>
                <w:lang w:eastAsia="es-ES"/>
              </w:rPr>
            </w:pPr>
            <w:r w:rsidRPr="00B4142E">
              <w:rPr>
                <w:rFonts w:ascii="Calibri" w:eastAsia="Times New Roman" w:hAnsi="Calibri" w:cs="Times New Roman"/>
                <w:color w:val="000000"/>
                <w:sz w:val="16"/>
                <w:szCs w:val="16"/>
                <w:lang w:eastAsia="es-ES"/>
              </w:rPr>
              <w:t>31,955.93</w:t>
            </w:r>
          </w:p>
        </w:tc>
        <w:tc>
          <w:tcPr>
            <w:tcW w:w="1547" w:type="dxa"/>
            <w:tcBorders>
              <w:top w:val="nil"/>
              <w:left w:val="nil"/>
              <w:bottom w:val="nil"/>
              <w:right w:val="nil"/>
            </w:tcBorders>
            <w:shd w:val="clear" w:color="auto" w:fill="auto"/>
            <w:noWrap/>
            <w:vAlign w:val="bottom"/>
            <w:hideMark/>
          </w:tcPr>
          <w:p w:rsidR="00BA7786" w:rsidRPr="00B4142E" w:rsidRDefault="00BA7786" w:rsidP="00BA7786">
            <w:pPr>
              <w:spacing w:after="0" w:line="240" w:lineRule="auto"/>
              <w:jc w:val="right"/>
              <w:rPr>
                <w:rFonts w:ascii="Calibri" w:eastAsia="Times New Roman" w:hAnsi="Calibri" w:cs="Times New Roman"/>
                <w:color w:val="000000"/>
                <w:sz w:val="16"/>
                <w:szCs w:val="16"/>
                <w:lang w:eastAsia="es-ES"/>
              </w:rPr>
            </w:pPr>
            <w:r w:rsidRPr="00B4142E">
              <w:rPr>
                <w:rFonts w:ascii="Calibri" w:eastAsia="Times New Roman" w:hAnsi="Calibri" w:cs="Times New Roman"/>
                <w:color w:val="000000"/>
                <w:sz w:val="16"/>
                <w:szCs w:val="16"/>
                <w:lang w:eastAsia="es-ES"/>
              </w:rPr>
              <w:t>25,814.88</w:t>
            </w:r>
          </w:p>
        </w:tc>
      </w:tr>
      <w:tr w:rsidR="00BA7786" w:rsidRPr="00B4142E" w:rsidTr="00B4142E">
        <w:trPr>
          <w:trHeight w:val="245"/>
          <w:jc w:val="center"/>
        </w:trPr>
        <w:tc>
          <w:tcPr>
            <w:tcW w:w="1382" w:type="dxa"/>
            <w:tcBorders>
              <w:top w:val="nil"/>
              <w:left w:val="nil"/>
              <w:bottom w:val="nil"/>
              <w:right w:val="nil"/>
            </w:tcBorders>
            <w:shd w:val="clear" w:color="000000" w:fill="CCCCFF"/>
            <w:noWrap/>
            <w:vAlign w:val="bottom"/>
            <w:hideMark/>
          </w:tcPr>
          <w:p w:rsidR="00BA7786" w:rsidRPr="00B4142E" w:rsidRDefault="00BA7786" w:rsidP="00BA7786">
            <w:pPr>
              <w:spacing w:after="0" w:line="240" w:lineRule="auto"/>
              <w:rPr>
                <w:rFonts w:ascii="Calibri" w:eastAsia="Times New Roman" w:hAnsi="Calibri" w:cs="Times New Roman"/>
                <w:b/>
                <w:bCs/>
                <w:color w:val="000000"/>
                <w:sz w:val="16"/>
                <w:szCs w:val="16"/>
                <w:lang w:eastAsia="es-ES"/>
              </w:rPr>
            </w:pPr>
            <w:proofErr w:type="spellStart"/>
            <w:r w:rsidRPr="00B4142E">
              <w:rPr>
                <w:rFonts w:ascii="Calibri" w:eastAsia="Times New Roman" w:hAnsi="Calibri" w:cs="Times New Roman"/>
                <w:b/>
                <w:bCs/>
                <w:color w:val="000000"/>
                <w:sz w:val="16"/>
                <w:szCs w:val="16"/>
                <w:lang w:eastAsia="es-ES"/>
              </w:rPr>
              <w:t>Primary</w:t>
            </w:r>
            <w:proofErr w:type="spellEnd"/>
          </w:p>
        </w:tc>
        <w:tc>
          <w:tcPr>
            <w:tcW w:w="1419" w:type="dxa"/>
            <w:tcBorders>
              <w:top w:val="nil"/>
              <w:left w:val="nil"/>
              <w:bottom w:val="nil"/>
              <w:right w:val="nil"/>
            </w:tcBorders>
            <w:shd w:val="clear" w:color="000000" w:fill="CCCCFF"/>
            <w:noWrap/>
            <w:vAlign w:val="bottom"/>
            <w:hideMark/>
          </w:tcPr>
          <w:p w:rsidR="00BA7786" w:rsidRPr="00B4142E" w:rsidRDefault="00BA7786" w:rsidP="00BA7786">
            <w:pPr>
              <w:spacing w:after="0" w:line="240" w:lineRule="auto"/>
              <w:rPr>
                <w:rFonts w:ascii="Calibri" w:eastAsia="Times New Roman" w:hAnsi="Calibri" w:cs="Times New Roman"/>
                <w:color w:val="000000"/>
                <w:sz w:val="16"/>
                <w:szCs w:val="16"/>
                <w:lang w:eastAsia="es-ES"/>
              </w:rPr>
            </w:pPr>
            <w:r w:rsidRPr="00B4142E">
              <w:rPr>
                <w:rFonts w:ascii="Calibri" w:eastAsia="Times New Roman" w:hAnsi="Calibri" w:cs="Times New Roman"/>
                <w:color w:val="000000"/>
                <w:sz w:val="16"/>
                <w:szCs w:val="16"/>
                <w:lang w:eastAsia="es-ES"/>
              </w:rPr>
              <w:t> </w:t>
            </w:r>
          </w:p>
        </w:tc>
        <w:tc>
          <w:tcPr>
            <w:tcW w:w="1438" w:type="dxa"/>
            <w:tcBorders>
              <w:top w:val="nil"/>
              <w:left w:val="nil"/>
              <w:bottom w:val="nil"/>
              <w:right w:val="nil"/>
            </w:tcBorders>
            <w:shd w:val="clear" w:color="000000" w:fill="CCCCFF"/>
            <w:noWrap/>
            <w:vAlign w:val="bottom"/>
            <w:hideMark/>
          </w:tcPr>
          <w:p w:rsidR="00BA7786" w:rsidRPr="00B4142E" w:rsidRDefault="00BA7786" w:rsidP="00BA7786">
            <w:pPr>
              <w:spacing w:after="0" w:line="240" w:lineRule="auto"/>
              <w:rPr>
                <w:rFonts w:ascii="Calibri" w:eastAsia="Times New Roman" w:hAnsi="Calibri" w:cs="Times New Roman"/>
                <w:color w:val="000000"/>
                <w:sz w:val="16"/>
                <w:szCs w:val="16"/>
                <w:lang w:eastAsia="es-ES"/>
              </w:rPr>
            </w:pPr>
            <w:r w:rsidRPr="00B4142E">
              <w:rPr>
                <w:rFonts w:ascii="Calibri" w:eastAsia="Times New Roman" w:hAnsi="Calibri" w:cs="Times New Roman"/>
                <w:color w:val="000000"/>
                <w:sz w:val="16"/>
                <w:szCs w:val="16"/>
                <w:lang w:eastAsia="es-ES"/>
              </w:rPr>
              <w:t> </w:t>
            </w:r>
          </w:p>
        </w:tc>
        <w:tc>
          <w:tcPr>
            <w:tcW w:w="1419" w:type="dxa"/>
            <w:tcBorders>
              <w:top w:val="nil"/>
              <w:left w:val="nil"/>
              <w:bottom w:val="nil"/>
              <w:right w:val="nil"/>
            </w:tcBorders>
            <w:shd w:val="clear" w:color="000000" w:fill="CCCCFF"/>
            <w:noWrap/>
            <w:vAlign w:val="bottom"/>
            <w:hideMark/>
          </w:tcPr>
          <w:p w:rsidR="00BA7786" w:rsidRPr="00B4142E" w:rsidRDefault="00BA7786" w:rsidP="00BA7786">
            <w:pPr>
              <w:spacing w:after="0" w:line="240" w:lineRule="auto"/>
              <w:rPr>
                <w:rFonts w:ascii="Calibri" w:eastAsia="Times New Roman" w:hAnsi="Calibri" w:cs="Times New Roman"/>
                <w:color w:val="000000"/>
                <w:sz w:val="16"/>
                <w:szCs w:val="16"/>
                <w:lang w:eastAsia="es-ES"/>
              </w:rPr>
            </w:pPr>
            <w:r w:rsidRPr="00B4142E">
              <w:rPr>
                <w:rFonts w:ascii="Calibri" w:eastAsia="Times New Roman" w:hAnsi="Calibri" w:cs="Times New Roman"/>
                <w:color w:val="000000"/>
                <w:sz w:val="16"/>
                <w:szCs w:val="16"/>
                <w:lang w:eastAsia="es-ES"/>
              </w:rPr>
              <w:t> </w:t>
            </w:r>
          </w:p>
        </w:tc>
        <w:tc>
          <w:tcPr>
            <w:tcW w:w="1419" w:type="dxa"/>
            <w:tcBorders>
              <w:top w:val="nil"/>
              <w:left w:val="nil"/>
              <w:bottom w:val="nil"/>
              <w:right w:val="nil"/>
            </w:tcBorders>
            <w:shd w:val="clear" w:color="000000" w:fill="CCCCFF"/>
            <w:noWrap/>
            <w:vAlign w:val="bottom"/>
            <w:hideMark/>
          </w:tcPr>
          <w:p w:rsidR="00BA7786" w:rsidRPr="00B4142E" w:rsidRDefault="00BA7786" w:rsidP="00BA7786">
            <w:pPr>
              <w:spacing w:after="0" w:line="240" w:lineRule="auto"/>
              <w:rPr>
                <w:rFonts w:ascii="Calibri" w:eastAsia="Times New Roman" w:hAnsi="Calibri" w:cs="Times New Roman"/>
                <w:color w:val="000000"/>
                <w:sz w:val="16"/>
                <w:szCs w:val="16"/>
                <w:lang w:eastAsia="es-ES"/>
              </w:rPr>
            </w:pPr>
            <w:r w:rsidRPr="00B4142E">
              <w:rPr>
                <w:rFonts w:ascii="Calibri" w:eastAsia="Times New Roman" w:hAnsi="Calibri" w:cs="Times New Roman"/>
                <w:color w:val="000000"/>
                <w:sz w:val="16"/>
                <w:szCs w:val="16"/>
                <w:lang w:eastAsia="es-ES"/>
              </w:rPr>
              <w:t> </w:t>
            </w:r>
          </w:p>
        </w:tc>
        <w:tc>
          <w:tcPr>
            <w:tcW w:w="1547" w:type="dxa"/>
            <w:tcBorders>
              <w:top w:val="nil"/>
              <w:left w:val="nil"/>
              <w:bottom w:val="nil"/>
              <w:right w:val="nil"/>
            </w:tcBorders>
            <w:shd w:val="clear" w:color="000000" w:fill="CCCCFF"/>
            <w:noWrap/>
            <w:vAlign w:val="bottom"/>
            <w:hideMark/>
          </w:tcPr>
          <w:p w:rsidR="00BA7786" w:rsidRPr="00B4142E" w:rsidRDefault="00BA7786" w:rsidP="00BA7786">
            <w:pPr>
              <w:spacing w:after="0" w:line="240" w:lineRule="auto"/>
              <w:rPr>
                <w:rFonts w:ascii="Calibri" w:eastAsia="Times New Roman" w:hAnsi="Calibri" w:cs="Times New Roman"/>
                <w:color w:val="000000"/>
                <w:sz w:val="16"/>
                <w:szCs w:val="16"/>
                <w:lang w:eastAsia="es-ES"/>
              </w:rPr>
            </w:pPr>
            <w:r w:rsidRPr="00B4142E">
              <w:rPr>
                <w:rFonts w:ascii="Calibri" w:eastAsia="Times New Roman" w:hAnsi="Calibri" w:cs="Times New Roman"/>
                <w:color w:val="000000"/>
                <w:sz w:val="16"/>
                <w:szCs w:val="16"/>
                <w:lang w:eastAsia="es-ES"/>
              </w:rPr>
              <w:t> </w:t>
            </w:r>
          </w:p>
        </w:tc>
      </w:tr>
      <w:tr w:rsidR="00BA7786" w:rsidRPr="00B4142E" w:rsidTr="00BA7786">
        <w:trPr>
          <w:trHeight w:val="300"/>
          <w:jc w:val="center"/>
        </w:trPr>
        <w:tc>
          <w:tcPr>
            <w:tcW w:w="1382" w:type="dxa"/>
            <w:tcBorders>
              <w:top w:val="nil"/>
              <w:left w:val="nil"/>
              <w:bottom w:val="nil"/>
              <w:right w:val="nil"/>
            </w:tcBorders>
            <w:shd w:val="clear" w:color="auto" w:fill="auto"/>
            <w:noWrap/>
            <w:vAlign w:val="bottom"/>
            <w:hideMark/>
          </w:tcPr>
          <w:p w:rsidR="00BA7786" w:rsidRPr="00B4142E" w:rsidRDefault="00BA7786" w:rsidP="00BA7786">
            <w:pPr>
              <w:spacing w:after="0" w:line="240" w:lineRule="auto"/>
              <w:rPr>
                <w:rFonts w:ascii="Calibri" w:eastAsia="Times New Roman" w:hAnsi="Calibri" w:cs="Times New Roman"/>
                <w:color w:val="000000"/>
                <w:sz w:val="16"/>
                <w:szCs w:val="16"/>
                <w:lang w:eastAsia="es-ES"/>
              </w:rPr>
            </w:pPr>
            <w:proofErr w:type="spellStart"/>
            <w:r w:rsidRPr="00B4142E">
              <w:rPr>
                <w:rFonts w:ascii="Calibri" w:eastAsia="Times New Roman" w:hAnsi="Calibri" w:cs="Times New Roman"/>
                <w:color w:val="000000"/>
                <w:sz w:val="16"/>
                <w:szCs w:val="16"/>
                <w:lang w:eastAsia="es-ES"/>
              </w:rPr>
              <w:t>Recurrent</w:t>
            </w:r>
            <w:proofErr w:type="spellEnd"/>
          </w:p>
        </w:tc>
        <w:tc>
          <w:tcPr>
            <w:tcW w:w="1419" w:type="dxa"/>
            <w:tcBorders>
              <w:top w:val="nil"/>
              <w:left w:val="nil"/>
              <w:bottom w:val="nil"/>
              <w:right w:val="nil"/>
            </w:tcBorders>
            <w:shd w:val="clear" w:color="auto" w:fill="auto"/>
            <w:noWrap/>
            <w:vAlign w:val="bottom"/>
            <w:hideMark/>
          </w:tcPr>
          <w:p w:rsidR="00BA7786" w:rsidRPr="00B4142E" w:rsidRDefault="00BA7786" w:rsidP="00BA7786">
            <w:pPr>
              <w:spacing w:after="0" w:line="240" w:lineRule="auto"/>
              <w:jc w:val="right"/>
              <w:rPr>
                <w:rFonts w:ascii="Calibri" w:eastAsia="Times New Roman" w:hAnsi="Calibri" w:cs="Times New Roman"/>
                <w:color w:val="000000"/>
                <w:sz w:val="16"/>
                <w:szCs w:val="16"/>
                <w:lang w:eastAsia="es-ES"/>
              </w:rPr>
            </w:pPr>
            <w:r w:rsidRPr="00B4142E">
              <w:rPr>
                <w:rFonts w:ascii="Calibri" w:eastAsia="Times New Roman" w:hAnsi="Calibri" w:cs="Times New Roman"/>
                <w:color w:val="000000"/>
                <w:sz w:val="16"/>
                <w:szCs w:val="16"/>
                <w:lang w:eastAsia="es-ES"/>
              </w:rPr>
              <w:t>2,656,245.98</w:t>
            </w:r>
          </w:p>
        </w:tc>
        <w:tc>
          <w:tcPr>
            <w:tcW w:w="1438" w:type="dxa"/>
            <w:tcBorders>
              <w:top w:val="nil"/>
              <w:left w:val="nil"/>
              <w:bottom w:val="nil"/>
              <w:right w:val="nil"/>
            </w:tcBorders>
            <w:shd w:val="clear" w:color="auto" w:fill="auto"/>
            <w:noWrap/>
            <w:vAlign w:val="bottom"/>
            <w:hideMark/>
          </w:tcPr>
          <w:p w:rsidR="00BA7786" w:rsidRPr="00B4142E" w:rsidRDefault="00BA7786" w:rsidP="00BA7786">
            <w:pPr>
              <w:spacing w:after="0" w:line="240" w:lineRule="auto"/>
              <w:jc w:val="right"/>
              <w:rPr>
                <w:rFonts w:ascii="Calibri" w:eastAsia="Times New Roman" w:hAnsi="Calibri" w:cs="Times New Roman"/>
                <w:color w:val="000000"/>
                <w:sz w:val="16"/>
                <w:szCs w:val="16"/>
                <w:lang w:eastAsia="es-ES"/>
              </w:rPr>
            </w:pPr>
            <w:r w:rsidRPr="00B4142E">
              <w:rPr>
                <w:rFonts w:ascii="Calibri" w:eastAsia="Times New Roman" w:hAnsi="Calibri" w:cs="Times New Roman"/>
                <w:color w:val="000000"/>
                <w:sz w:val="16"/>
                <w:szCs w:val="16"/>
                <w:lang w:eastAsia="es-ES"/>
              </w:rPr>
              <w:t>2,752,543.84</w:t>
            </w:r>
          </w:p>
        </w:tc>
        <w:tc>
          <w:tcPr>
            <w:tcW w:w="1419" w:type="dxa"/>
            <w:tcBorders>
              <w:top w:val="nil"/>
              <w:left w:val="nil"/>
              <w:bottom w:val="nil"/>
              <w:right w:val="nil"/>
            </w:tcBorders>
            <w:shd w:val="clear" w:color="auto" w:fill="auto"/>
            <w:noWrap/>
            <w:vAlign w:val="bottom"/>
            <w:hideMark/>
          </w:tcPr>
          <w:p w:rsidR="00BA7786" w:rsidRPr="00B4142E" w:rsidRDefault="00BA7786" w:rsidP="00BA7786">
            <w:pPr>
              <w:spacing w:after="0" w:line="240" w:lineRule="auto"/>
              <w:jc w:val="right"/>
              <w:rPr>
                <w:rFonts w:ascii="Calibri" w:eastAsia="Times New Roman" w:hAnsi="Calibri" w:cs="Times New Roman"/>
                <w:color w:val="000000"/>
                <w:sz w:val="16"/>
                <w:szCs w:val="16"/>
                <w:lang w:eastAsia="es-ES"/>
              </w:rPr>
            </w:pPr>
            <w:r w:rsidRPr="00B4142E">
              <w:rPr>
                <w:rFonts w:ascii="Calibri" w:eastAsia="Times New Roman" w:hAnsi="Calibri" w:cs="Times New Roman"/>
                <w:color w:val="000000"/>
                <w:sz w:val="16"/>
                <w:szCs w:val="16"/>
                <w:lang w:eastAsia="es-ES"/>
              </w:rPr>
              <w:t>2,854,152.29</w:t>
            </w:r>
          </w:p>
        </w:tc>
        <w:tc>
          <w:tcPr>
            <w:tcW w:w="1419" w:type="dxa"/>
            <w:tcBorders>
              <w:top w:val="nil"/>
              <w:left w:val="nil"/>
              <w:bottom w:val="nil"/>
              <w:right w:val="nil"/>
            </w:tcBorders>
            <w:shd w:val="clear" w:color="auto" w:fill="auto"/>
            <w:noWrap/>
            <w:vAlign w:val="bottom"/>
            <w:hideMark/>
          </w:tcPr>
          <w:p w:rsidR="00BA7786" w:rsidRPr="00B4142E" w:rsidRDefault="00BA7786" w:rsidP="00BA7786">
            <w:pPr>
              <w:spacing w:after="0" w:line="240" w:lineRule="auto"/>
              <w:jc w:val="right"/>
              <w:rPr>
                <w:rFonts w:ascii="Calibri" w:eastAsia="Times New Roman" w:hAnsi="Calibri" w:cs="Times New Roman"/>
                <w:color w:val="000000"/>
                <w:sz w:val="16"/>
                <w:szCs w:val="16"/>
                <w:lang w:eastAsia="es-ES"/>
              </w:rPr>
            </w:pPr>
            <w:r w:rsidRPr="00B4142E">
              <w:rPr>
                <w:rFonts w:ascii="Calibri" w:eastAsia="Times New Roman" w:hAnsi="Calibri" w:cs="Times New Roman"/>
                <w:color w:val="000000"/>
                <w:sz w:val="16"/>
                <w:szCs w:val="16"/>
                <w:lang w:eastAsia="es-ES"/>
              </w:rPr>
              <w:t>3,059,067.25</w:t>
            </w:r>
          </w:p>
        </w:tc>
        <w:tc>
          <w:tcPr>
            <w:tcW w:w="1547" w:type="dxa"/>
            <w:tcBorders>
              <w:top w:val="nil"/>
              <w:left w:val="nil"/>
              <w:bottom w:val="nil"/>
              <w:right w:val="nil"/>
            </w:tcBorders>
            <w:shd w:val="clear" w:color="auto" w:fill="auto"/>
            <w:noWrap/>
            <w:vAlign w:val="bottom"/>
            <w:hideMark/>
          </w:tcPr>
          <w:p w:rsidR="00BA7786" w:rsidRPr="00B4142E" w:rsidRDefault="00BA7786" w:rsidP="00BA7786">
            <w:pPr>
              <w:spacing w:after="0" w:line="240" w:lineRule="auto"/>
              <w:jc w:val="right"/>
              <w:rPr>
                <w:rFonts w:ascii="Calibri" w:eastAsia="Times New Roman" w:hAnsi="Calibri" w:cs="Times New Roman"/>
                <w:color w:val="000000"/>
                <w:sz w:val="16"/>
                <w:szCs w:val="16"/>
                <w:lang w:eastAsia="es-ES"/>
              </w:rPr>
            </w:pPr>
            <w:r w:rsidRPr="00B4142E">
              <w:rPr>
                <w:rFonts w:ascii="Calibri" w:eastAsia="Times New Roman" w:hAnsi="Calibri" w:cs="Times New Roman"/>
                <w:color w:val="000000"/>
                <w:sz w:val="16"/>
                <w:szCs w:val="16"/>
                <w:lang w:eastAsia="es-ES"/>
              </w:rPr>
              <w:t>3,033,740.50</w:t>
            </w:r>
          </w:p>
        </w:tc>
      </w:tr>
      <w:tr w:rsidR="00BA7786" w:rsidRPr="00B4142E" w:rsidTr="00BA7786">
        <w:trPr>
          <w:trHeight w:val="300"/>
          <w:jc w:val="center"/>
        </w:trPr>
        <w:tc>
          <w:tcPr>
            <w:tcW w:w="1382" w:type="dxa"/>
            <w:tcBorders>
              <w:top w:val="nil"/>
              <w:left w:val="nil"/>
              <w:bottom w:val="nil"/>
              <w:right w:val="nil"/>
            </w:tcBorders>
            <w:shd w:val="clear" w:color="auto" w:fill="auto"/>
            <w:noWrap/>
            <w:vAlign w:val="bottom"/>
            <w:hideMark/>
          </w:tcPr>
          <w:p w:rsidR="00BA7786" w:rsidRPr="00B4142E" w:rsidRDefault="00BA7786" w:rsidP="00BA7786">
            <w:pPr>
              <w:spacing w:after="0" w:line="240" w:lineRule="auto"/>
              <w:rPr>
                <w:rFonts w:ascii="Calibri" w:eastAsia="Times New Roman" w:hAnsi="Calibri" w:cs="Times New Roman"/>
                <w:color w:val="000000"/>
                <w:sz w:val="16"/>
                <w:szCs w:val="16"/>
                <w:lang w:eastAsia="es-ES"/>
              </w:rPr>
            </w:pPr>
            <w:r w:rsidRPr="00B4142E">
              <w:rPr>
                <w:rFonts w:ascii="Calibri" w:eastAsia="Times New Roman" w:hAnsi="Calibri" w:cs="Times New Roman"/>
                <w:color w:val="000000"/>
                <w:sz w:val="16"/>
                <w:szCs w:val="16"/>
                <w:lang w:eastAsia="es-ES"/>
              </w:rPr>
              <w:t xml:space="preserve">   </w:t>
            </w:r>
            <w:proofErr w:type="spellStart"/>
            <w:r w:rsidRPr="00B4142E">
              <w:rPr>
                <w:rFonts w:ascii="Calibri" w:eastAsia="Times New Roman" w:hAnsi="Calibri" w:cs="Times New Roman"/>
                <w:color w:val="000000"/>
                <w:sz w:val="16"/>
                <w:szCs w:val="16"/>
                <w:lang w:eastAsia="es-ES"/>
              </w:rPr>
              <w:t>Wages</w:t>
            </w:r>
            <w:proofErr w:type="spellEnd"/>
          </w:p>
        </w:tc>
        <w:tc>
          <w:tcPr>
            <w:tcW w:w="1419" w:type="dxa"/>
            <w:tcBorders>
              <w:top w:val="nil"/>
              <w:left w:val="nil"/>
              <w:bottom w:val="nil"/>
              <w:right w:val="nil"/>
            </w:tcBorders>
            <w:shd w:val="clear" w:color="auto" w:fill="auto"/>
            <w:noWrap/>
            <w:vAlign w:val="bottom"/>
            <w:hideMark/>
          </w:tcPr>
          <w:p w:rsidR="00BA7786" w:rsidRPr="00B4142E" w:rsidRDefault="00BA7786" w:rsidP="00BA7786">
            <w:pPr>
              <w:spacing w:after="0" w:line="240" w:lineRule="auto"/>
              <w:jc w:val="right"/>
              <w:rPr>
                <w:rFonts w:ascii="Calibri" w:eastAsia="Times New Roman" w:hAnsi="Calibri" w:cs="Times New Roman"/>
                <w:color w:val="000000"/>
                <w:sz w:val="16"/>
                <w:szCs w:val="16"/>
                <w:lang w:eastAsia="es-ES"/>
              </w:rPr>
            </w:pPr>
            <w:r w:rsidRPr="00B4142E">
              <w:rPr>
                <w:rFonts w:ascii="Calibri" w:eastAsia="Times New Roman" w:hAnsi="Calibri" w:cs="Times New Roman"/>
                <w:color w:val="000000"/>
                <w:sz w:val="16"/>
                <w:szCs w:val="16"/>
                <w:lang w:eastAsia="es-ES"/>
              </w:rPr>
              <w:t>2,514,369.43</w:t>
            </w:r>
          </w:p>
        </w:tc>
        <w:tc>
          <w:tcPr>
            <w:tcW w:w="1438" w:type="dxa"/>
            <w:tcBorders>
              <w:top w:val="nil"/>
              <w:left w:val="nil"/>
              <w:bottom w:val="nil"/>
              <w:right w:val="nil"/>
            </w:tcBorders>
            <w:shd w:val="clear" w:color="auto" w:fill="auto"/>
            <w:noWrap/>
            <w:vAlign w:val="bottom"/>
            <w:hideMark/>
          </w:tcPr>
          <w:p w:rsidR="00BA7786" w:rsidRPr="00B4142E" w:rsidRDefault="00BA7786" w:rsidP="00BA7786">
            <w:pPr>
              <w:spacing w:after="0" w:line="240" w:lineRule="auto"/>
              <w:jc w:val="right"/>
              <w:rPr>
                <w:rFonts w:ascii="Calibri" w:eastAsia="Times New Roman" w:hAnsi="Calibri" w:cs="Times New Roman"/>
                <w:color w:val="000000"/>
                <w:sz w:val="16"/>
                <w:szCs w:val="16"/>
                <w:lang w:eastAsia="es-ES"/>
              </w:rPr>
            </w:pPr>
            <w:r w:rsidRPr="00B4142E">
              <w:rPr>
                <w:rFonts w:ascii="Calibri" w:eastAsia="Times New Roman" w:hAnsi="Calibri" w:cs="Times New Roman"/>
                <w:color w:val="000000"/>
                <w:sz w:val="16"/>
                <w:szCs w:val="16"/>
                <w:lang w:eastAsia="es-ES"/>
              </w:rPr>
              <w:t>2,509,800.10</w:t>
            </w:r>
          </w:p>
        </w:tc>
        <w:tc>
          <w:tcPr>
            <w:tcW w:w="1419" w:type="dxa"/>
            <w:tcBorders>
              <w:top w:val="nil"/>
              <w:left w:val="nil"/>
              <w:bottom w:val="nil"/>
              <w:right w:val="nil"/>
            </w:tcBorders>
            <w:shd w:val="clear" w:color="auto" w:fill="auto"/>
            <w:noWrap/>
            <w:vAlign w:val="bottom"/>
            <w:hideMark/>
          </w:tcPr>
          <w:p w:rsidR="00BA7786" w:rsidRPr="00B4142E" w:rsidRDefault="00BA7786" w:rsidP="00BA7786">
            <w:pPr>
              <w:spacing w:after="0" w:line="240" w:lineRule="auto"/>
              <w:jc w:val="right"/>
              <w:rPr>
                <w:rFonts w:ascii="Calibri" w:eastAsia="Times New Roman" w:hAnsi="Calibri" w:cs="Times New Roman"/>
                <w:color w:val="000000"/>
                <w:sz w:val="16"/>
                <w:szCs w:val="16"/>
                <w:lang w:eastAsia="es-ES"/>
              </w:rPr>
            </w:pPr>
            <w:r w:rsidRPr="00B4142E">
              <w:rPr>
                <w:rFonts w:ascii="Calibri" w:eastAsia="Times New Roman" w:hAnsi="Calibri" w:cs="Times New Roman"/>
                <w:color w:val="000000"/>
                <w:sz w:val="16"/>
                <w:szCs w:val="16"/>
                <w:lang w:eastAsia="es-ES"/>
              </w:rPr>
              <w:t>2,442,531.13</w:t>
            </w:r>
          </w:p>
        </w:tc>
        <w:tc>
          <w:tcPr>
            <w:tcW w:w="1419" w:type="dxa"/>
            <w:tcBorders>
              <w:top w:val="nil"/>
              <w:left w:val="nil"/>
              <w:bottom w:val="nil"/>
              <w:right w:val="nil"/>
            </w:tcBorders>
            <w:shd w:val="clear" w:color="auto" w:fill="auto"/>
            <w:noWrap/>
            <w:vAlign w:val="bottom"/>
            <w:hideMark/>
          </w:tcPr>
          <w:p w:rsidR="00BA7786" w:rsidRPr="00B4142E" w:rsidRDefault="00BA7786" w:rsidP="00BA7786">
            <w:pPr>
              <w:spacing w:after="0" w:line="240" w:lineRule="auto"/>
              <w:jc w:val="right"/>
              <w:rPr>
                <w:rFonts w:ascii="Calibri" w:eastAsia="Times New Roman" w:hAnsi="Calibri" w:cs="Times New Roman"/>
                <w:color w:val="000000"/>
                <w:sz w:val="16"/>
                <w:szCs w:val="16"/>
                <w:lang w:eastAsia="es-ES"/>
              </w:rPr>
            </w:pPr>
            <w:r w:rsidRPr="00B4142E">
              <w:rPr>
                <w:rFonts w:ascii="Calibri" w:eastAsia="Times New Roman" w:hAnsi="Calibri" w:cs="Times New Roman"/>
                <w:color w:val="000000"/>
                <w:sz w:val="16"/>
                <w:szCs w:val="16"/>
                <w:lang w:eastAsia="es-ES"/>
              </w:rPr>
              <w:t>2,769,108.16</w:t>
            </w:r>
          </w:p>
        </w:tc>
        <w:tc>
          <w:tcPr>
            <w:tcW w:w="1547" w:type="dxa"/>
            <w:tcBorders>
              <w:top w:val="nil"/>
              <w:left w:val="nil"/>
              <w:bottom w:val="nil"/>
              <w:right w:val="nil"/>
            </w:tcBorders>
            <w:shd w:val="clear" w:color="auto" w:fill="auto"/>
            <w:noWrap/>
            <w:vAlign w:val="bottom"/>
            <w:hideMark/>
          </w:tcPr>
          <w:p w:rsidR="00BA7786" w:rsidRPr="00B4142E" w:rsidRDefault="00BA7786" w:rsidP="00BA7786">
            <w:pPr>
              <w:spacing w:after="0" w:line="240" w:lineRule="auto"/>
              <w:jc w:val="right"/>
              <w:rPr>
                <w:rFonts w:ascii="Calibri" w:eastAsia="Times New Roman" w:hAnsi="Calibri" w:cs="Times New Roman"/>
                <w:color w:val="000000"/>
                <w:sz w:val="16"/>
                <w:szCs w:val="16"/>
                <w:lang w:eastAsia="es-ES"/>
              </w:rPr>
            </w:pPr>
            <w:r w:rsidRPr="00B4142E">
              <w:rPr>
                <w:rFonts w:ascii="Calibri" w:eastAsia="Times New Roman" w:hAnsi="Calibri" w:cs="Times New Roman"/>
                <w:color w:val="000000"/>
                <w:sz w:val="16"/>
                <w:szCs w:val="16"/>
                <w:lang w:eastAsia="es-ES"/>
              </w:rPr>
              <w:t>2,683,850.01</w:t>
            </w:r>
          </w:p>
        </w:tc>
      </w:tr>
      <w:tr w:rsidR="00BA7786" w:rsidRPr="00B4142E" w:rsidTr="00BA7786">
        <w:trPr>
          <w:trHeight w:val="300"/>
          <w:jc w:val="center"/>
        </w:trPr>
        <w:tc>
          <w:tcPr>
            <w:tcW w:w="1382" w:type="dxa"/>
            <w:tcBorders>
              <w:top w:val="nil"/>
              <w:left w:val="nil"/>
              <w:bottom w:val="nil"/>
              <w:right w:val="nil"/>
            </w:tcBorders>
            <w:shd w:val="clear" w:color="auto" w:fill="auto"/>
            <w:noWrap/>
            <w:vAlign w:val="bottom"/>
            <w:hideMark/>
          </w:tcPr>
          <w:p w:rsidR="00BA7786" w:rsidRPr="00B4142E" w:rsidRDefault="00BA7786" w:rsidP="00BA7786">
            <w:pPr>
              <w:spacing w:after="0" w:line="240" w:lineRule="auto"/>
              <w:rPr>
                <w:rFonts w:ascii="Calibri" w:eastAsia="Times New Roman" w:hAnsi="Calibri" w:cs="Times New Roman"/>
                <w:color w:val="000000"/>
                <w:sz w:val="16"/>
                <w:szCs w:val="16"/>
                <w:lang w:eastAsia="es-ES"/>
              </w:rPr>
            </w:pPr>
            <w:r w:rsidRPr="00B4142E">
              <w:rPr>
                <w:rFonts w:ascii="Calibri" w:eastAsia="Times New Roman" w:hAnsi="Calibri" w:cs="Times New Roman"/>
                <w:color w:val="000000"/>
                <w:sz w:val="16"/>
                <w:szCs w:val="16"/>
                <w:lang w:eastAsia="es-ES"/>
              </w:rPr>
              <w:t xml:space="preserve">   Non-</w:t>
            </w:r>
            <w:proofErr w:type="spellStart"/>
            <w:r w:rsidRPr="00B4142E">
              <w:rPr>
                <w:rFonts w:ascii="Calibri" w:eastAsia="Times New Roman" w:hAnsi="Calibri" w:cs="Times New Roman"/>
                <w:color w:val="000000"/>
                <w:sz w:val="16"/>
                <w:szCs w:val="16"/>
                <w:lang w:eastAsia="es-ES"/>
              </w:rPr>
              <w:t>Wages</w:t>
            </w:r>
            <w:proofErr w:type="spellEnd"/>
          </w:p>
        </w:tc>
        <w:tc>
          <w:tcPr>
            <w:tcW w:w="1419" w:type="dxa"/>
            <w:tcBorders>
              <w:top w:val="nil"/>
              <w:left w:val="nil"/>
              <w:bottom w:val="nil"/>
              <w:right w:val="nil"/>
            </w:tcBorders>
            <w:shd w:val="clear" w:color="auto" w:fill="auto"/>
            <w:noWrap/>
            <w:vAlign w:val="bottom"/>
            <w:hideMark/>
          </w:tcPr>
          <w:p w:rsidR="00BA7786" w:rsidRPr="00B4142E" w:rsidRDefault="00BA7786" w:rsidP="00BA7786">
            <w:pPr>
              <w:spacing w:after="0" w:line="240" w:lineRule="auto"/>
              <w:jc w:val="right"/>
              <w:rPr>
                <w:rFonts w:ascii="Calibri" w:eastAsia="Times New Roman" w:hAnsi="Calibri" w:cs="Times New Roman"/>
                <w:color w:val="000000"/>
                <w:sz w:val="16"/>
                <w:szCs w:val="16"/>
                <w:lang w:eastAsia="es-ES"/>
              </w:rPr>
            </w:pPr>
            <w:r w:rsidRPr="00B4142E">
              <w:rPr>
                <w:rFonts w:ascii="Calibri" w:eastAsia="Times New Roman" w:hAnsi="Calibri" w:cs="Times New Roman"/>
                <w:color w:val="000000"/>
                <w:sz w:val="16"/>
                <w:szCs w:val="16"/>
                <w:lang w:eastAsia="es-ES"/>
              </w:rPr>
              <w:t>141,876.55</w:t>
            </w:r>
          </w:p>
        </w:tc>
        <w:tc>
          <w:tcPr>
            <w:tcW w:w="1438" w:type="dxa"/>
            <w:tcBorders>
              <w:top w:val="nil"/>
              <w:left w:val="nil"/>
              <w:bottom w:val="nil"/>
              <w:right w:val="nil"/>
            </w:tcBorders>
            <w:shd w:val="clear" w:color="auto" w:fill="auto"/>
            <w:noWrap/>
            <w:vAlign w:val="bottom"/>
            <w:hideMark/>
          </w:tcPr>
          <w:p w:rsidR="00BA7786" w:rsidRPr="00B4142E" w:rsidRDefault="00BA7786" w:rsidP="00BA7786">
            <w:pPr>
              <w:spacing w:after="0" w:line="240" w:lineRule="auto"/>
              <w:jc w:val="right"/>
              <w:rPr>
                <w:rFonts w:ascii="Calibri" w:eastAsia="Times New Roman" w:hAnsi="Calibri" w:cs="Times New Roman"/>
                <w:color w:val="000000"/>
                <w:sz w:val="16"/>
                <w:szCs w:val="16"/>
                <w:lang w:eastAsia="es-ES"/>
              </w:rPr>
            </w:pPr>
            <w:r w:rsidRPr="00B4142E">
              <w:rPr>
                <w:rFonts w:ascii="Calibri" w:eastAsia="Times New Roman" w:hAnsi="Calibri" w:cs="Times New Roman"/>
                <w:color w:val="000000"/>
                <w:sz w:val="16"/>
                <w:szCs w:val="16"/>
                <w:lang w:eastAsia="es-ES"/>
              </w:rPr>
              <w:t>242,743.74</w:t>
            </w:r>
          </w:p>
        </w:tc>
        <w:tc>
          <w:tcPr>
            <w:tcW w:w="1419" w:type="dxa"/>
            <w:tcBorders>
              <w:top w:val="nil"/>
              <w:left w:val="nil"/>
              <w:bottom w:val="nil"/>
              <w:right w:val="nil"/>
            </w:tcBorders>
            <w:shd w:val="clear" w:color="auto" w:fill="auto"/>
            <w:noWrap/>
            <w:vAlign w:val="bottom"/>
            <w:hideMark/>
          </w:tcPr>
          <w:p w:rsidR="00BA7786" w:rsidRPr="00B4142E" w:rsidRDefault="00BA7786" w:rsidP="00BA7786">
            <w:pPr>
              <w:spacing w:after="0" w:line="240" w:lineRule="auto"/>
              <w:jc w:val="right"/>
              <w:rPr>
                <w:rFonts w:ascii="Calibri" w:eastAsia="Times New Roman" w:hAnsi="Calibri" w:cs="Times New Roman"/>
                <w:color w:val="000000"/>
                <w:sz w:val="16"/>
                <w:szCs w:val="16"/>
                <w:lang w:eastAsia="es-ES"/>
              </w:rPr>
            </w:pPr>
            <w:r w:rsidRPr="00B4142E">
              <w:rPr>
                <w:rFonts w:ascii="Calibri" w:eastAsia="Times New Roman" w:hAnsi="Calibri" w:cs="Times New Roman"/>
                <w:color w:val="000000"/>
                <w:sz w:val="16"/>
                <w:szCs w:val="16"/>
                <w:lang w:eastAsia="es-ES"/>
              </w:rPr>
              <w:t>411,621.17</w:t>
            </w:r>
          </w:p>
        </w:tc>
        <w:tc>
          <w:tcPr>
            <w:tcW w:w="1419" w:type="dxa"/>
            <w:tcBorders>
              <w:top w:val="nil"/>
              <w:left w:val="nil"/>
              <w:bottom w:val="nil"/>
              <w:right w:val="nil"/>
            </w:tcBorders>
            <w:shd w:val="clear" w:color="auto" w:fill="auto"/>
            <w:noWrap/>
            <w:vAlign w:val="bottom"/>
            <w:hideMark/>
          </w:tcPr>
          <w:p w:rsidR="00BA7786" w:rsidRPr="00B4142E" w:rsidRDefault="00BA7786" w:rsidP="00BA7786">
            <w:pPr>
              <w:spacing w:after="0" w:line="240" w:lineRule="auto"/>
              <w:jc w:val="right"/>
              <w:rPr>
                <w:rFonts w:ascii="Calibri" w:eastAsia="Times New Roman" w:hAnsi="Calibri" w:cs="Times New Roman"/>
                <w:color w:val="000000"/>
                <w:sz w:val="16"/>
                <w:szCs w:val="16"/>
                <w:lang w:eastAsia="es-ES"/>
              </w:rPr>
            </w:pPr>
            <w:r w:rsidRPr="00B4142E">
              <w:rPr>
                <w:rFonts w:ascii="Calibri" w:eastAsia="Times New Roman" w:hAnsi="Calibri" w:cs="Times New Roman"/>
                <w:color w:val="000000"/>
                <w:sz w:val="16"/>
                <w:szCs w:val="16"/>
                <w:lang w:eastAsia="es-ES"/>
              </w:rPr>
              <w:t>289,959.09</w:t>
            </w:r>
          </w:p>
        </w:tc>
        <w:tc>
          <w:tcPr>
            <w:tcW w:w="1547" w:type="dxa"/>
            <w:tcBorders>
              <w:top w:val="nil"/>
              <w:left w:val="nil"/>
              <w:bottom w:val="nil"/>
              <w:right w:val="nil"/>
            </w:tcBorders>
            <w:shd w:val="clear" w:color="auto" w:fill="auto"/>
            <w:noWrap/>
            <w:vAlign w:val="bottom"/>
            <w:hideMark/>
          </w:tcPr>
          <w:p w:rsidR="00BA7786" w:rsidRPr="00B4142E" w:rsidRDefault="00BA7786" w:rsidP="00BA7786">
            <w:pPr>
              <w:spacing w:after="0" w:line="240" w:lineRule="auto"/>
              <w:jc w:val="right"/>
              <w:rPr>
                <w:rFonts w:ascii="Calibri" w:eastAsia="Times New Roman" w:hAnsi="Calibri" w:cs="Times New Roman"/>
                <w:color w:val="000000"/>
                <w:sz w:val="16"/>
                <w:szCs w:val="16"/>
                <w:lang w:eastAsia="es-ES"/>
              </w:rPr>
            </w:pPr>
            <w:r w:rsidRPr="00B4142E">
              <w:rPr>
                <w:rFonts w:ascii="Calibri" w:eastAsia="Times New Roman" w:hAnsi="Calibri" w:cs="Times New Roman"/>
                <w:color w:val="000000"/>
                <w:sz w:val="16"/>
                <w:szCs w:val="16"/>
                <w:lang w:eastAsia="es-ES"/>
              </w:rPr>
              <w:t>349,890.49</w:t>
            </w:r>
          </w:p>
        </w:tc>
      </w:tr>
      <w:tr w:rsidR="00BA7786" w:rsidRPr="00B4142E" w:rsidTr="00BA7786">
        <w:trPr>
          <w:trHeight w:val="300"/>
          <w:jc w:val="center"/>
        </w:trPr>
        <w:tc>
          <w:tcPr>
            <w:tcW w:w="1382" w:type="dxa"/>
            <w:tcBorders>
              <w:top w:val="nil"/>
              <w:left w:val="nil"/>
              <w:bottom w:val="nil"/>
              <w:right w:val="nil"/>
            </w:tcBorders>
            <w:shd w:val="clear" w:color="auto" w:fill="auto"/>
            <w:noWrap/>
            <w:vAlign w:val="bottom"/>
            <w:hideMark/>
          </w:tcPr>
          <w:p w:rsidR="00BA7786" w:rsidRPr="00B4142E" w:rsidRDefault="00BA7786" w:rsidP="00BA7786">
            <w:pPr>
              <w:spacing w:after="0" w:line="240" w:lineRule="auto"/>
              <w:rPr>
                <w:rFonts w:ascii="Calibri" w:eastAsia="Times New Roman" w:hAnsi="Calibri" w:cs="Times New Roman"/>
                <w:color w:val="000000"/>
                <w:sz w:val="16"/>
                <w:szCs w:val="16"/>
                <w:lang w:eastAsia="es-ES"/>
              </w:rPr>
            </w:pPr>
            <w:r w:rsidRPr="00B4142E">
              <w:rPr>
                <w:rFonts w:ascii="Calibri" w:eastAsia="Times New Roman" w:hAnsi="Calibri" w:cs="Times New Roman"/>
                <w:color w:val="000000"/>
                <w:sz w:val="16"/>
                <w:szCs w:val="16"/>
                <w:lang w:eastAsia="es-ES"/>
              </w:rPr>
              <w:t>Capital</w:t>
            </w:r>
          </w:p>
        </w:tc>
        <w:tc>
          <w:tcPr>
            <w:tcW w:w="1419" w:type="dxa"/>
            <w:tcBorders>
              <w:top w:val="nil"/>
              <w:left w:val="nil"/>
              <w:bottom w:val="nil"/>
              <w:right w:val="nil"/>
            </w:tcBorders>
            <w:shd w:val="clear" w:color="auto" w:fill="auto"/>
            <w:noWrap/>
            <w:vAlign w:val="bottom"/>
            <w:hideMark/>
          </w:tcPr>
          <w:p w:rsidR="00BA7786" w:rsidRPr="00B4142E" w:rsidRDefault="00BA7786" w:rsidP="00BA7786">
            <w:pPr>
              <w:spacing w:after="0" w:line="240" w:lineRule="auto"/>
              <w:jc w:val="right"/>
              <w:rPr>
                <w:rFonts w:ascii="Calibri" w:eastAsia="Times New Roman" w:hAnsi="Calibri" w:cs="Times New Roman"/>
                <w:color w:val="000000"/>
                <w:sz w:val="16"/>
                <w:szCs w:val="16"/>
                <w:lang w:eastAsia="es-ES"/>
              </w:rPr>
            </w:pPr>
            <w:r w:rsidRPr="00B4142E">
              <w:rPr>
                <w:rFonts w:ascii="Calibri" w:eastAsia="Times New Roman" w:hAnsi="Calibri" w:cs="Times New Roman"/>
                <w:color w:val="000000"/>
                <w:sz w:val="16"/>
                <w:szCs w:val="16"/>
                <w:lang w:eastAsia="es-ES"/>
              </w:rPr>
              <w:t>153,512.22</w:t>
            </w:r>
          </w:p>
        </w:tc>
        <w:tc>
          <w:tcPr>
            <w:tcW w:w="1438" w:type="dxa"/>
            <w:tcBorders>
              <w:top w:val="nil"/>
              <w:left w:val="nil"/>
              <w:bottom w:val="nil"/>
              <w:right w:val="nil"/>
            </w:tcBorders>
            <w:shd w:val="clear" w:color="auto" w:fill="auto"/>
            <w:noWrap/>
            <w:vAlign w:val="bottom"/>
            <w:hideMark/>
          </w:tcPr>
          <w:p w:rsidR="00BA7786" w:rsidRPr="00B4142E" w:rsidRDefault="00BA7786" w:rsidP="00BA7786">
            <w:pPr>
              <w:spacing w:after="0" w:line="240" w:lineRule="auto"/>
              <w:jc w:val="right"/>
              <w:rPr>
                <w:rFonts w:ascii="Calibri" w:eastAsia="Times New Roman" w:hAnsi="Calibri" w:cs="Times New Roman"/>
                <w:color w:val="000000"/>
                <w:sz w:val="16"/>
                <w:szCs w:val="16"/>
                <w:lang w:eastAsia="es-ES"/>
              </w:rPr>
            </w:pPr>
            <w:r w:rsidRPr="00B4142E">
              <w:rPr>
                <w:rFonts w:ascii="Calibri" w:eastAsia="Times New Roman" w:hAnsi="Calibri" w:cs="Times New Roman"/>
                <w:color w:val="000000"/>
                <w:sz w:val="16"/>
                <w:szCs w:val="16"/>
                <w:lang w:eastAsia="es-ES"/>
              </w:rPr>
              <w:t>418,832.36</w:t>
            </w:r>
          </w:p>
        </w:tc>
        <w:tc>
          <w:tcPr>
            <w:tcW w:w="1419" w:type="dxa"/>
            <w:tcBorders>
              <w:top w:val="nil"/>
              <w:left w:val="nil"/>
              <w:bottom w:val="nil"/>
              <w:right w:val="nil"/>
            </w:tcBorders>
            <w:shd w:val="clear" w:color="auto" w:fill="auto"/>
            <w:noWrap/>
            <w:vAlign w:val="bottom"/>
            <w:hideMark/>
          </w:tcPr>
          <w:p w:rsidR="00BA7786" w:rsidRPr="00B4142E" w:rsidRDefault="00BA7786" w:rsidP="00BA7786">
            <w:pPr>
              <w:spacing w:after="0" w:line="240" w:lineRule="auto"/>
              <w:jc w:val="right"/>
              <w:rPr>
                <w:rFonts w:ascii="Calibri" w:eastAsia="Times New Roman" w:hAnsi="Calibri" w:cs="Times New Roman"/>
                <w:color w:val="000000"/>
                <w:sz w:val="16"/>
                <w:szCs w:val="16"/>
                <w:lang w:eastAsia="es-ES"/>
              </w:rPr>
            </w:pPr>
            <w:r w:rsidRPr="00B4142E">
              <w:rPr>
                <w:rFonts w:ascii="Calibri" w:eastAsia="Times New Roman" w:hAnsi="Calibri" w:cs="Times New Roman"/>
                <w:color w:val="000000"/>
                <w:sz w:val="16"/>
                <w:szCs w:val="16"/>
                <w:lang w:eastAsia="es-ES"/>
              </w:rPr>
              <w:t>750,100.96</w:t>
            </w:r>
          </w:p>
        </w:tc>
        <w:tc>
          <w:tcPr>
            <w:tcW w:w="1419" w:type="dxa"/>
            <w:tcBorders>
              <w:top w:val="nil"/>
              <w:left w:val="nil"/>
              <w:bottom w:val="nil"/>
              <w:right w:val="nil"/>
            </w:tcBorders>
            <w:shd w:val="clear" w:color="auto" w:fill="auto"/>
            <w:noWrap/>
            <w:vAlign w:val="bottom"/>
            <w:hideMark/>
          </w:tcPr>
          <w:p w:rsidR="00BA7786" w:rsidRPr="00B4142E" w:rsidRDefault="00BA7786" w:rsidP="00BA7786">
            <w:pPr>
              <w:spacing w:after="0" w:line="240" w:lineRule="auto"/>
              <w:jc w:val="right"/>
              <w:rPr>
                <w:rFonts w:ascii="Calibri" w:eastAsia="Times New Roman" w:hAnsi="Calibri" w:cs="Times New Roman"/>
                <w:color w:val="000000"/>
                <w:sz w:val="16"/>
                <w:szCs w:val="16"/>
                <w:lang w:eastAsia="es-ES"/>
              </w:rPr>
            </w:pPr>
            <w:r w:rsidRPr="00B4142E">
              <w:rPr>
                <w:rFonts w:ascii="Calibri" w:eastAsia="Times New Roman" w:hAnsi="Calibri" w:cs="Times New Roman"/>
                <w:color w:val="000000"/>
                <w:sz w:val="16"/>
                <w:szCs w:val="16"/>
                <w:lang w:eastAsia="es-ES"/>
              </w:rPr>
              <w:t>878,601.09</w:t>
            </w:r>
          </w:p>
        </w:tc>
        <w:tc>
          <w:tcPr>
            <w:tcW w:w="1547" w:type="dxa"/>
            <w:tcBorders>
              <w:top w:val="nil"/>
              <w:left w:val="nil"/>
              <w:bottom w:val="nil"/>
              <w:right w:val="nil"/>
            </w:tcBorders>
            <w:shd w:val="clear" w:color="auto" w:fill="auto"/>
            <w:noWrap/>
            <w:vAlign w:val="bottom"/>
            <w:hideMark/>
          </w:tcPr>
          <w:p w:rsidR="00BA7786" w:rsidRPr="00B4142E" w:rsidRDefault="00BA7786" w:rsidP="00BA7786">
            <w:pPr>
              <w:spacing w:after="0" w:line="240" w:lineRule="auto"/>
              <w:jc w:val="right"/>
              <w:rPr>
                <w:rFonts w:ascii="Calibri" w:eastAsia="Times New Roman" w:hAnsi="Calibri" w:cs="Times New Roman"/>
                <w:color w:val="000000"/>
                <w:sz w:val="16"/>
                <w:szCs w:val="16"/>
                <w:lang w:eastAsia="es-ES"/>
              </w:rPr>
            </w:pPr>
            <w:r w:rsidRPr="00B4142E">
              <w:rPr>
                <w:rFonts w:ascii="Calibri" w:eastAsia="Times New Roman" w:hAnsi="Calibri" w:cs="Times New Roman"/>
                <w:color w:val="000000"/>
                <w:sz w:val="16"/>
                <w:szCs w:val="16"/>
                <w:lang w:eastAsia="es-ES"/>
              </w:rPr>
              <w:t>706,420.80</w:t>
            </w:r>
          </w:p>
        </w:tc>
      </w:tr>
      <w:tr w:rsidR="00BA7786" w:rsidRPr="00B4142E" w:rsidTr="00B4142E">
        <w:trPr>
          <w:trHeight w:val="236"/>
          <w:jc w:val="center"/>
        </w:trPr>
        <w:tc>
          <w:tcPr>
            <w:tcW w:w="1382" w:type="dxa"/>
            <w:tcBorders>
              <w:top w:val="nil"/>
              <w:left w:val="nil"/>
              <w:bottom w:val="nil"/>
              <w:right w:val="nil"/>
            </w:tcBorders>
            <w:shd w:val="clear" w:color="000000" w:fill="CCCCFF"/>
            <w:noWrap/>
            <w:vAlign w:val="bottom"/>
            <w:hideMark/>
          </w:tcPr>
          <w:p w:rsidR="00BA7786" w:rsidRPr="00B4142E" w:rsidRDefault="00BA7786" w:rsidP="00BA7786">
            <w:pPr>
              <w:spacing w:after="0" w:line="240" w:lineRule="auto"/>
              <w:rPr>
                <w:rFonts w:ascii="Calibri" w:eastAsia="Times New Roman" w:hAnsi="Calibri" w:cs="Times New Roman"/>
                <w:b/>
                <w:bCs/>
                <w:color w:val="000000"/>
                <w:sz w:val="16"/>
                <w:szCs w:val="16"/>
                <w:lang w:eastAsia="es-ES"/>
              </w:rPr>
            </w:pPr>
            <w:proofErr w:type="spellStart"/>
            <w:r w:rsidRPr="00B4142E">
              <w:rPr>
                <w:rFonts w:ascii="Calibri" w:eastAsia="Times New Roman" w:hAnsi="Calibri" w:cs="Times New Roman"/>
                <w:b/>
                <w:bCs/>
                <w:color w:val="000000"/>
                <w:sz w:val="16"/>
                <w:szCs w:val="16"/>
                <w:lang w:eastAsia="es-ES"/>
              </w:rPr>
              <w:t>Secondary</w:t>
            </w:r>
            <w:proofErr w:type="spellEnd"/>
          </w:p>
        </w:tc>
        <w:tc>
          <w:tcPr>
            <w:tcW w:w="1419" w:type="dxa"/>
            <w:tcBorders>
              <w:top w:val="nil"/>
              <w:left w:val="nil"/>
              <w:bottom w:val="nil"/>
              <w:right w:val="nil"/>
            </w:tcBorders>
            <w:shd w:val="clear" w:color="000000" w:fill="CCCCFF"/>
            <w:noWrap/>
            <w:vAlign w:val="bottom"/>
            <w:hideMark/>
          </w:tcPr>
          <w:p w:rsidR="00BA7786" w:rsidRPr="00B4142E" w:rsidRDefault="00BA7786" w:rsidP="00BA7786">
            <w:pPr>
              <w:spacing w:after="0" w:line="240" w:lineRule="auto"/>
              <w:rPr>
                <w:rFonts w:ascii="Calibri" w:eastAsia="Times New Roman" w:hAnsi="Calibri" w:cs="Times New Roman"/>
                <w:color w:val="000000"/>
                <w:sz w:val="16"/>
                <w:szCs w:val="16"/>
                <w:lang w:eastAsia="es-ES"/>
              </w:rPr>
            </w:pPr>
            <w:r w:rsidRPr="00B4142E">
              <w:rPr>
                <w:rFonts w:ascii="Calibri" w:eastAsia="Times New Roman" w:hAnsi="Calibri" w:cs="Times New Roman"/>
                <w:color w:val="000000"/>
                <w:sz w:val="16"/>
                <w:szCs w:val="16"/>
                <w:lang w:eastAsia="es-ES"/>
              </w:rPr>
              <w:t> </w:t>
            </w:r>
          </w:p>
        </w:tc>
        <w:tc>
          <w:tcPr>
            <w:tcW w:w="1438" w:type="dxa"/>
            <w:tcBorders>
              <w:top w:val="nil"/>
              <w:left w:val="nil"/>
              <w:bottom w:val="nil"/>
              <w:right w:val="nil"/>
            </w:tcBorders>
            <w:shd w:val="clear" w:color="000000" w:fill="CCCCFF"/>
            <w:noWrap/>
            <w:vAlign w:val="bottom"/>
            <w:hideMark/>
          </w:tcPr>
          <w:p w:rsidR="00BA7786" w:rsidRPr="00B4142E" w:rsidRDefault="00BA7786" w:rsidP="00BA7786">
            <w:pPr>
              <w:spacing w:after="0" w:line="240" w:lineRule="auto"/>
              <w:rPr>
                <w:rFonts w:ascii="Calibri" w:eastAsia="Times New Roman" w:hAnsi="Calibri" w:cs="Times New Roman"/>
                <w:color w:val="000000"/>
                <w:sz w:val="16"/>
                <w:szCs w:val="16"/>
                <w:lang w:eastAsia="es-ES"/>
              </w:rPr>
            </w:pPr>
            <w:r w:rsidRPr="00B4142E">
              <w:rPr>
                <w:rFonts w:ascii="Calibri" w:eastAsia="Times New Roman" w:hAnsi="Calibri" w:cs="Times New Roman"/>
                <w:color w:val="000000"/>
                <w:sz w:val="16"/>
                <w:szCs w:val="16"/>
                <w:lang w:eastAsia="es-ES"/>
              </w:rPr>
              <w:t> </w:t>
            </w:r>
          </w:p>
        </w:tc>
        <w:tc>
          <w:tcPr>
            <w:tcW w:w="1419" w:type="dxa"/>
            <w:tcBorders>
              <w:top w:val="nil"/>
              <w:left w:val="nil"/>
              <w:bottom w:val="nil"/>
              <w:right w:val="nil"/>
            </w:tcBorders>
            <w:shd w:val="clear" w:color="000000" w:fill="CCCCFF"/>
            <w:noWrap/>
            <w:vAlign w:val="bottom"/>
            <w:hideMark/>
          </w:tcPr>
          <w:p w:rsidR="00BA7786" w:rsidRPr="00B4142E" w:rsidRDefault="00BA7786" w:rsidP="00BA7786">
            <w:pPr>
              <w:spacing w:after="0" w:line="240" w:lineRule="auto"/>
              <w:rPr>
                <w:rFonts w:ascii="Calibri" w:eastAsia="Times New Roman" w:hAnsi="Calibri" w:cs="Times New Roman"/>
                <w:color w:val="000000"/>
                <w:sz w:val="16"/>
                <w:szCs w:val="16"/>
                <w:lang w:eastAsia="es-ES"/>
              </w:rPr>
            </w:pPr>
            <w:r w:rsidRPr="00B4142E">
              <w:rPr>
                <w:rFonts w:ascii="Calibri" w:eastAsia="Times New Roman" w:hAnsi="Calibri" w:cs="Times New Roman"/>
                <w:color w:val="000000"/>
                <w:sz w:val="16"/>
                <w:szCs w:val="16"/>
                <w:lang w:eastAsia="es-ES"/>
              </w:rPr>
              <w:t> </w:t>
            </w:r>
          </w:p>
        </w:tc>
        <w:tc>
          <w:tcPr>
            <w:tcW w:w="1419" w:type="dxa"/>
            <w:tcBorders>
              <w:top w:val="nil"/>
              <w:left w:val="nil"/>
              <w:bottom w:val="nil"/>
              <w:right w:val="nil"/>
            </w:tcBorders>
            <w:shd w:val="clear" w:color="000000" w:fill="CCCCFF"/>
            <w:noWrap/>
            <w:vAlign w:val="bottom"/>
            <w:hideMark/>
          </w:tcPr>
          <w:p w:rsidR="00BA7786" w:rsidRPr="00B4142E" w:rsidRDefault="00BA7786" w:rsidP="00BA7786">
            <w:pPr>
              <w:spacing w:after="0" w:line="240" w:lineRule="auto"/>
              <w:rPr>
                <w:rFonts w:ascii="Calibri" w:eastAsia="Times New Roman" w:hAnsi="Calibri" w:cs="Times New Roman"/>
                <w:color w:val="000000"/>
                <w:sz w:val="16"/>
                <w:szCs w:val="16"/>
                <w:lang w:eastAsia="es-ES"/>
              </w:rPr>
            </w:pPr>
            <w:r w:rsidRPr="00B4142E">
              <w:rPr>
                <w:rFonts w:ascii="Calibri" w:eastAsia="Times New Roman" w:hAnsi="Calibri" w:cs="Times New Roman"/>
                <w:color w:val="000000"/>
                <w:sz w:val="16"/>
                <w:szCs w:val="16"/>
                <w:lang w:eastAsia="es-ES"/>
              </w:rPr>
              <w:t> </w:t>
            </w:r>
          </w:p>
        </w:tc>
        <w:tc>
          <w:tcPr>
            <w:tcW w:w="1547" w:type="dxa"/>
            <w:tcBorders>
              <w:top w:val="nil"/>
              <w:left w:val="nil"/>
              <w:bottom w:val="nil"/>
              <w:right w:val="nil"/>
            </w:tcBorders>
            <w:shd w:val="clear" w:color="000000" w:fill="CCCCFF"/>
            <w:noWrap/>
            <w:vAlign w:val="bottom"/>
            <w:hideMark/>
          </w:tcPr>
          <w:p w:rsidR="00BA7786" w:rsidRPr="00B4142E" w:rsidRDefault="00BA7786" w:rsidP="00BA7786">
            <w:pPr>
              <w:spacing w:after="0" w:line="240" w:lineRule="auto"/>
              <w:rPr>
                <w:rFonts w:ascii="Calibri" w:eastAsia="Times New Roman" w:hAnsi="Calibri" w:cs="Times New Roman"/>
                <w:color w:val="000000"/>
                <w:sz w:val="16"/>
                <w:szCs w:val="16"/>
                <w:lang w:eastAsia="es-ES"/>
              </w:rPr>
            </w:pPr>
            <w:r w:rsidRPr="00B4142E">
              <w:rPr>
                <w:rFonts w:ascii="Calibri" w:eastAsia="Times New Roman" w:hAnsi="Calibri" w:cs="Times New Roman"/>
                <w:color w:val="000000"/>
                <w:sz w:val="16"/>
                <w:szCs w:val="16"/>
                <w:lang w:eastAsia="es-ES"/>
              </w:rPr>
              <w:t> </w:t>
            </w:r>
          </w:p>
        </w:tc>
      </w:tr>
      <w:tr w:rsidR="00BA7786" w:rsidRPr="00B4142E" w:rsidTr="00BA7786">
        <w:trPr>
          <w:trHeight w:val="300"/>
          <w:jc w:val="center"/>
        </w:trPr>
        <w:tc>
          <w:tcPr>
            <w:tcW w:w="1382" w:type="dxa"/>
            <w:tcBorders>
              <w:top w:val="nil"/>
              <w:left w:val="nil"/>
              <w:bottom w:val="nil"/>
              <w:right w:val="nil"/>
            </w:tcBorders>
            <w:shd w:val="clear" w:color="auto" w:fill="auto"/>
            <w:noWrap/>
            <w:vAlign w:val="bottom"/>
            <w:hideMark/>
          </w:tcPr>
          <w:p w:rsidR="00BA7786" w:rsidRPr="00B4142E" w:rsidRDefault="00BA7786" w:rsidP="00BA7786">
            <w:pPr>
              <w:spacing w:after="0" w:line="240" w:lineRule="auto"/>
              <w:rPr>
                <w:rFonts w:ascii="Calibri" w:eastAsia="Times New Roman" w:hAnsi="Calibri" w:cs="Times New Roman"/>
                <w:color w:val="000000"/>
                <w:sz w:val="16"/>
                <w:szCs w:val="16"/>
                <w:lang w:eastAsia="es-ES"/>
              </w:rPr>
            </w:pPr>
            <w:proofErr w:type="spellStart"/>
            <w:r w:rsidRPr="00B4142E">
              <w:rPr>
                <w:rFonts w:ascii="Calibri" w:eastAsia="Times New Roman" w:hAnsi="Calibri" w:cs="Times New Roman"/>
                <w:color w:val="000000"/>
                <w:sz w:val="16"/>
                <w:szCs w:val="16"/>
                <w:lang w:eastAsia="es-ES"/>
              </w:rPr>
              <w:t>Recurrent</w:t>
            </w:r>
            <w:proofErr w:type="spellEnd"/>
          </w:p>
        </w:tc>
        <w:tc>
          <w:tcPr>
            <w:tcW w:w="1419" w:type="dxa"/>
            <w:tcBorders>
              <w:top w:val="nil"/>
              <w:left w:val="nil"/>
              <w:bottom w:val="nil"/>
              <w:right w:val="nil"/>
            </w:tcBorders>
            <w:shd w:val="clear" w:color="auto" w:fill="auto"/>
            <w:noWrap/>
            <w:vAlign w:val="bottom"/>
            <w:hideMark/>
          </w:tcPr>
          <w:p w:rsidR="00BA7786" w:rsidRPr="00B4142E" w:rsidRDefault="00BA7786" w:rsidP="00BA7786">
            <w:pPr>
              <w:spacing w:after="0" w:line="240" w:lineRule="auto"/>
              <w:jc w:val="right"/>
              <w:rPr>
                <w:rFonts w:ascii="Calibri" w:eastAsia="Times New Roman" w:hAnsi="Calibri" w:cs="Times New Roman"/>
                <w:color w:val="000000"/>
                <w:sz w:val="16"/>
                <w:szCs w:val="16"/>
                <w:lang w:eastAsia="es-ES"/>
              </w:rPr>
            </w:pPr>
            <w:r w:rsidRPr="00B4142E">
              <w:rPr>
                <w:rFonts w:ascii="Calibri" w:eastAsia="Times New Roman" w:hAnsi="Calibri" w:cs="Times New Roman"/>
                <w:color w:val="000000"/>
                <w:sz w:val="16"/>
                <w:szCs w:val="16"/>
                <w:lang w:eastAsia="es-ES"/>
              </w:rPr>
              <w:t>2,063,622.27</w:t>
            </w:r>
          </w:p>
        </w:tc>
        <w:tc>
          <w:tcPr>
            <w:tcW w:w="1438" w:type="dxa"/>
            <w:tcBorders>
              <w:top w:val="nil"/>
              <w:left w:val="nil"/>
              <w:bottom w:val="nil"/>
              <w:right w:val="nil"/>
            </w:tcBorders>
            <w:shd w:val="clear" w:color="auto" w:fill="auto"/>
            <w:noWrap/>
            <w:vAlign w:val="bottom"/>
            <w:hideMark/>
          </w:tcPr>
          <w:p w:rsidR="00BA7786" w:rsidRPr="00B4142E" w:rsidRDefault="00BA7786" w:rsidP="00BA7786">
            <w:pPr>
              <w:spacing w:after="0" w:line="240" w:lineRule="auto"/>
              <w:jc w:val="right"/>
              <w:rPr>
                <w:rFonts w:ascii="Calibri" w:eastAsia="Times New Roman" w:hAnsi="Calibri" w:cs="Times New Roman"/>
                <w:color w:val="000000"/>
                <w:sz w:val="16"/>
                <w:szCs w:val="16"/>
                <w:lang w:eastAsia="es-ES"/>
              </w:rPr>
            </w:pPr>
            <w:r w:rsidRPr="00B4142E">
              <w:rPr>
                <w:rFonts w:ascii="Calibri" w:eastAsia="Times New Roman" w:hAnsi="Calibri" w:cs="Times New Roman"/>
                <w:color w:val="000000"/>
                <w:sz w:val="16"/>
                <w:szCs w:val="16"/>
                <w:lang w:eastAsia="es-ES"/>
              </w:rPr>
              <w:t>2,252,985.10</w:t>
            </w:r>
          </w:p>
        </w:tc>
        <w:tc>
          <w:tcPr>
            <w:tcW w:w="1419" w:type="dxa"/>
            <w:tcBorders>
              <w:top w:val="nil"/>
              <w:left w:val="nil"/>
              <w:bottom w:val="nil"/>
              <w:right w:val="nil"/>
            </w:tcBorders>
            <w:shd w:val="clear" w:color="auto" w:fill="auto"/>
            <w:noWrap/>
            <w:vAlign w:val="bottom"/>
            <w:hideMark/>
          </w:tcPr>
          <w:p w:rsidR="00BA7786" w:rsidRPr="00B4142E" w:rsidRDefault="00BA7786" w:rsidP="00BA7786">
            <w:pPr>
              <w:spacing w:after="0" w:line="240" w:lineRule="auto"/>
              <w:jc w:val="right"/>
              <w:rPr>
                <w:rFonts w:ascii="Calibri" w:eastAsia="Times New Roman" w:hAnsi="Calibri" w:cs="Times New Roman"/>
                <w:color w:val="000000"/>
                <w:sz w:val="16"/>
                <w:szCs w:val="16"/>
                <w:lang w:eastAsia="es-ES"/>
              </w:rPr>
            </w:pPr>
            <w:r w:rsidRPr="00B4142E">
              <w:rPr>
                <w:rFonts w:ascii="Calibri" w:eastAsia="Times New Roman" w:hAnsi="Calibri" w:cs="Times New Roman"/>
                <w:color w:val="000000"/>
                <w:sz w:val="16"/>
                <w:szCs w:val="16"/>
                <w:lang w:eastAsia="es-ES"/>
              </w:rPr>
              <w:t>2,125,768.38</w:t>
            </w:r>
          </w:p>
        </w:tc>
        <w:tc>
          <w:tcPr>
            <w:tcW w:w="1419" w:type="dxa"/>
            <w:tcBorders>
              <w:top w:val="nil"/>
              <w:left w:val="nil"/>
              <w:bottom w:val="nil"/>
              <w:right w:val="nil"/>
            </w:tcBorders>
            <w:shd w:val="clear" w:color="auto" w:fill="auto"/>
            <w:noWrap/>
            <w:vAlign w:val="bottom"/>
            <w:hideMark/>
          </w:tcPr>
          <w:p w:rsidR="00BA7786" w:rsidRPr="00B4142E" w:rsidRDefault="00BA7786" w:rsidP="00BA7786">
            <w:pPr>
              <w:spacing w:after="0" w:line="240" w:lineRule="auto"/>
              <w:jc w:val="right"/>
              <w:rPr>
                <w:rFonts w:ascii="Calibri" w:eastAsia="Times New Roman" w:hAnsi="Calibri" w:cs="Times New Roman"/>
                <w:color w:val="000000"/>
                <w:sz w:val="16"/>
                <w:szCs w:val="16"/>
                <w:lang w:eastAsia="es-ES"/>
              </w:rPr>
            </w:pPr>
            <w:r w:rsidRPr="00B4142E">
              <w:rPr>
                <w:rFonts w:ascii="Calibri" w:eastAsia="Times New Roman" w:hAnsi="Calibri" w:cs="Times New Roman"/>
                <w:color w:val="000000"/>
                <w:sz w:val="16"/>
                <w:szCs w:val="16"/>
                <w:lang w:eastAsia="es-ES"/>
              </w:rPr>
              <w:t>2,337,140.92</w:t>
            </w:r>
          </w:p>
        </w:tc>
        <w:tc>
          <w:tcPr>
            <w:tcW w:w="1547" w:type="dxa"/>
            <w:tcBorders>
              <w:top w:val="nil"/>
              <w:left w:val="nil"/>
              <w:bottom w:val="nil"/>
              <w:right w:val="nil"/>
            </w:tcBorders>
            <w:shd w:val="clear" w:color="auto" w:fill="auto"/>
            <w:noWrap/>
            <w:vAlign w:val="bottom"/>
            <w:hideMark/>
          </w:tcPr>
          <w:p w:rsidR="00BA7786" w:rsidRPr="00B4142E" w:rsidRDefault="00BA7786" w:rsidP="00BA7786">
            <w:pPr>
              <w:spacing w:after="0" w:line="240" w:lineRule="auto"/>
              <w:jc w:val="right"/>
              <w:rPr>
                <w:rFonts w:ascii="Calibri" w:eastAsia="Times New Roman" w:hAnsi="Calibri" w:cs="Times New Roman"/>
                <w:color w:val="000000"/>
                <w:sz w:val="16"/>
                <w:szCs w:val="16"/>
                <w:lang w:eastAsia="es-ES"/>
              </w:rPr>
            </w:pPr>
            <w:r w:rsidRPr="00B4142E">
              <w:rPr>
                <w:rFonts w:ascii="Calibri" w:eastAsia="Times New Roman" w:hAnsi="Calibri" w:cs="Times New Roman"/>
                <w:color w:val="000000"/>
                <w:sz w:val="16"/>
                <w:szCs w:val="16"/>
                <w:lang w:eastAsia="es-ES"/>
              </w:rPr>
              <w:t>2,164,363.07</w:t>
            </w:r>
          </w:p>
        </w:tc>
      </w:tr>
      <w:tr w:rsidR="00BA7786" w:rsidRPr="00B4142E" w:rsidTr="00BA7786">
        <w:trPr>
          <w:trHeight w:val="300"/>
          <w:jc w:val="center"/>
        </w:trPr>
        <w:tc>
          <w:tcPr>
            <w:tcW w:w="1382" w:type="dxa"/>
            <w:tcBorders>
              <w:top w:val="nil"/>
              <w:left w:val="nil"/>
              <w:bottom w:val="nil"/>
              <w:right w:val="nil"/>
            </w:tcBorders>
            <w:shd w:val="clear" w:color="auto" w:fill="auto"/>
            <w:noWrap/>
            <w:vAlign w:val="bottom"/>
            <w:hideMark/>
          </w:tcPr>
          <w:p w:rsidR="00BA7786" w:rsidRPr="00B4142E" w:rsidRDefault="00BA7786" w:rsidP="00BA7786">
            <w:pPr>
              <w:spacing w:after="0" w:line="240" w:lineRule="auto"/>
              <w:rPr>
                <w:rFonts w:ascii="Calibri" w:eastAsia="Times New Roman" w:hAnsi="Calibri" w:cs="Times New Roman"/>
                <w:color w:val="000000"/>
                <w:sz w:val="16"/>
                <w:szCs w:val="16"/>
                <w:lang w:eastAsia="es-ES"/>
              </w:rPr>
            </w:pPr>
            <w:r w:rsidRPr="00B4142E">
              <w:rPr>
                <w:rFonts w:ascii="Calibri" w:eastAsia="Times New Roman" w:hAnsi="Calibri" w:cs="Times New Roman"/>
                <w:color w:val="000000"/>
                <w:sz w:val="16"/>
                <w:szCs w:val="16"/>
                <w:lang w:eastAsia="es-ES"/>
              </w:rPr>
              <w:t xml:space="preserve">   </w:t>
            </w:r>
            <w:proofErr w:type="spellStart"/>
            <w:r w:rsidRPr="00B4142E">
              <w:rPr>
                <w:rFonts w:ascii="Calibri" w:eastAsia="Times New Roman" w:hAnsi="Calibri" w:cs="Times New Roman"/>
                <w:color w:val="000000"/>
                <w:sz w:val="16"/>
                <w:szCs w:val="16"/>
                <w:lang w:eastAsia="es-ES"/>
              </w:rPr>
              <w:t>Wages</w:t>
            </w:r>
            <w:proofErr w:type="spellEnd"/>
          </w:p>
        </w:tc>
        <w:tc>
          <w:tcPr>
            <w:tcW w:w="1419" w:type="dxa"/>
            <w:tcBorders>
              <w:top w:val="nil"/>
              <w:left w:val="nil"/>
              <w:bottom w:val="nil"/>
              <w:right w:val="nil"/>
            </w:tcBorders>
            <w:shd w:val="clear" w:color="auto" w:fill="auto"/>
            <w:noWrap/>
            <w:vAlign w:val="bottom"/>
            <w:hideMark/>
          </w:tcPr>
          <w:p w:rsidR="00BA7786" w:rsidRPr="00B4142E" w:rsidRDefault="00BA7786" w:rsidP="00BA7786">
            <w:pPr>
              <w:spacing w:after="0" w:line="240" w:lineRule="auto"/>
              <w:jc w:val="right"/>
              <w:rPr>
                <w:rFonts w:ascii="Calibri" w:eastAsia="Times New Roman" w:hAnsi="Calibri" w:cs="Times New Roman"/>
                <w:color w:val="000000"/>
                <w:sz w:val="16"/>
                <w:szCs w:val="16"/>
                <w:lang w:eastAsia="es-ES"/>
              </w:rPr>
            </w:pPr>
            <w:r w:rsidRPr="00B4142E">
              <w:rPr>
                <w:rFonts w:ascii="Calibri" w:eastAsia="Times New Roman" w:hAnsi="Calibri" w:cs="Times New Roman"/>
                <w:color w:val="000000"/>
                <w:sz w:val="16"/>
                <w:szCs w:val="16"/>
                <w:lang w:eastAsia="es-ES"/>
              </w:rPr>
              <w:t>1,995,489.12</w:t>
            </w:r>
          </w:p>
        </w:tc>
        <w:tc>
          <w:tcPr>
            <w:tcW w:w="1438" w:type="dxa"/>
            <w:tcBorders>
              <w:top w:val="nil"/>
              <w:left w:val="nil"/>
              <w:bottom w:val="nil"/>
              <w:right w:val="nil"/>
            </w:tcBorders>
            <w:shd w:val="clear" w:color="auto" w:fill="auto"/>
            <w:noWrap/>
            <w:vAlign w:val="bottom"/>
            <w:hideMark/>
          </w:tcPr>
          <w:p w:rsidR="00BA7786" w:rsidRPr="00B4142E" w:rsidRDefault="00BA7786" w:rsidP="00BA7786">
            <w:pPr>
              <w:spacing w:after="0" w:line="240" w:lineRule="auto"/>
              <w:jc w:val="right"/>
              <w:rPr>
                <w:rFonts w:ascii="Calibri" w:eastAsia="Times New Roman" w:hAnsi="Calibri" w:cs="Times New Roman"/>
                <w:color w:val="000000"/>
                <w:sz w:val="16"/>
                <w:szCs w:val="16"/>
                <w:lang w:eastAsia="es-ES"/>
              </w:rPr>
            </w:pPr>
            <w:r w:rsidRPr="00B4142E">
              <w:rPr>
                <w:rFonts w:ascii="Calibri" w:eastAsia="Times New Roman" w:hAnsi="Calibri" w:cs="Times New Roman"/>
                <w:color w:val="000000"/>
                <w:sz w:val="16"/>
                <w:szCs w:val="16"/>
                <w:lang w:eastAsia="es-ES"/>
              </w:rPr>
              <w:t>2,044,589.49</w:t>
            </w:r>
          </w:p>
        </w:tc>
        <w:tc>
          <w:tcPr>
            <w:tcW w:w="1419" w:type="dxa"/>
            <w:tcBorders>
              <w:top w:val="nil"/>
              <w:left w:val="nil"/>
              <w:bottom w:val="nil"/>
              <w:right w:val="nil"/>
            </w:tcBorders>
            <w:shd w:val="clear" w:color="auto" w:fill="auto"/>
            <w:noWrap/>
            <w:vAlign w:val="bottom"/>
            <w:hideMark/>
          </w:tcPr>
          <w:p w:rsidR="00BA7786" w:rsidRPr="00B4142E" w:rsidRDefault="00BA7786" w:rsidP="00BA7786">
            <w:pPr>
              <w:spacing w:after="0" w:line="240" w:lineRule="auto"/>
              <w:jc w:val="right"/>
              <w:rPr>
                <w:rFonts w:ascii="Calibri" w:eastAsia="Times New Roman" w:hAnsi="Calibri" w:cs="Times New Roman"/>
                <w:color w:val="000000"/>
                <w:sz w:val="16"/>
                <w:szCs w:val="16"/>
                <w:lang w:eastAsia="es-ES"/>
              </w:rPr>
            </w:pPr>
            <w:r w:rsidRPr="00B4142E">
              <w:rPr>
                <w:rFonts w:ascii="Calibri" w:eastAsia="Times New Roman" w:hAnsi="Calibri" w:cs="Times New Roman"/>
                <w:color w:val="000000"/>
                <w:sz w:val="16"/>
                <w:szCs w:val="16"/>
                <w:lang w:eastAsia="es-ES"/>
              </w:rPr>
              <w:t>1,989,173.24</w:t>
            </w:r>
          </w:p>
        </w:tc>
        <w:tc>
          <w:tcPr>
            <w:tcW w:w="1419" w:type="dxa"/>
            <w:tcBorders>
              <w:top w:val="nil"/>
              <w:left w:val="nil"/>
              <w:bottom w:val="nil"/>
              <w:right w:val="nil"/>
            </w:tcBorders>
            <w:shd w:val="clear" w:color="auto" w:fill="auto"/>
            <w:noWrap/>
            <w:vAlign w:val="bottom"/>
            <w:hideMark/>
          </w:tcPr>
          <w:p w:rsidR="00BA7786" w:rsidRPr="00B4142E" w:rsidRDefault="00BA7786" w:rsidP="00BA7786">
            <w:pPr>
              <w:spacing w:after="0" w:line="240" w:lineRule="auto"/>
              <w:jc w:val="right"/>
              <w:rPr>
                <w:rFonts w:ascii="Calibri" w:eastAsia="Times New Roman" w:hAnsi="Calibri" w:cs="Times New Roman"/>
                <w:color w:val="000000"/>
                <w:sz w:val="16"/>
                <w:szCs w:val="16"/>
                <w:lang w:eastAsia="es-ES"/>
              </w:rPr>
            </w:pPr>
            <w:r w:rsidRPr="00B4142E">
              <w:rPr>
                <w:rFonts w:ascii="Calibri" w:eastAsia="Times New Roman" w:hAnsi="Calibri" w:cs="Times New Roman"/>
                <w:color w:val="000000"/>
                <w:sz w:val="16"/>
                <w:szCs w:val="16"/>
                <w:lang w:eastAsia="es-ES"/>
              </w:rPr>
              <w:t>2,112,701.50</w:t>
            </w:r>
          </w:p>
        </w:tc>
        <w:tc>
          <w:tcPr>
            <w:tcW w:w="1547" w:type="dxa"/>
            <w:tcBorders>
              <w:top w:val="nil"/>
              <w:left w:val="nil"/>
              <w:bottom w:val="nil"/>
              <w:right w:val="nil"/>
            </w:tcBorders>
            <w:shd w:val="clear" w:color="auto" w:fill="auto"/>
            <w:noWrap/>
            <w:vAlign w:val="bottom"/>
            <w:hideMark/>
          </w:tcPr>
          <w:p w:rsidR="00BA7786" w:rsidRPr="00B4142E" w:rsidRDefault="00BA7786" w:rsidP="00BA7786">
            <w:pPr>
              <w:spacing w:after="0" w:line="240" w:lineRule="auto"/>
              <w:jc w:val="right"/>
              <w:rPr>
                <w:rFonts w:ascii="Calibri" w:eastAsia="Times New Roman" w:hAnsi="Calibri" w:cs="Times New Roman"/>
                <w:color w:val="000000"/>
                <w:sz w:val="16"/>
                <w:szCs w:val="16"/>
                <w:lang w:eastAsia="es-ES"/>
              </w:rPr>
            </w:pPr>
            <w:r w:rsidRPr="00B4142E">
              <w:rPr>
                <w:rFonts w:ascii="Calibri" w:eastAsia="Times New Roman" w:hAnsi="Calibri" w:cs="Times New Roman"/>
                <w:color w:val="000000"/>
                <w:sz w:val="16"/>
                <w:szCs w:val="16"/>
                <w:lang w:eastAsia="es-ES"/>
              </w:rPr>
              <w:t>2,024,560.78</w:t>
            </w:r>
          </w:p>
        </w:tc>
      </w:tr>
      <w:tr w:rsidR="00BA7786" w:rsidRPr="00B4142E" w:rsidTr="00BA7786">
        <w:trPr>
          <w:trHeight w:val="300"/>
          <w:jc w:val="center"/>
        </w:trPr>
        <w:tc>
          <w:tcPr>
            <w:tcW w:w="1382" w:type="dxa"/>
            <w:tcBorders>
              <w:top w:val="nil"/>
              <w:left w:val="nil"/>
              <w:bottom w:val="nil"/>
              <w:right w:val="nil"/>
            </w:tcBorders>
            <w:shd w:val="clear" w:color="auto" w:fill="auto"/>
            <w:noWrap/>
            <w:vAlign w:val="bottom"/>
            <w:hideMark/>
          </w:tcPr>
          <w:p w:rsidR="00BA7786" w:rsidRPr="00B4142E" w:rsidRDefault="00BA7786" w:rsidP="00BA7786">
            <w:pPr>
              <w:spacing w:after="0" w:line="240" w:lineRule="auto"/>
              <w:rPr>
                <w:rFonts w:ascii="Calibri" w:eastAsia="Times New Roman" w:hAnsi="Calibri" w:cs="Times New Roman"/>
                <w:color w:val="000000"/>
                <w:sz w:val="16"/>
                <w:szCs w:val="16"/>
                <w:lang w:eastAsia="es-ES"/>
              </w:rPr>
            </w:pPr>
            <w:r w:rsidRPr="00B4142E">
              <w:rPr>
                <w:rFonts w:ascii="Calibri" w:eastAsia="Times New Roman" w:hAnsi="Calibri" w:cs="Times New Roman"/>
                <w:color w:val="000000"/>
                <w:sz w:val="16"/>
                <w:szCs w:val="16"/>
                <w:lang w:eastAsia="es-ES"/>
              </w:rPr>
              <w:t xml:space="preserve">   Non-</w:t>
            </w:r>
            <w:proofErr w:type="spellStart"/>
            <w:r w:rsidRPr="00B4142E">
              <w:rPr>
                <w:rFonts w:ascii="Calibri" w:eastAsia="Times New Roman" w:hAnsi="Calibri" w:cs="Times New Roman"/>
                <w:color w:val="000000"/>
                <w:sz w:val="16"/>
                <w:szCs w:val="16"/>
                <w:lang w:eastAsia="es-ES"/>
              </w:rPr>
              <w:t>Wages</w:t>
            </w:r>
            <w:proofErr w:type="spellEnd"/>
          </w:p>
        </w:tc>
        <w:tc>
          <w:tcPr>
            <w:tcW w:w="1419" w:type="dxa"/>
            <w:tcBorders>
              <w:top w:val="nil"/>
              <w:left w:val="nil"/>
              <w:bottom w:val="nil"/>
              <w:right w:val="nil"/>
            </w:tcBorders>
            <w:shd w:val="clear" w:color="auto" w:fill="auto"/>
            <w:noWrap/>
            <w:vAlign w:val="bottom"/>
            <w:hideMark/>
          </w:tcPr>
          <w:p w:rsidR="00BA7786" w:rsidRPr="00B4142E" w:rsidRDefault="00BA7786" w:rsidP="00BA7786">
            <w:pPr>
              <w:spacing w:after="0" w:line="240" w:lineRule="auto"/>
              <w:jc w:val="right"/>
              <w:rPr>
                <w:rFonts w:ascii="Calibri" w:eastAsia="Times New Roman" w:hAnsi="Calibri" w:cs="Times New Roman"/>
                <w:color w:val="000000"/>
                <w:sz w:val="16"/>
                <w:szCs w:val="16"/>
                <w:lang w:eastAsia="es-ES"/>
              </w:rPr>
            </w:pPr>
            <w:r w:rsidRPr="00B4142E">
              <w:rPr>
                <w:rFonts w:ascii="Calibri" w:eastAsia="Times New Roman" w:hAnsi="Calibri" w:cs="Times New Roman"/>
                <w:color w:val="000000"/>
                <w:sz w:val="16"/>
                <w:szCs w:val="16"/>
                <w:lang w:eastAsia="es-ES"/>
              </w:rPr>
              <w:t>68,133.15</w:t>
            </w:r>
          </w:p>
        </w:tc>
        <w:tc>
          <w:tcPr>
            <w:tcW w:w="1438" w:type="dxa"/>
            <w:tcBorders>
              <w:top w:val="nil"/>
              <w:left w:val="nil"/>
              <w:bottom w:val="nil"/>
              <w:right w:val="nil"/>
            </w:tcBorders>
            <w:shd w:val="clear" w:color="auto" w:fill="auto"/>
            <w:noWrap/>
            <w:vAlign w:val="bottom"/>
            <w:hideMark/>
          </w:tcPr>
          <w:p w:rsidR="00BA7786" w:rsidRPr="00B4142E" w:rsidRDefault="00BA7786" w:rsidP="00BA7786">
            <w:pPr>
              <w:spacing w:after="0" w:line="240" w:lineRule="auto"/>
              <w:jc w:val="right"/>
              <w:rPr>
                <w:rFonts w:ascii="Calibri" w:eastAsia="Times New Roman" w:hAnsi="Calibri" w:cs="Times New Roman"/>
                <w:color w:val="000000"/>
                <w:sz w:val="16"/>
                <w:szCs w:val="16"/>
                <w:lang w:eastAsia="es-ES"/>
              </w:rPr>
            </w:pPr>
            <w:r w:rsidRPr="00B4142E">
              <w:rPr>
                <w:rFonts w:ascii="Calibri" w:eastAsia="Times New Roman" w:hAnsi="Calibri" w:cs="Times New Roman"/>
                <w:color w:val="000000"/>
                <w:sz w:val="16"/>
                <w:szCs w:val="16"/>
                <w:lang w:eastAsia="es-ES"/>
              </w:rPr>
              <w:t>208,395.61</w:t>
            </w:r>
          </w:p>
        </w:tc>
        <w:tc>
          <w:tcPr>
            <w:tcW w:w="1419" w:type="dxa"/>
            <w:tcBorders>
              <w:top w:val="nil"/>
              <w:left w:val="nil"/>
              <w:bottom w:val="nil"/>
              <w:right w:val="nil"/>
            </w:tcBorders>
            <w:shd w:val="clear" w:color="auto" w:fill="auto"/>
            <w:noWrap/>
            <w:vAlign w:val="bottom"/>
            <w:hideMark/>
          </w:tcPr>
          <w:p w:rsidR="00BA7786" w:rsidRPr="00B4142E" w:rsidRDefault="00BA7786" w:rsidP="00BA7786">
            <w:pPr>
              <w:spacing w:after="0" w:line="240" w:lineRule="auto"/>
              <w:jc w:val="right"/>
              <w:rPr>
                <w:rFonts w:ascii="Calibri" w:eastAsia="Times New Roman" w:hAnsi="Calibri" w:cs="Times New Roman"/>
                <w:color w:val="000000"/>
                <w:sz w:val="16"/>
                <w:szCs w:val="16"/>
                <w:lang w:eastAsia="es-ES"/>
              </w:rPr>
            </w:pPr>
            <w:r w:rsidRPr="00B4142E">
              <w:rPr>
                <w:rFonts w:ascii="Calibri" w:eastAsia="Times New Roman" w:hAnsi="Calibri" w:cs="Times New Roman"/>
                <w:color w:val="000000"/>
                <w:sz w:val="16"/>
                <w:szCs w:val="16"/>
                <w:lang w:eastAsia="es-ES"/>
              </w:rPr>
              <w:t>136,595.14</w:t>
            </w:r>
          </w:p>
        </w:tc>
        <w:tc>
          <w:tcPr>
            <w:tcW w:w="1419" w:type="dxa"/>
            <w:tcBorders>
              <w:top w:val="nil"/>
              <w:left w:val="nil"/>
              <w:bottom w:val="nil"/>
              <w:right w:val="nil"/>
            </w:tcBorders>
            <w:shd w:val="clear" w:color="auto" w:fill="auto"/>
            <w:noWrap/>
            <w:vAlign w:val="bottom"/>
            <w:hideMark/>
          </w:tcPr>
          <w:p w:rsidR="00BA7786" w:rsidRPr="00B4142E" w:rsidRDefault="00BA7786" w:rsidP="00BA7786">
            <w:pPr>
              <w:spacing w:after="0" w:line="240" w:lineRule="auto"/>
              <w:jc w:val="right"/>
              <w:rPr>
                <w:rFonts w:ascii="Calibri" w:eastAsia="Times New Roman" w:hAnsi="Calibri" w:cs="Times New Roman"/>
                <w:color w:val="000000"/>
                <w:sz w:val="16"/>
                <w:szCs w:val="16"/>
                <w:lang w:eastAsia="es-ES"/>
              </w:rPr>
            </w:pPr>
            <w:r w:rsidRPr="00B4142E">
              <w:rPr>
                <w:rFonts w:ascii="Calibri" w:eastAsia="Times New Roman" w:hAnsi="Calibri" w:cs="Times New Roman"/>
                <w:color w:val="000000"/>
                <w:sz w:val="16"/>
                <w:szCs w:val="16"/>
                <w:lang w:eastAsia="es-ES"/>
              </w:rPr>
              <w:t>224,439.42</w:t>
            </w:r>
          </w:p>
        </w:tc>
        <w:tc>
          <w:tcPr>
            <w:tcW w:w="1547" w:type="dxa"/>
            <w:tcBorders>
              <w:top w:val="nil"/>
              <w:left w:val="nil"/>
              <w:bottom w:val="nil"/>
              <w:right w:val="nil"/>
            </w:tcBorders>
            <w:shd w:val="clear" w:color="auto" w:fill="auto"/>
            <w:noWrap/>
            <w:vAlign w:val="bottom"/>
            <w:hideMark/>
          </w:tcPr>
          <w:p w:rsidR="00BA7786" w:rsidRPr="00B4142E" w:rsidRDefault="00BA7786" w:rsidP="00BA7786">
            <w:pPr>
              <w:spacing w:after="0" w:line="240" w:lineRule="auto"/>
              <w:jc w:val="right"/>
              <w:rPr>
                <w:rFonts w:ascii="Calibri" w:eastAsia="Times New Roman" w:hAnsi="Calibri" w:cs="Times New Roman"/>
                <w:color w:val="000000"/>
                <w:sz w:val="16"/>
                <w:szCs w:val="16"/>
                <w:lang w:eastAsia="es-ES"/>
              </w:rPr>
            </w:pPr>
            <w:r w:rsidRPr="00B4142E">
              <w:rPr>
                <w:rFonts w:ascii="Calibri" w:eastAsia="Times New Roman" w:hAnsi="Calibri" w:cs="Times New Roman"/>
                <w:color w:val="000000"/>
                <w:sz w:val="16"/>
                <w:szCs w:val="16"/>
                <w:lang w:eastAsia="es-ES"/>
              </w:rPr>
              <w:t>139,802.30</w:t>
            </w:r>
          </w:p>
        </w:tc>
      </w:tr>
      <w:tr w:rsidR="00BA7786" w:rsidRPr="00B4142E" w:rsidTr="00BA7786">
        <w:trPr>
          <w:trHeight w:val="300"/>
          <w:jc w:val="center"/>
        </w:trPr>
        <w:tc>
          <w:tcPr>
            <w:tcW w:w="1382" w:type="dxa"/>
            <w:tcBorders>
              <w:top w:val="nil"/>
              <w:left w:val="nil"/>
              <w:bottom w:val="nil"/>
              <w:right w:val="nil"/>
            </w:tcBorders>
            <w:shd w:val="clear" w:color="auto" w:fill="auto"/>
            <w:noWrap/>
            <w:vAlign w:val="bottom"/>
            <w:hideMark/>
          </w:tcPr>
          <w:p w:rsidR="00BA7786" w:rsidRPr="00B4142E" w:rsidRDefault="00BA7786" w:rsidP="00BA7786">
            <w:pPr>
              <w:spacing w:after="0" w:line="240" w:lineRule="auto"/>
              <w:rPr>
                <w:rFonts w:ascii="Calibri" w:eastAsia="Times New Roman" w:hAnsi="Calibri" w:cs="Times New Roman"/>
                <w:color w:val="000000"/>
                <w:sz w:val="16"/>
                <w:szCs w:val="16"/>
                <w:lang w:eastAsia="es-ES"/>
              </w:rPr>
            </w:pPr>
            <w:r w:rsidRPr="00B4142E">
              <w:rPr>
                <w:rFonts w:ascii="Calibri" w:eastAsia="Times New Roman" w:hAnsi="Calibri" w:cs="Times New Roman"/>
                <w:color w:val="000000"/>
                <w:sz w:val="16"/>
                <w:szCs w:val="16"/>
                <w:lang w:eastAsia="es-ES"/>
              </w:rPr>
              <w:t>Capital</w:t>
            </w:r>
          </w:p>
        </w:tc>
        <w:tc>
          <w:tcPr>
            <w:tcW w:w="1419" w:type="dxa"/>
            <w:tcBorders>
              <w:top w:val="nil"/>
              <w:left w:val="nil"/>
              <w:bottom w:val="nil"/>
              <w:right w:val="nil"/>
            </w:tcBorders>
            <w:shd w:val="clear" w:color="auto" w:fill="auto"/>
            <w:noWrap/>
            <w:vAlign w:val="bottom"/>
            <w:hideMark/>
          </w:tcPr>
          <w:p w:rsidR="00BA7786" w:rsidRPr="00B4142E" w:rsidRDefault="00BA7786" w:rsidP="00BA7786">
            <w:pPr>
              <w:spacing w:after="0" w:line="240" w:lineRule="auto"/>
              <w:jc w:val="right"/>
              <w:rPr>
                <w:rFonts w:ascii="Calibri" w:eastAsia="Times New Roman" w:hAnsi="Calibri" w:cs="Times New Roman"/>
                <w:color w:val="000000"/>
                <w:sz w:val="16"/>
                <w:szCs w:val="16"/>
                <w:lang w:eastAsia="es-ES"/>
              </w:rPr>
            </w:pPr>
            <w:r w:rsidRPr="00B4142E">
              <w:rPr>
                <w:rFonts w:ascii="Calibri" w:eastAsia="Times New Roman" w:hAnsi="Calibri" w:cs="Times New Roman"/>
                <w:color w:val="000000"/>
                <w:sz w:val="16"/>
                <w:szCs w:val="16"/>
                <w:lang w:eastAsia="es-ES"/>
              </w:rPr>
              <w:t>217,842.92</w:t>
            </w:r>
          </w:p>
        </w:tc>
        <w:tc>
          <w:tcPr>
            <w:tcW w:w="1438" w:type="dxa"/>
            <w:tcBorders>
              <w:top w:val="nil"/>
              <w:left w:val="nil"/>
              <w:bottom w:val="nil"/>
              <w:right w:val="nil"/>
            </w:tcBorders>
            <w:shd w:val="clear" w:color="auto" w:fill="auto"/>
            <w:noWrap/>
            <w:vAlign w:val="bottom"/>
            <w:hideMark/>
          </w:tcPr>
          <w:p w:rsidR="00BA7786" w:rsidRPr="00B4142E" w:rsidRDefault="00BA7786" w:rsidP="00BA7786">
            <w:pPr>
              <w:spacing w:after="0" w:line="240" w:lineRule="auto"/>
              <w:jc w:val="right"/>
              <w:rPr>
                <w:rFonts w:ascii="Calibri" w:eastAsia="Times New Roman" w:hAnsi="Calibri" w:cs="Times New Roman"/>
                <w:color w:val="000000"/>
                <w:sz w:val="16"/>
                <w:szCs w:val="16"/>
                <w:lang w:eastAsia="es-ES"/>
              </w:rPr>
            </w:pPr>
            <w:r w:rsidRPr="00B4142E">
              <w:rPr>
                <w:rFonts w:ascii="Calibri" w:eastAsia="Times New Roman" w:hAnsi="Calibri" w:cs="Times New Roman"/>
                <w:color w:val="000000"/>
                <w:sz w:val="16"/>
                <w:szCs w:val="16"/>
                <w:lang w:eastAsia="es-ES"/>
              </w:rPr>
              <w:t>216,932.55</w:t>
            </w:r>
          </w:p>
        </w:tc>
        <w:tc>
          <w:tcPr>
            <w:tcW w:w="1419" w:type="dxa"/>
            <w:tcBorders>
              <w:top w:val="nil"/>
              <w:left w:val="nil"/>
              <w:bottom w:val="nil"/>
              <w:right w:val="nil"/>
            </w:tcBorders>
            <w:shd w:val="clear" w:color="auto" w:fill="auto"/>
            <w:noWrap/>
            <w:vAlign w:val="bottom"/>
            <w:hideMark/>
          </w:tcPr>
          <w:p w:rsidR="00BA7786" w:rsidRPr="00B4142E" w:rsidRDefault="00BA7786" w:rsidP="00BA7786">
            <w:pPr>
              <w:spacing w:after="0" w:line="240" w:lineRule="auto"/>
              <w:jc w:val="right"/>
              <w:rPr>
                <w:rFonts w:ascii="Calibri" w:eastAsia="Times New Roman" w:hAnsi="Calibri" w:cs="Times New Roman"/>
                <w:color w:val="000000"/>
                <w:sz w:val="16"/>
                <w:szCs w:val="16"/>
                <w:lang w:eastAsia="es-ES"/>
              </w:rPr>
            </w:pPr>
            <w:r w:rsidRPr="00B4142E">
              <w:rPr>
                <w:rFonts w:ascii="Calibri" w:eastAsia="Times New Roman" w:hAnsi="Calibri" w:cs="Times New Roman"/>
                <w:color w:val="000000"/>
                <w:sz w:val="16"/>
                <w:szCs w:val="16"/>
                <w:lang w:eastAsia="es-ES"/>
              </w:rPr>
              <w:t>481,556.49</w:t>
            </w:r>
          </w:p>
        </w:tc>
        <w:tc>
          <w:tcPr>
            <w:tcW w:w="1419" w:type="dxa"/>
            <w:tcBorders>
              <w:top w:val="nil"/>
              <w:left w:val="nil"/>
              <w:bottom w:val="nil"/>
              <w:right w:val="nil"/>
            </w:tcBorders>
            <w:shd w:val="clear" w:color="auto" w:fill="auto"/>
            <w:noWrap/>
            <w:vAlign w:val="bottom"/>
            <w:hideMark/>
          </w:tcPr>
          <w:p w:rsidR="00BA7786" w:rsidRPr="00B4142E" w:rsidRDefault="00BA7786" w:rsidP="00BA7786">
            <w:pPr>
              <w:spacing w:after="0" w:line="240" w:lineRule="auto"/>
              <w:jc w:val="right"/>
              <w:rPr>
                <w:rFonts w:ascii="Calibri" w:eastAsia="Times New Roman" w:hAnsi="Calibri" w:cs="Times New Roman"/>
                <w:color w:val="000000"/>
                <w:sz w:val="16"/>
                <w:szCs w:val="16"/>
                <w:lang w:eastAsia="es-ES"/>
              </w:rPr>
            </w:pPr>
            <w:r w:rsidRPr="00B4142E">
              <w:rPr>
                <w:rFonts w:ascii="Calibri" w:eastAsia="Times New Roman" w:hAnsi="Calibri" w:cs="Times New Roman"/>
                <w:color w:val="000000"/>
                <w:sz w:val="16"/>
                <w:szCs w:val="16"/>
                <w:lang w:eastAsia="es-ES"/>
              </w:rPr>
              <w:t>631,622.48</w:t>
            </w:r>
          </w:p>
        </w:tc>
        <w:tc>
          <w:tcPr>
            <w:tcW w:w="1547" w:type="dxa"/>
            <w:tcBorders>
              <w:top w:val="nil"/>
              <w:left w:val="nil"/>
              <w:bottom w:val="nil"/>
              <w:right w:val="nil"/>
            </w:tcBorders>
            <w:shd w:val="clear" w:color="auto" w:fill="auto"/>
            <w:noWrap/>
            <w:vAlign w:val="bottom"/>
            <w:hideMark/>
          </w:tcPr>
          <w:p w:rsidR="00BA7786" w:rsidRPr="00B4142E" w:rsidRDefault="00BA7786" w:rsidP="00BA7786">
            <w:pPr>
              <w:spacing w:after="0" w:line="240" w:lineRule="auto"/>
              <w:jc w:val="right"/>
              <w:rPr>
                <w:rFonts w:ascii="Calibri" w:eastAsia="Times New Roman" w:hAnsi="Calibri" w:cs="Times New Roman"/>
                <w:color w:val="000000"/>
                <w:sz w:val="16"/>
                <w:szCs w:val="16"/>
                <w:lang w:eastAsia="es-ES"/>
              </w:rPr>
            </w:pPr>
            <w:r w:rsidRPr="00B4142E">
              <w:rPr>
                <w:rFonts w:ascii="Calibri" w:eastAsia="Times New Roman" w:hAnsi="Calibri" w:cs="Times New Roman"/>
                <w:color w:val="000000"/>
                <w:sz w:val="16"/>
                <w:szCs w:val="16"/>
                <w:lang w:eastAsia="es-ES"/>
              </w:rPr>
              <w:t>391,410.82</w:t>
            </w:r>
          </w:p>
        </w:tc>
      </w:tr>
      <w:tr w:rsidR="00BA7786" w:rsidRPr="00B4142E" w:rsidTr="00B4142E">
        <w:trPr>
          <w:trHeight w:val="236"/>
          <w:jc w:val="center"/>
        </w:trPr>
        <w:tc>
          <w:tcPr>
            <w:tcW w:w="1382" w:type="dxa"/>
            <w:tcBorders>
              <w:top w:val="nil"/>
              <w:left w:val="nil"/>
              <w:bottom w:val="nil"/>
              <w:right w:val="nil"/>
            </w:tcBorders>
            <w:shd w:val="clear" w:color="000000" w:fill="CCCCFF"/>
            <w:noWrap/>
            <w:vAlign w:val="bottom"/>
            <w:hideMark/>
          </w:tcPr>
          <w:p w:rsidR="00BA7786" w:rsidRPr="00B4142E" w:rsidRDefault="00BA7786" w:rsidP="00BA7786">
            <w:pPr>
              <w:spacing w:after="0" w:line="240" w:lineRule="auto"/>
              <w:rPr>
                <w:rFonts w:ascii="Calibri" w:eastAsia="Times New Roman" w:hAnsi="Calibri" w:cs="Times New Roman"/>
                <w:b/>
                <w:bCs/>
                <w:color w:val="000000"/>
                <w:sz w:val="16"/>
                <w:szCs w:val="16"/>
                <w:lang w:eastAsia="es-ES"/>
              </w:rPr>
            </w:pPr>
            <w:proofErr w:type="spellStart"/>
            <w:r w:rsidRPr="00B4142E">
              <w:rPr>
                <w:rFonts w:ascii="Calibri" w:eastAsia="Times New Roman" w:hAnsi="Calibri" w:cs="Times New Roman"/>
                <w:b/>
                <w:bCs/>
                <w:color w:val="000000"/>
                <w:sz w:val="16"/>
                <w:szCs w:val="16"/>
                <w:lang w:eastAsia="es-ES"/>
              </w:rPr>
              <w:t>University</w:t>
            </w:r>
            <w:proofErr w:type="spellEnd"/>
          </w:p>
        </w:tc>
        <w:tc>
          <w:tcPr>
            <w:tcW w:w="1419" w:type="dxa"/>
            <w:tcBorders>
              <w:top w:val="nil"/>
              <w:left w:val="nil"/>
              <w:bottom w:val="nil"/>
              <w:right w:val="nil"/>
            </w:tcBorders>
            <w:shd w:val="clear" w:color="000000" w:fill="CCCCFF"/>
            <w:noWrap/>
            <w:vAlign w:val="bottom"/>
            <w:hideMark/>
          </w:tcPr>
          <w:p w:rsidR="00BA7786" w:rsidRPr="00B4142E" w:rsidRDefault="00BA7786" w:rsidP="00BA7786">
            <w:pPr>
              <w:spacing w:after="0" w:line="240" w:lineRule="auto"/>
              <w:rPr>
                <w:rFonts w:ascii="Calibri" w:eastAsia="Times New Roman" w:hAnsi="Calibri" w:cs="Times New Roman"/>
                <w:color w:val="000000"/>
                <w:sz w:val="16"/>
                <w:szCs w:val="16"/>
                <w:lang w:eastAsia="es-ES"/>
              </w:rPr>
            </w:pPr>
            <w:r w:rsidRPr="00B4142E">
              <w:rPr>
                <w:rFonts w:ascii="Calibri" w:eastAsia="Times New Roman" w:hAnsi="Calibri" w:cs="Times New Roman"/>
                <w:color w:val="000000"/>
                <w:sz w:val="16"/>
                <w:szCs w:val="16"/>
                <w:lang w:eastAsia="es-ES"/>
              </w:rPr>
              <w:t> </w:t>
            </w:r>
          </w:p>
        </w:tc>
        <w:tc>
          <w:tcPr>
            <w:tcW w:w="1438" w:type="dxa"/>
            <w:tcBorders>
              <w:top w:val="nil"/>
              <w:left w:val="nil"/>
              <w:bottom w:val="nil"/>
              <w:right w:val="nil"/>
            </w:tcBorders>
            <w:shd w:val="clear" w:color="000000" w:fill="CCCCFF"/>
            <w:noWrap/>
            <w:vAlign w:val="bottom"/>
            <w:hideMark/>
          </w:tcPr>
          <w:p w:rsidR="00BA7786" w:rsidRPr="00B4142E" w:rsidRDefault="00BA7786" w:rsidP="00BA7786">
            <w:pPr>
              <w:spacing w:after="0" w:line="240" w:lineRule="auto"/>
              <w:rPr>
                <w:rFonts w:ascii="Calibri" w:eastAsia="Times New Roman" w:hAnsi="Calibri" w:cs="Times New Roman"/>
                <w:color w:val="000000"/>
                <w:sz w:val="16"/>
                <w:szCs w:val="16"/>
                <w:lang w:eastAsia="es-ES"/>
              </w:rPr>
            </w:pPr>
            <w:r w:rsidRPr="00B4142E">
              <w:rPr>
                <w:rFonts w:ascii="Calibri" w:eastAsia="Times New Roman" w:hAnsi="Calibri" w:cs="Times New Roman"/>
                <w:color w:val="000000"/>
                <w:sz w:val="16"/>
                <w:szCs w:val="16"/>
                <w:lang w:eastAsia="es-ES"/>
              </w:rPr>
              <w:t> </w:t>
            </w:r>
          </w:p>
        </w:tc>
        <w:tc>
          <w:tcPr>
            <w:tcW w:w="1419" w:type="dxa"/>
            <w:tcBorders>
              <w:top w:val="nil"/>
              <w:left w:val="nil"/>
              <w:bottom w:val="nil"/>
              <w:right w:val="nil"/>
            </w:tcBorders>
            <w:shd w:val="clear" w:color="000000" w:fill="CCCCFF"/>
            <w:noWrap/>
            <w:vAlign w:val="bottom"/>
            <w:hideMark/>
          </w:tcPr>
          <w:p w:rsidR="00BA7786" w:rsidRPr="00B4142E" w:rsidRDefault="00BA7786" w:rsidP="00BA7786">
            <w:pPr>
              <w:spacing w:after="0" w:line="240" w:lineRule="auto"/>
              <w:rPr>
                <w:rFonts w:ascii="Calibri" w:eastAsia="Times New Roman" w:hAnsi="Calibri" w:cs="Times New Roman"/>
                <w:color w:val="000000"/>
                <w:sz w:val="16"/>
                <w:szCs w:val="16"/>
                <w:lang w:eastAsia="es-ES"/>
              </w:rPr>
            </w:pPr>
            <w:r w:rsidRPr="00B4142E">
              <w:rPr>
                <w:rFonts w:ascii="Calibri" w:eastAsia="Times New Roman" w:hAnsi="Calibri" w:cs="Times New Roman"/>
                <w:color w:val="000000"/>
                <w:sz w:val="16"/>
                <w:szCs w:val="16"/>
                <w:lang w:eastAsia="es-ES"/>
              </w:rPr>
              <w:t> </w:t>
            </w:r>
          </w:p>
        </w:tc>
        <w:tc>
          <w:tcPr>
            <w:tcW w:w="1419" w:type="dxa"/>
            <w:tcBorders>
              <w:top w:val="nil"/>
              <w:left w:val="nil"/>
              <w:bottom w:val="nil"/>
              <w:right w:val="nil"/>
            </w:tcBorders>
            <w:shd w:val="clear" w:color="000000" w:fill="CCCCFF"/>
            <w:noWrap/>
            <w:vAlign w:val="bottom"/>
            <w:hideMark/>
          </w:tcPr>
          <w:p w:rsidR="00BA7786" w:rsidRPr="00B4142E" w:rsidRDefault="00BA7786" w:rsidP="00BA7786">
            <w:pPr>
              <w:spacing w:after="0" w:line="240" w:lineRule="auto"/>
              <w:rPr>
                <w:rFonts w:ascii="Calibri" w:eastAsia="Times New Roman" w:hAnsi="Calibri" w:cs="Times New Roman"/>
                <w:color w:val="000000"/>
                <w:sz w:val="16"/>
                <w:szCs w:val="16"/>
                <w:lang w:eastAsia="es-ES"/>
              </w:rPr>
            </w:pPr>
            <w:r w:rsidRPr="00B4142E">
              <w:rPr>
                <w:rFonts w:ascii="Calibri" w:eastAsia="Times New Roman" w:hAnsi="Calibri" w:cs="Times New Roman"/>
                <w:color w:val="000000"/>
                <w:sz w:val="16"/>
                <w:szCs w:val="16"/>
                <w:lang w:eastAsia="es-ES"/>
              </w:rPr>
              <w:t> </w:t>
            </w:r>
          </w:p>
        </w:tc>
        <w:tc>
          <w:tcPr>
            <w:tcW w:w="1547" w:type="dxa"/>
            <w:tcBorders>
              <w:top w:val="nil"/>
              <w:left w:val="nil"/>
              <w:bottom w:val="nil"/>
              <w:right w:val="nil"/>
            </w:tcBorders>
            <w:shd w:val="clear" w:color="000000" w:fill="CCCCFF"/>
            <w:noWrap/>
            <w:vAlign w:val="bottom"/>
            <w:hideMark/>
          </w:tcPr>
          <w:p w:rsidR="00BA7786" w:rsidRPr="00B4142E" w:rsidRDefault="00BA7786" w:rsidP="00BA7786">
            <w:pPr>
              <w:spacing w:after="0" w:line="240" w:lineRule="auto"/>
              <w:rPr>
                <w:rFonts w:ascii="Calibri" w:eastAsia="Times New Roman" w:hAnsi="Calibri" w:cs="Times New Roman"/>
                <w:color w:val="000000"/>
                <w:sz w:val="16"/>
                <w:szCs w:val="16"/>
                <w:lang w:eastAsia="es-ES"/>
              </w:rPr>
            </w:pPr>
            <w:r w:rsidRPr="00B4142E">
              <w:rPr>
                <w:rFonts w:ascii="Calibri" w:eastAsia="Times New Roman" w:hAnsi="Calibri" w:cs="Times New Roman"/>
                <w:color w:val="000000"/>
                <w:sz w:val="16"/>
                <w:szCs w:val="16"/>
                <w:lang w:eastAsia="es-ES"/>
              </w:rPr>
              <w:t> </w:t>
            </w:r>
          </w:p>
        </w:tc>
      </w:tr>
      <w:tr w:rsidR="00BA7786" w:rsidRPr="00B4142E" w:rsidTr="00BA7786">
        <w:trPr>
          <w:trHeight w:val="300"/>
          <w:jc w:val="center"/>
        </w:trPr>
        <w:tc>
          <w:tcPr>
            <w:tcW w:w="1382" w:type="dxa"/>
            <w:tcBorders>
              <w:top w:val="nil"/>
              <w:left w:val="nil"/>
              <w:bottom w:val="nil"/>
              <w:right w:val="nil"/>
            </w:tcBorders>
            <w:shd w:val="clear" w:color="auto" w:fill="auto"/>
            <w:noWrap/>
            <w:vAlign w:val="bottom"/>
            <w:hideMark/>
          </w:tcPr>
          <w:p w:rsidR="00BA7786" w:rsidRPr="00B4142E" w:rsidRDefault="00BA7786" w:rsidP="00BA7786">
            <w:pPr>
              <w:spacing w:after="0" w:line="240" w:lineRule="auto"/>
              <w:rPr>
                <w:rFonts w:ascii="Calibri" w:eastAsia="Times New Roman" w:hAnsi="Calibri" w:cs="Times New Roman"/>
                <w:color w:val="000000"/>
                <w:sz w:val="16"/>
                <w:szCs w:val="16"/>
                <w:lang w:eastAsia="es-ES"/>
              </w:rPr>
            </w:pPr>
            <w:proofErr w:type="spellStart"/>
            <w:r w:rsidRPr="00B4142E">
              <w:rPr>
                <w:rFonts w:ascii="Calibri" w:eastAsia="Times New Roman" w:hAnsi="Calibri" w:cs="Times New Roman"/>
                <w:color w:val="000000"/>
                <w:sz w:val="16"/>
                <w:szCs w:val="16"/>
                <w:lang w:eastAsia="es-ES"/>
              </w:rPr>
              <w:t>Recurrent</w:t>
            </w:r>
            <w:proofErr w:type="spellEnd"/>
          </w:p>
        </w:tc>
        <w:tc>
          <w:tcPr>
            <w:tcW w:w="1419" w:type="dxa"/>
            <w:tcBorders>
              <w:top w:val="nil"/>
              <w:left w:val="nil"/>
              <w:bottom w:val="nil"/>
              <w:right w:val="nil"/>
            </w:tcBorders>
            <w:shd w:val="clear" w:color="auto" w:fill="auto"/>
            <w:noWrap/>
            <w:vAlign w:val="bottom"/>
            <w:hideMark/>
          </w:tcPr>
          <w:p w:rsidR="00BA7786" w:rsidRPr="00B4142E" w:rsidRDefault="00BA7786" w:rsidP="00BA7786">
            <w:pPr>
              <w:spacing w:after="0" w:line="240" w:lineRule="auto"/>
              <w:jc w:val="right"/>
              <w:rPr>
                <w:rFonts w:ascii="Calibri" w:eastAsia="Times New Roman" w:hAnsi="Calibri" w:cs="Times New Roman"/>
                <w:color w:val="000000"/>
                <w:sz w:val="16"/>
                <w:szCs w:val="16"/>
                <w:lang w:eastAsia="es-ES"/>
              </w:rPr>
            </w:pPr>
            <w:r w:rsidRPr="00B4142E">
              <w:rPr>
                <w:rFonts w:ascii="Calibri" w:eastAsia="Times New Roman" w:hAnsi="Calibri" w:cs="Times New Roman"/>
                <w:color w:val="000000"/>
                <w:sz w:val="16"/>
                <w:szCs w:val="16"/>
                <w:lang w:eastAsia="es-ES"/>
              </w:rPr>
              <w:t>1,263,741.17</w:t>
            </w:r>
          </w:p>
        </w:tc>
        <w:tc>
          <w:tcPr>
            <w:tcW w:w="1438" w:type="dxa"/>
            <w:tcBorders>
              <w:top w:val="nil"/>
              <w:left w:val="nil"/>
              <w:bottom w:val="nil"/>
              <w:right w:val="nil"/>
            </w:tcBorders>
            <w:shd w:val="clear" w:color="auto" w:fill="auto"/>
            <w:noWrap/>
            <w:vAlign w:val="bottom"/>
            <w:hideMark/>
          </w:tcPr>
          <w:p w:rsidR="00BA7786" w:rsidRPr="00B4142E" w:rsidRDefault="00BA7786" w:rsidP="00BA7786">
            <w:pPr>
              <w:spacing w:after="0" w:line="240" w:lineRule="auto"/>
              <w:jc w:val="right"/>
              <w:rPr>
                <w:rFonts w:ascii="Calibri" w:eastAsia="Times New Roman" w:hAnsi="Calibri" w:cs="Times New Roman"/>
                <w:color w:val="000000"/>
                <w:sz w:val="16"/>
                <w:szCs w:val="16"/>
                <w:lang w:eastAsia="es-ES"/>
              </w:rPr>
            </w:pPr>
            <w:r w:rsidRPr="00B4142E">
              <w:rPr>
                <w:rFonts w:ascii="Calibri" w:eastAsia="Times New Roman" w:hAnsi="Calibri" w:cs="Times New Roman"/>
                <w:color w:val="000000"/>
                <w:sz w:val="16"/>
                <w:szCs w:val="16"/>
                <w:lang w:eastAsia="es-ES"/>
              </w:rPr>
              <w:t>1,318,434.01</w:t>
            </w:r>
          </w:p>
        </w:tc>
        <w:tc>
          <w:tcPr>
            <w:tcW w:w="1419" w:type="dxa"/>
            <w:tcBorders>
              <w:top w:val="nil"/>
              <w:left w:val="nil"/>
              <w:bottom w:val="nil"/>
              <w:right w:val="nil"/>
            </w:tcBorders>
            <w:shd w:val="clear" w:color="auto" w:fill="auto"/>
            <w:noWrap/>
            <w:vAlign w:val="bottom"/>
            <w:hideMark/>
          </w:tcPr>
          <w:p w:rsidR="00BA7786" w:rsidRPr="00B4142E" w:rsidRDefault="00BA7786" w:rsidP="00BA7786">
            <w:pPr>
              <w:spacing w:after="0" w:line="240" w:lineRule="auto"/>
              <w:jc w:val="right"/>
              <w:rPr>
                <w:rFonts w:ascii="Calibri" w:eastAsia="Times New Roman" w:hAnsi="Calibri" w:cs="Times New Roman"/>
                <w:color w:val="000000"/>
                <w:sz w:val="16"/>
                <w:szCs w:val="16"/>
                <w:lang w:eastAsia="es-ES"/>
              </w:rPr>
            </w:pPr>
            <w:r w:rsidRPr="00B4142E">
              <w:rPr>
                <w:rFonts w:ascii="Calibri" w:eastAsia="Times New Roman" w:hAnsi="Calibri" w:cs="Times New Roman"/>
                <w:color w:val="000000"/>
                <w:sz w:val="16"/>
                <w:szCs w:val="16"/>
                <w:lang w:eastAsia="es-ES"/>
              </w:rPr>
              <w:t>1,370,782.47</w:t>
            </w:r>
          </w:p>
        </w:tc>
        <w:tc>
          <w:tcPr>
            <w:tcW w:w="1419" w:type="dxa"/>
            <w:tcBorders>
              <w:top w:val="nil"/>
              <w:left w:val="nil"/>
              <w:bottom w:val="nil"/>
              <w:right w:val="nil"/>
            </w:tcBorders>
            <w:shd w:val="clear" w:color="auto" w:fill="auto"/>
            <w:noWrap/>
            <w:vAlign w:val="bottom"/>
            <w:hideMark/>
          </w:tcPr>
          <w:p w:rsidR="00BA7786" w:rsidRPr="00B4142E" w:rsidRDefault="00BA7786" w:rsidP="00BA7786">
            <w:pPr>
              <w:spacing w:after="0" w:line="240" w:lineRule="auto"/>
              <w:jc w:val="right"/>
              <w:rPr>
                <w:rFonts w:ascii="Calibri" w:eastAsia="Times New Roman" w:hAnsi="Calibri" w:cs="Times New Roman"/>
                <w:color w:val="000000"/>
                <w:sz w:val="16"/>
                <w:szCs w:val="16"/>
                <w:lang w:eastAsia="es-ES"/>
              </w:rPr>
            </w:pPr>
            <w:r w:rsidRPr="00B4142E">
              <w:rPr>
                <w:rFonts w:ascii="Calibri" w:eastAsia="Times New Roman" w:hAnsi="Calibri" w:cs="Times New Roman"/>
                <w:color w:val="000000"/>
                <w:sz w:val="16"/>
                <w:szCs w:val="16"/>
                <w:lang w:eastAsia="es-ES"/>
              </w:rPr>
              <w:t>1,747,730.86</w:t>
            </w:r>
          </w:p>
        </w:tc>
        <w:tc>
          <w:tcPr>
            <w:tcW w:w="1547" w:type="dxa"/>
            <w:tcBorders>
              <w:top w:val="nil"/>
              <w:left w:val="nil"/>
              <w:bottom w:val="nil"/>
              <w:right w:val="nil"/>
            </w:tcBorders>
            <w:shd w:val="clear" w:color="auto" w:fill="auto"/>
            <w:noWrap/>
            <w:vAlign w:val="bottom"/>
            <w:hideMark/>
          </w:tcPr>
          <w:p w:rsidR="00BA7786" w:rsidRPr="00B4142E" w:rsidRDefault="00BA7786" w:rsidP="00BA7786">
            <w:pPr>
              <w:spacing w:after="0" w:line="240" w:lineRule="auto"/>
              <w:jc w:val="right"/>
              <w:rPr>
                <w:rFonts w:ascii="Calibri" w:eastAsia="Times New Roman" w:hAnsi="Calibri" w:cs="Times New Roman"/>
                <w:color w:val="000000"/>
                <w:sz w:val="16"/>
                <w:szCs w:val="16"/>
                <w:lang w:eastAsia="es-ES"/>
              </w:rPr>
            </w:pPr>
            <w:r w:rsidRPr="00B4142E">
              <w:rPr>
                <w:rFonts w:ascii="Calibri" w:eastAsia="Times New Roman" w:hAnsi="Calibri" w:cs="Times New Roman"/>
                <w:color w:val="000000"/>
                <w:sz w:val="16"/>
                <w:szCs w:val="16"/>
                <w:lang w:eastAsia="es-ES"/>
              </w:rPr>
              <w:t>1,666,268.88</w:t>
            </w:r>
          </w:p>
        </w:tc>
      </w:tr>
      <w:tr w:rsidR="00BA7786" w:rsidRPr="00B4142E" w:rsidTr="00BA7786">
        <w:trPr>
          <w:trHeight w:val="300"/>
          <w:jc w:val="center"/>
        </w:trPr>
        <w:tc>
          <w:tcPr>
            <w:tcW w:w="1382" w:type="dxa"/>
            <w:tcBorders>
              <w:top w:val="nil"/>
              <w:left w:val="nil"/>
              <w:bottom w:val="nil"/>
              <w:right w:val="nil"/>
            </w:tcBorders>
            <w:shd w:val="clear" w:color="auto" w:fill="auto"/>
            <w:noWrap/>
            <w:vAlign w:val="bottom"/>
            <w:hideMark/>
          </w:tcPr>
          <w:p w:rsidR="00BA7786" w:rsidRPr="00B4142E" w:rsidRDefault="00BA7786" w:rsidP="00BA7786">
            <w:pPr>
              <w:spacing w:after="0" w:line="240" w:lineRule="auto"/>
              <w:rPr>
                <w:rFonts w:ascii="Calibri" w:eastAsia="Times New Roman" w:hAnsi="Calibri" w:cs="Times New Roman"/>
                <w:color w:val="000000"/>
                <w:sz w:val="16"/>
                <w:szCs w:val="16"/>
                <w:lang w:eastAsia="es-ES"/>
              </w:rPr>
            </w:pPr>
            <w:r w:rsidRPr="00B4142E">
              <w:rPr>
                <w:rFonts w:ascii="Calibri" w:eastAsia="Times New Roman" w:hAnsi="Calibri" w:cs="Times New Roman"/>
                <w:color w:val="000000"/>
                <w:sz w:val="16"/>
                <w:szCs w:val="16"/>
                <w:lang w:eastAsia="es-ES"/>
              </w:rPr>
              <w:t xml:space="preserve">   </w:t>
            </w:r>
            <w:proofErr w:type="spellStart"/>
            <w:r w:rsidRPr="00B4142E">
              <w:rPr>
                <w:rFonts w:ascii="Calibri" w:eastAsia="Times New Roman" w:hAnsi="Calibri" w:cs="Times New Roman"/>
                <w:color w:val="000000"/>
                <w:sz w:val="16"/>
                <w:szCs w:val="16"/>
                <w:lang w:eastAsia="es-ES"/>
              </w:rPr>
              <w:t>Wages</w:t>
            </w:r>
            <w:proofErr w:type="spellEnd"/>
          </w:p>
        </w:tc>
        <w:tc>
          <w:tcPr>
            <w:tcW w:w="1419" w:type="dxa"/>
            <w:tcBorders>
              <w:top w:val="nil"/>
              <w:left w:val="nil"/>
              <w:bottom w:val="nil"/>
              <w:right w:val="nil"/>
            </w:tcBorders>
            <w:shd w:val="clear" w:color="auto" w:fill="auto"/>
            <w:noWrap/>
            <w:vAlign w:val="bottom"/>
            <w:hideMark/>
          </w:tcPr>
          <w:p w:rsidR="00BA7786" w:rsidRPr="00B4142E" w:rsidRDefault="00BA7786" w:rsidP="00BA7786">
            <w:pPr>
              <w:spacing w:after="0" w:line="240" w:lineRule="auto"/>
              <w:jc w:val="right"/>
              <w:rPr>
                <w:rFonts w:ascii="Calibri" w:eastAsia="Times New Roman" w:hAnsi="Calibri" w:cs="Times New Roman"/>
                <w:color w:val="000000"/>
                <w:sz w:val="16"/>
                <w:szCs w:val="16"/>
                <w:lang w:eastAsia="es-ES"/>
              </w:rPr>
            </w:pPr>
            <w:r w:rsidRPr="00B4142E">
              <w:rPr>
                <w:rFonts w:ascii="Calibri" w:eastAsia="Times New Roman" w:hAnsi="Calibri" w:cs="Times New Roman"/>
                <w:color w:val="000000"/>
                <w:sz w:val="16"/>
                <w:szCs w:val="16"/>
                <w:lang w:eastAsia="es-ES"/>
              </w:rPr>
              <w:t>848,183.32</w:t>
            </w:r>
          </w:p>
        </w:tc>
        <w:tc>
          <w:tcPr>
            <w:tcW w:w="1438" w:type="dxa"/>
            <w:tcBorders>
              <w:top w:val="nil"/>
              <w:left w:val="nil"/>
              <w:bottom w:val="nil"/>
              <w:right w:val="nil"/>
            </w:tcBorders>
            <w:shd w:val="clear" w:color="auto" w:fill="auto"/>
            <w:noWrap/>
            <w:vAlign w:val="bottom"/>
            <w:hideMark/>
          </w:tcPr>
          <w:p w:rsidR="00BA7786" w:rsidRPr="00B4142E" w:rsidRDefault="00BA7786" w:rsidP="00BA7786">
            <w:pPr>
              <w:spacing w:after="0" w:line="240" w:lineRule="auto"/>
              <w:jc w:val="right"/>
              <w:rPr>
                <w:rFonts w:ascii="Calibri" w:eastAsia="Times New Roman" w:hAnsi="Calibri" w:cs="Times New Roman"/>
                <w:color w:val="000000"/>
                <w:sz w:val="16"/>
                <w:szCs w:val="16"/>
                <w:lang w:eastAsia="es-ES"/>
              </w:rPr>
            </w:pPr>
            <w:r w:rsidRPr="00B4142E">
              <w:rPr>
                <w:rFonts w:ascii="Calibri" w:eastAsia="Times New Roman" w:hAnsi="Calibri" w:cs="Times New Roman"/>
                <w:color w:val="000000"/>
                <w:sz w:val="16"/>
                <w:szCs w:val="16"/>
                <w:lang w:eastAsia="es-ES"/>
              </w:rPr>
              <w:t>864,881.83</w:t>
            </w:r>
          </w:p>
        </w:tc>
        <w:tc>
          <w:tcPr>
            <w:tcW w:w="1419" w:type="dxa"/>
            <w:tcBorders>
              <w:top w:val="nil"/>
              <w:left w:val="nil"/>
              <w:bottom w:val="nil"/>
              <w:right w:val="nil"/>
            </w:tcBorders>
            <w:shd w:val="clear" w:color="auto" w:fill="auto"/>
            <w:noWrap/>
            <w:vAlign w:val="bottom"/>
            <w:hideMark/>
          </w:tcPr>
          <w:p w:rsidR="00BA7786" w:rsidRPr="00B4142E" w:rsidRDefault="00BA7786" w:rsidP="00BA7786">
            <w:pPr>
              <w:spacing w:after="0" w:line="240" w:lineRule="auto"/>
              <w:jc w:val="right"/>
              <w:rPr>
                <w:rFonts w:ascii="Calibri" w:eastAsia="Times New Roman" w:hAnsi="Calibri" w:cs="Times New Roman"/>
                <w:color w:val="000000"/>
                <w:sz w:val="16"/>
                <w:szCs w:val="16"/>
                <w:lang w:eastAsia="es-ES"/>
              </w:rPr>
            </w:pPr>
            <w:r w:rsidRPr="00B4142E">
              <w:rPr>
                <w:rFonts w:ascii="Calibri" w:eastAsia="Times New Roman" w:hAnsi="Calibri" w:cs="Times New Roman"/>
                <w:color w:val="000000"/>
                <w:sz w:val="16"/>
                <w:szCs w:val="16"/>
                <w:lang w:eastAsia="es-ES"/>
              </w:rPr>
              <w:t>923,624.07</w:t>
            </w:r>
          </w:p>
        </w:tc>
        <w:tc>
          <w:tcPr>
            <w:tcW w:w="1419" w:type="dxa"/>
            <w:tcBorders>
              <w:top w:val="nil"/>
              <w:left w:val="nil"/>
              <w:bottom w:val="nil"/>
              <w:right w:val="nil"/>
            </w:tcBorders>
            <w:shd w:val="clear" w:color="auto" w:fill="auto"/>
            <w:noWrap/>
            <w:vAlign w:val="bottom"/>
            <w:hideMark/>
          </w:tcPr>
          <w:p w:rsidR="00BA7786" w:rsidRPr="00B4142E" w:rsidRDefault="00BA7786" w:rsidP="00BA7786">
            <w:pPr>
              <w:spacing w:after="0" w:line="240" w:lineRule="auto"/>
              <w:jc w:val="right"/>
              <w:rPr>
                <w:rFonts w:ascii="Calibri" w:eastAsia="Times New Roman" w:hAnsi="Calibri" w:cs="Times New Roman"/>
                <w:color w:val="000000"/>
                <w:sz w:val="16"/>
                <w:szCs w:val="16"/>
                <w:lang w:eastAsia="es-ES"/>
              </w:rPr>
            </w:pPr>
            <w:r w:rsidRPr="00B4142E">
              <w:rPr>
                <w:rFonts w:ascii="Calibri" w:eastAsia="Times New Roman" w:hAnsi="Calibri" w:cs="Times New Roman"/>
                <w:color w:val="000000"/>
                <w:sz w:val="16"/>
                <w:szCs w:val="16"/>
                <w:lang w:eastAsia="es-ES"/>
              </w:rPr>
              <w:t>1,242,649.55</w:t>
            </w:r>
          </w:p>
        </w:tc>
        <w:tc>
          <w:tcPr>
            <w:tcW w:w="1547" w:type="dxa"/>
            <w:tcBorders>
              <w:top w:val="nil"/>
              <w:left w:val="nil"/>
              <w:bottom w:val="nil"/>
              <w:right w:val="nil"/>
            </w:tcBorders>
            <w:shd w:val="clear" w:color="auto" w:fill="auto"/>
            <w:noWrap/>
            <w:vAlign w:val="bottom"/>
            <w:hideMark/>
          </w:tcPr>
          <w:p w:rsidR="00BA7786" w:rsidRPr="00B4142E" w:rsidRDefault="00BA7786" w:rsidP="00BA7786">
            <w:pPr>
              <w:spacing w:after="0" w:line="240" w:lineRule="auto"/>
              <w:jc w:val="right"/>
              <w:rPr>
                <w:rFonts w:ascii="Calibri" w:eastAsia="Times New Roman" w:hAnsi="Calibri" w:cs="Times New Roman"/>
                <w:color w:val="000000"/>
                <w:sz w:val="16"/>
                <w:szCs w:val="16"/>
                <w:lang w:eastAsia="es-ES"/>
              </w:rPr>
            </w:pPr>
            <w:r w:rsidRPr="00B4142E">
              <w:rPr>
                <w:rFonts w:ascii="Calibri" w:eastAsia="Times New Roman" w:hAnsi="Calibri" w:cs="Times New Roman"/>
                <w:color w:val="000000"/>
                <w:sz w:val="16"/>
                <w:szCs w:val="16"/>
                <w:lang w:eastAsia="es-ES"/>
              </w:rPr>
              <w:t>1,222,627.61</w:t>
            </w:r>
          </w:p>
        </w:tc>
      </w:tr>
      <w:tr w:rsidR="00BA7786" w:rsidRPr="00B4142E" w:rsidTr="00BA7786">
        <w:trPr>
          <w:trHeight w:val="300"/>
          <w:jc w:val="center"/>
        </w:trPr>
        <w:tc>
          <w:tcPr>
            <w:tcW w:w="1382" w:type="dxa"/>
            <w:tcBorders>
              <w:top w:val="nil"/>
              <w:left w:val="nil"/>
              <w:bottom w:val="nil"/>
              <w:right w:val="nil"/>
            </w:tcBorders>
            <w:shd w:val="clear" w:color="auto" w:fill="auto"/>
            <w:noWrap/>
            <w:vAlign w:val="bottom"/>
            <w:hideMark/>
          </w:tcPr>
          <w:p w:rsidR="00BA7786" w:rsidRPr="00B4142E" w:rsidRDefault="00BA7786" w:rsidP="00BA7786">
            <w:pPr>
              <w:spacing w:after="0" w:line="240" w:lineRule="auto"/>
              <w:rPr>
                <w:rFonts w:ascii="Calibri" w:eastAsia="Times New Roman" w:hAnsi="Calibri" w:cs="Times New Roman"/>
                <w:color w:val="000000"/>
                <w:sz w:val="16"/>
                <w:szCs w:val="16"/>
                <w:lang w:eastAsia="es-ES"/>
              </w:rPr>
            </w:pPr>
            <w:r w:rsidRPr="00B4142E">
              <w:rPr>
                <w:rFonts w:ascii="Calibri" w:eastAsia="Times New Roman" w:hAnsi="Calibri" w:cs="Times New Roman"/>
                <w:color w:val="000000"/>
                <w:sz w:val="16"/>
                <w:szCs w:val="16"/>
                <w:lang w:eastAsia="es-ES"/>
              </w:rPr>
              <w:t xml:space="preserve">   Non-</w:t>
            </w:r>
            <w:proofErr w:type="spellStart"/>
            <w:r w:rsidRPr="00B4142E">
              <w:rPr>
                <w:rFonts w:ascii="Calibri" w:eastAsia="Times New Roman" w:hAnsi="Calibri" w:cs="Times New Roman"/>
                <w:color w:val="000000"/>
                <w:sz w:val="16"/>
                <w:szCs w:val="16"/>
                <w:lang w:eastAsia="es-ES"/>
              </w:rPr>
              <w:t>Wages</w:t>
            </w:r>
            <w:proofErr w:type="spellEnd"/>
          </w:p>
        </w:tc>
        <w:tc>
          <w:tcPr>
            <w:tcW w:w="1419" w:type="dxa"/>
            <w:tcBorders>
              <w:top w:val="nil"/>
              <w:left w:val="nil"/>
              <w:bottom w:val="nil"/>
              <w:right w:val="nil"/>
            </w:tcBorders>
            <w:shd w:val="clear" w:color="auto" w:fill="auto"/>
            <w:noWrap/>
            <w:vAlign w:val="bottom"/>
            <w:hideMark/>
          </w:tcPr>
          <w:p w:rsidR="00BA7786" w:rsidRPr="00B4142E" w:rsidRDefault="00BA7786" w:rsidP="00BA7786">
            <w:pPr>
              <w:spacing w:after="0" w:line="240" w:lineRule="auto"/>
              <w:jc w:val="right"/>
              <w:rPr>
                <w:rFonts w:ascii="Calibri" w:eastAsia="Times New Roman" w:hAnsi="Calibri" w:cs="Times New Roman"/>
                <w:color w:val="000000"/>
                <w:sz w:val="16"/>
                <w:szCs w:val="16"/>
                <w:lang w:eastAsia="es-ES"/>
              </w:rPr>
            </w:pPr>
            <w:r w:rsidRPr="00B4142E">
              <w:rPr>
                <w:rFonts w:ascii="Calibri" w:eastAsia="Times New Roman" w:hAnsi="Calibri" w:cs="Times New Roman"/>
                <w:color w:val="000000"/>
                <w:sz w:val="16"/>
                <w:szCs w:val="16"/>
                <w:lang w:eastAsia="es-ES"/>
              </w:rPr>
              <w:t>415,557.85</w:t>
            </w:r>
          </w:p>
        </w:tc>
        <w:tc>
          <w:tcPr>
            <w:tcW w:w="1438" w:type="dxa"/>
            <w:tcBorders>
              <w:top w:val="nil"/>
              <w:left w:val="nil"/>
              <w:bottom w:val="nil"/>
              <w:right w:val="nil"/>
            </w:tcBorders>
            <w:shd w:val="clear" w:color="auto" w:fill="auto"/>
            <w:noWrap/>
            <w:vAlign w:val="bottom"/>
            <w:hideMark/>
          </w:tcPr>
          <w:p w:rsidR="00BA7786" w:rsidRPr="00B4142E" w:rsidRDefault="00BA7786" w:rsidP="00BA7786">
            <w:pPr>
              <w:spacing w:after="0" w:line="240" w:lineRule="auto"/>
              <w:jc w:val="right"/>
              <w:rPr>
                <w:rFonts w:ascii="Calibri" w:eastAsia="Times New Roman" w:hAnsi="Calibri" w:cs="Times New Roman"/>
                <w:color w:val="000000"/>
                <w:sz w:val="16"/>
                <w:szCs w:val="16"/>
                <w:lang w:eastAsia="es-ES"/>
              </w:rPr>
            </w:pPr>
            <w:r w:rsidRPr="00B4142E">
              <w:rPr>
                <w:rFonts w:ascii="Calibri" w:eastAsia="Times New Roman" w:hAnsi="Calibri" w:cs="Times New Roman"/>
                <w:color w:val="000000"/>
                <w:sz w:val="16"/>
                <w:szCs w:val="16"/>
                <w:lang w:eastAsia="es-ES"/>
              </w:rPr>
              <w:t>453,552.18</w:t>
            </w:r>
          </w:p>
        </w:tc>
        <w:tc>
          <w:tcPr>
            <w:tcW w:w="1419" w:type="dxa"/>
            <w:tcBorders>
              <w:top w:val="nil"/>
              <w:left w:val="nil"/>
              <w:bottom w:val="nil"/>
              <w:right w:val="nil"/>
            </w:tcBorders>
            <w:shd w:val="clear" w:color="auto" w:fill="auto"/>
            <w:noWrap/>
            <w:vAlign w:val="bottom"/>
            <w:hideMark/>
          </w:tcPr>
          <w:p w:rsidR="00BA7786" w:rsidRPr="00B4142E" w:rsidRDefault="00BA7786" w:rsidP="00BA7786">
            <w:pPr>
              <w:spacing w:after="0" w:line="240" w:lineRule="auto"/>
              <w:jc w:val="right"/>
              <w:rPr>
                <w:rFonts w:ascii="Calibri" w:eastAsia="Times New Roman" w:hAnsi="Calibri" w:cs="Times New Roman"/>
                <w:color w:val="000000"/>
                <w:sz w:val="16"/>
                <w:szCs w:val="16"/>
                <w:lang w:eastAsia="es-ES"/>
              </w:rPr>
            </w:pPr>
            <w:r w:rsidRPr="00B4142E">
              <w:rPr>
                <w:rFonts w:ascii="Calibri" w:eastAsia="Times New Roman" w:hAnsi="Calibri" w:cs="Times New Roman"/>
                <w:color w:val="000000"/>
                <w:sz w:val="16"/>
                <w:szCs w:val="16"/>
                <w:lang w:eastAsia="es-ES"/>
              </w:rPr>
              <w:t>447,158.40</w:t>
            </w:r>
          </w:p>
        </w:tc>
        <w:tc>
          <w:tcPr>
            <w:tcW w:w="1419" w:type="dxa"/>
            <w:tcBorders>
              <w:top w:val="nil"/>
              <w:left w:val="nil"/>
              <w:bottom w:val="nil"/>
              <w:right w:val="nil"/>
            </w:tcBorders>
            <w:shd w:val="clear" w:color="auto" w:fill="auto"/>
            <w:noWrap/>
            <w:vAlign w:val="bottom"/>
            <w:hideMark/>
          </w:tcPr>
          <w:p w:rsidR="00BA7786" w:rsidRPr="00B4142E" w:rsidRDefault="00BA7786" w:rsidP="00BA7786">
            <w:pPr>
              <w:spacing w:after="0" w:line="240" w:lineRule="auto"/>
              <w:jc w:val="right"/>
              <w:rPr>
                <w:rFonts w:ascii="Calibri" w:eastAsia="Times New Roman" w:hAnsi="Calibri" w:cs="Times New Roman"/>
                <w:color w:val="000000"/>
                <w:sz w:val="16"/>
                <w:szCs w:val="16"/>
                <w:lang w:eastAsia="es-ES"/>
              </w:rPr>
            </w:pPr>
            <w:r w:rsidRPr="00B4142E">
              <w:rPr>
                <w:rFonts w:ascii="Calibri" w:eastAsia="Times New Roman" w:hAnsi="Calibri" w:cs="Times New Roman"/>
                <w:color w:val="000000"/>
                <w:sz w:val="16"/>
                <w:szCs w:val="16"/>
                <w:lang w:eastAsia="es-ES"/>
              </w:rPr>
              <w:t>505,081.31</w:t>
            </w:r>
          </w:p>
        </w:tc>
        <w:tc>
          <w:tcPr>
            <w:tcW w:w="1547" w:type="dxa"/>
            <w:tcBorders>
              <w:top w:val="nil"/>
              <w:left w:val="nil"/>
              <w:bottom w:val="nil"/>
              <w:right w:val="nil"/>
            </w:tcBorders>
            <w:shd w:val="clear" w:color="auto" w:fill="auto"/>
            <w:noWrap/>
            <w:vAlign w:val="bottom"/>
            <w:hideMark/>
          </w:tcPr>
          <w:p w:rsidR="00BA7786" w:rsidRPr="00B4142E" w:rsidRDefault="00BA7786" w:rsidP="00BA7786">
            <w:pPr>
              <w:spacing w:after="0" w:line="240" w:lineRule="auto"/>
              <w:jc w:val="right"/>
              <w:rPr>
                <w:rFonts w:ascii="Calibri" w:eastAsia="Times New Roman" w:hAnsi="Calibri" w:cs="Times New Roman"/>
                <w:color w:val="000000"/>
                <w:sz w:val="16"/>
                <w:szCs w:val="16"/>
                <w:lang w:eastAsia="es-ES"/>
              </w:rPr>
            </w:pPr>
            <w:r w:rsidRPr="00B4142E">
              <w:rPr>
                <w:rFonts w:ascii="Calibri" w:eastAsia="Times New Roman" w:hAnsi="Calibri" w:cs="Times New Roman"/>
                <w:color w:val="000000"/>
                <w:sz w:val="16"/>
                <w:szCs w:val="16"/>
                <w:lang w:eastAsia="es-ES"/>
              </w:rPr>
              <w:t>443,641.27</w:t>
            </w:r>
          </w:p>
        </w:tc>
      </w:tr>
      <w:tr w:rsidR="00BA7786" w:rsidRPr="00B4142E" w:rsidTr="00BA7786">
        <w:trPr>
          <w:trHeight w:val="300"/>
          <w:jc w:val="center"/>
        </w:trPr>
        <w:tc>
          <w:tcPr>
            <w:tcW w:w="1382" w:type="dxa"/>
            <w:tcBorders>
              <w:top w:val="nil"/>
              <w:left w:val="nil"/>
              <w:bottom w:val="nil"/>
              <w:right w:val="nil"/>
            </w:tcBorders>
            <w:shd w:val="clear" w:color="auto" w:fill="auto"/>
            <w:noWrap/>
            <w:vAlign w:val="bottom"/>
            <w:hideMark/>
          </w:tcPr>
          <w:p w:rsidR="00BA7786" w:rsidRPr="00B4142E" w:rsidRDefault="00BA7786" w:rsidP="00BA7786">
            <w:pPr>
              <w:spacing w:after="0" w:line="240" w:lineRule="auto"/>
              <w:rPr>
                <w:rFonts w:ascii="Calibri" w:eastAsia="Times New Roman" w:hAnsi="Calibri" w:cs="Times New Roman"/>
                <w:color w:val="000000"/>
                <w:sz w:val="16"/>
                <w:szCs w:val="16"/>
                <w:lang w:eastAsia="es-ES"/>
              </w:rPr>
            </w:pPr>
            <w:r w:rsidRPr="00B4142E">
              <w:rPr>
                <w:rFonts w:ascii="Calibri" w:eastAsia="Times New Roman" w:hAnsi="Calibri" w:cs="Times New Roman"/>
                <w:color w:val="000000"/>
                <w:sz w:val="16"/>
                <w:szCs w:val="16"/>
                <w:lang w:eastAsia="es-ES"/>
              </w:rPr>
              <w:t>Capital</w:t>
            </w:r>
          </w:p>
        </w:tc>
        <w:tc>
          <w:tcPr>
            <w:tcW w:w="1419" w:type="dxa"/>
            <w:tcBorders>
              <w:top w:val="nil"/>
              <w:left w:val="nil"/>
              <w:bottom w:val="nil"/>
              <w:right w:val="nil"/>
            </w:tcBorders>
            <w:shd w:val="clear" w:color="auto" w:fill="auto"/>
            <w:noWrap/>
            <w:vAlign w:val="bottom"/>
            <w:hideMark/>
          </w:tcPr>
          <w:p w:rsidR="00BA7786" w:rsidRPr="00B4142E" w:rsidRDefault="00BA7786" w:rsidP="00BA7786">
            <w:pPr>
              <w:spacing w:after="0" w:line="240" w:lineRule="auto"/>
              <w:jc w:val="right"/>
              <w:rPr>
                <w:rFonts w:ascii="Calibri" w:eastAsia="Times New Roman" w:hAnsi="Calibri" w:cs="Times New Roman"/>
                <w:color w:val="000000"/>
                <w:sz w:val="16"/>
                <w:szCs w:val="16"/>
                <w:lang w:eastAsia="es-ES"/>
              </w:rPr>
            </w:pPr>
            <w:r w:rsidRPr="00B4142E">
              <w:rPr>
                <w:rFonts w:ascii="Calibri" w:eastAsia="Times New Roman" w:hAnsi="Calibri" w:cs="Times New Roman"/>
                <w:color w:val="000000"/>
                <w:sz w:val="16"/>
                <w:szCs w:val="16"/>
                <w:lang w:eastAsia="es-ES"/>
              </w:rPr>
              <w:t>295,043.34</w:t>
            </w:r>
          </w:p>
        </w:tc>
        <w:tc>
          <w:tcPr>
            <w:tcW w:w="1438" w:type="dxa"/>
            <w:tcBorders>
              <w:top w:val="nil"/>
              <w:left w:val="nil"/>
              <w:bottom w:val="nil"/>
              <w:right w:val="nil"/>
            </w:tcBorders>
            <w:shd w:val="clear" w:color="auto" w:fill="auto"/>
            <w:noWrap/>
            <w:vAlign w:val="bottom"/>
            <w:hideMark/>
          </w:tcPr>
          <w:p w:rsidR="00BA7786" w:rsidRPr="00B4142E" w:rsidRDefault="00BA7786" w:rsidP="00BA7786">
            <w:pPr>
              <w:spacing w:after="0" w:line="240" w:lineRule="auto"/>
              <w:jc w:val="right"/>
              <w:rPr>
                <w:rFonts w:ascii="Calibri" w:eastAsia="Times New Roman" w:hAnsi="Calibri" w:cs="Times New Roman"/>
                <w:color w:val="000000"/>
                <w:sz w:val="16"/>
                <w:szCs w:val="16"/>
                <w:lang w:eastAsia="es-ES"/>
              </w:rPr>
            </w:pPr>
            <w:r w:rsidRPr="00B4142E">
              <w:rPr>
                <w:rFonts w:ascii="Calibri" w:eastAsia="Times New Roman" w:hAnsi="Calibri" w:cs="Times New Roman"/>
                <w:color w:val="000000"/>
                <w:sz w:val="16"/>
                <w:szCs w:val="16"/>
                <w:lang w:eastAsia="es-ES"/>
              </w:rPr>
              <w:t>389,170.99</w:t>
            </w:r>
          </w:p>
        </w:tc>
        <w:tc>
          <w:tcPr>
            <w:tcW w:w="1419" w:type="dxa"/>
            <w:tcBorders>
              <w:top w:val="nil"/>
              <w:left w:val="nil"/>
              <w:bottom w:val="nil"/>
              <w:right w:val="nil"/>
            </w:tcBorders>
            <w:shd w:val="clear" w:color="auto" w:fill="auto"/>
            <w:noWrap/>
            <w:vAlign w:val="bottom"/>
            <w:hideMark/>
          </w:tcPr>
          <w:p w:rsidR="00BA7786" w:rsidRPr="00B4142E" w:rsidRDefault="00BA7786" w:rsidP="00BA7786">
            <w:pPr>
              <w:spacing w:after="0" w:line="240" w:lineRule="auto"/>
              <w:jc w:val="right"/>
              <w:rPr>
                <w:rFonts w:ascii="Calibri" w:eastAsia="Times New Roman" w:hAnsi="Calibri" w:cs="Times New Roman"/>
                <w:color w:val="000000"/>
                <w:sz w:val="16"/>
                <w:szCs w:val="16"/>
                <w:lang w:eastAsia="es-ES"/>
              </w:rPr>
            </w:pPr>
            <w:r w:rsidRPr="00B4142E">
              <w:rPr>
                <w:rFonts w:ascii="Calibri" w:eastAsia="Times New Roman" w:hAnsi="Calibri" w:cs="Times New Roman"/>
                <w:color w:val="000000"/>
                <w:sz w:val="16"/>
                <w:szCs w:val="16"/>
                <w:lang w:eastAsia="es-ES"/>
              </w:rPr>
              <w:t>480,152.90</w:t>
            </w:r>
          </w:p>
        </w:tc>
        <w:tc>
          <w:tcPr>
            <w:tcW w:w="1419" w:type="dxa"/>
            <w:tcBorders>
              <w:top w:val="nil"/>
              <w:left w:val="nil"/>
              <w:bottom w:val="nil"/>
              <w:right w:val="nil"/>
            </w:tcBorders>
            <w:shd w:val="clear" w:color="auto" w:fill="auto"/>
            <w:noWrap/>
            <w:vAlign w:val="bottom"/>
            <w:hideMark/>
          </w:tcPr>
          <w:p w:rsidR="00BA7786" w:rsidRPr="00B4142E" w:rsidRDefault="00BA7786" w:rsidP="00BA7786">
            <w:pPr>
              <w:spacing w:after="0" w:line="240" w:lineRule="auto"/>
              <w:jc w:val="right"/>
              <w:rPr>
                <w:rFonts w:ascii="Calibri" w:eastAsia="Times New Roman" w:hAnsi="Calibri" w:cs="Times New Roman"/>
                <w:color w:val="000000"/>
                <w:sz w:val="16"/>
                <w:szCs w:val="16"/>
                <w:lang w:eastAsia="es-ES"/>
              </w:rPr>
            </w:pPr>
            <w:r w:rsidRPr="00B4142E">
              <w:rPr>
                <w:rFonts w:ascii="Calibri" w:eastAsia="Times New Roman" w:hAnsi="Calibri" w:cs="Times New Roman"/>
                <w:color w:val="000000"/>
                <w:sz w:val="16"/>
                <w:szCs w:val="16"/>
                <w:lang w:eastAsia="es-ES"/>
              </w:rPr>
              <w:t>308,560.97</w:t>
            </w:r>
          </w:p>
        </w:tc>
        <w:tc>
          <w:tcPr>
            <w:tcW w:w="1547" w:type="dxa"/>
            <w:tcBorders>
              <w:top w:val="nil"/>
              <w:left w:val="nil"/>
              <w:bottom w:val="nil"/>
              <w:right w:val="nil"/>
            </w:tcBorders>
            <w:shd w:val="clear" w:color="auto" w:fill="auto"/>
            <w:noWrap/>
            <w:vAlign w:val="bottom"/>
            <w:hideMark/>
          </w:tcPr>
          <w:p w:rsidR="00BA7786" w:rsidRPr="00B4142E" w:rsidRDefault="00BA7786" w:rsidP="00BA7786">
            <w:pPr>
              <w:spacing w:after="0" w:line="240" w:lineRule="auto"/>
              <w:jc w:val="right"/>
              <w:rPr>
                <w:rFonts w:ascii="Calibri" w:eastAsia="Times New Roman" w:hAnsi="Calibri" w:cs="Times New Roman"/>
                <w:color w:val="000000"/>
                <w:sz w:val="16"/>
                <w:szCs w:val="16"/>
                <w:lang w:eastAsia="es-ES"/>
              </w:rPr>
            </w:pPr>
            <w:r w:rsidRPr="00B4142E">
              <w:rPr>
                <w:rFonts w:ascii="Calibri" w:eastAsia="Times New Roman" w:hAnsi="Calibri" w:cs="Times New Roman"/>
                <w:color w:val="000000"/>
                <w:sz w:val="16"/>
                <w:szCs w:val="16"/>
                <w:lang w:eastAsia="es-ES"/>
              </w:rPr>
              <w:t>206,154.37</w:t>
            </w:r>
          </w:p>
        </w:tc>
      </w:tr>
      <w:tr w:rsidR="00BA7786" w:rsidRPr="00B4142E" w:rsidTr="00BA7786">
        <w:trPr>
          <w:trHeight w:val="315"/>
          <w:jc w:val="center"/>
        </w:trPr>
        <w:tc>
          <w:tcPr>
            <w:tcW w:w="2801" w:type="dxa"/>
            <w:gridSpan w:val="2"/>
            <w:tcBorders>
              <w:top w:val="nil"/>
              <w:left w:val="nil"/>
              <w:bottom w:val="nil"/>
              <w:right w:val="nil"/>
            </w:tcBorders>
            <w:shd w:val="clear" w:color="000000" w:fill="CCCCFF"/>
            <w:noWrap/>
            <w:vAlign w:val="bottom"/>
            <w:hideMark/>
          </w:tcPr>
          <w:p w:rsidR="00BA7786" w:rsidRPr="00B4142E" w:rsidRDefault="00BA7786" w:rsidP="00BA7786">
            <w:pPr>
              <w:spacing w:after="0" w:line="240" w:lineRule="auto"/>
              <w:rPr>
                <w:rFonts w:ascii="Calibri" w:eastAsia="Times New Roman" w:hAnsi="Calibri" w:cs="Times New Roman"/>
                <w:b/>
                <w:bCs/>
                <w:color w:val="000000"/>
                <w:sz w:val="16"/>
                <w:szCs w:val="16"/>
                <w:lang w:eastAsia="es-ES"/>
              </w:rPr>
            </w:pPr>
            <w:proofErr w:type="spellStart"/>
            <w:r w:rsidRPr="00B4142E">
              <w:rPr>
                <w:rFonts w:ascii="Calibri" w:eastAsia="Times New Roman" w:hAnsi="Calibri" w:cs="Times New Roman"/>
                <w:b/>
                <w:bCs/>
                <w:color w:val="000000"/>
                <w:sz w:val="16"/>
                <w:szCs w:val="16"/>
                <w:lang w:eastAsia="es-ES"/>
              </w:rPr>
              <w:t>Other</w:t>
            </w:r>
            <w:proofErr w:type="spellEnd"/>
            <w:r w:rsidRPr="00B4142E">
              <w:rPr>
                <w:rFonts w:ascii="Calibri" w:eastAsia="Times New Roman" w:hAnsi="Calibri" w:cs="Times New Roman"/>
                <w:b/>
                <w:bCs/>
                <w:color w:val="000000"/>
                <w:sz w:val="16"/>
                <w:szCs w:val="16"/>
                <w:lang w:eastAsia="es-ES"/>
              </w:rPr>
              <w:t xml:space="preserve"> </w:t>
            </w:r>
            <w:proofErr w:type="spellStart"/>
            <w:r w:rsidRPr="00B4142E">
              <w:rPr>
                <w:rFonts w:ascii="Calibri" w:eastAsia="Times New Roman" w:hAnsi="Calibri" w:cs="Times New Roman"/>
                <w:b/>
                <w:bCs/>
                <w:color w:val="000000"/>
                <w:sz w:val="16"/>
                <w:szCs w:val="16"/>
                <w:lang w:eastAsia="es-ES"/>
              </w:rPr>
              <w:t>Education</w:t>
            </w:r>
            <w:proofErr w:type="spellEnd"/>
          </w:p>
        </w:tc>
        <w:tc>
          <w:tcPr>
            <w:tcW w:w="1438" w:type="dxa"/>
            <w:tcBorders>
              <w:top w:val="nil"/>
              <w:left w:val="nil"/>
              <w:bottom w:val="nil"/>
              <w:right w:val="nil"/>
            </w:tcBorders>
            <w:shd w:val="clear" w:color="000000" w:fill="CCCCFF"/>
            <w:noWrap/>
            <w:vAlign w:val="bottom"/>
            <w:hideMark/>
          </w:tcPr>
          <w:p w:rsidR="00BA7786" w:rsidRPr="00B4142E" w:rsidRDefault="00BA7786" w:rsidP="00BA7786">
            <w:pPr>
              <w:spacing w:after="0" w:line="240" w:lineRule="auto"/>
              <w:rPr>
                <w:rFonts w:ascii="Calibri" w:eastAsia="Times New Roman" w:hAnsi="Calibri" w:cs="Times New Roman"/>
                <w:color w:val="000000"/>
                <w:sz w:val="16"/>
                <w:szCs w:val="16"/>
                <w:lang w:eastAsia="es-ES"/>
              </w:rPr>
            </w:pPr>
            <w:r w:rsidRPr="00B4142E">
              <w:rPr>
                <w:rFonts w:ascii="Calibri" w:eastAsia="Times New Roman" w:hAnsi="Calibri" w:cs="Times New Roman"/>
                <w:color w:val="000000"/>
                <w:sz w:val="16"/>
                <w:szCs w:val="16"/>
                <w:lang w:eastAsia="es-ES"/>
              </w:rPr>
              <w:t> </w:t>
            </w:r>
          </w:p>
        </w:tc>
        <w:tc>
          <w:tcPr>
            <w:tcW w:w="1419" w:type="dxa"/>
            <w:tcBorders>
              <w:top w:val="nil"/>
              <w:left w:val="nil"/>
              <w:bottom w:val="nil"/>
              <w:right w:val="nil"/>
            </w:tcBorders>
            <w:shd w:val="clear" w:color="000000" w:fill="CCCCFF"/>
            <w:noWrap/>
            <w:vAlign w:val="bottom"/>
            <w:hideMark/>
          </w:tcPr>
          <w:p w:rsidR="00BA7786" w:rsidRPr="00B4142E" w:rsidRDefault="00BA7786" w:rsidP="00BA7786">
            <w:pPr>
              <w:spacing w:after="0" w:line="240" w:lineRule="auto"/>
              <w:rPr>
                <w:rFonts w:ascii="Calibri" w:eastAsia="Times New Roman" w:hAnsi="Calibri" w:cs="Times New Roman"/>
                <w:color w:val="000000"/>
                <w:sz w:val="16"/>
                <w:szCs w:val="16"/>
                <w:lang w:eastAsia="es-ES"/>
              </w:rPr>
            </w:pPr>
            <w:r w:rsidRPr="00B4142E">
              <w:rPr>
                <w:rFonts w:ascii="Calibri" w:eastAsia="Times New Roman" w:hAnsi="Calibri" w:cs="Times New Roman"/>
                <w:color w:val="000000"/>
                <w:sz w:val="16"/>
                <w:szCs w:val="16"/>
                <w:lang w:eastAsia="es-ES"/>
              </w:rPr>
              <w:t> </w:t>
            </w:r>
          </w:p>
        </w:tc>
        <w:tc>
          <w:tcPr>
            <w:tcW w:w="1419" w:type="dxa"/>
            <w:tcBorders>
              <w:top w:val="nil"/>
              <w:left w:val="nil"/>
              <w:bottom w:val="nil"/>
              <w:right w:val="nil"/>
            </w:tcBorders>
            <w:shd w:val="clear" w:color="000000" w:fill="CCCCFF"/>
            <w:noWrap/>
            <w:vAlign w:val="bottom"/>
            <w:hideMark/>
          </w:tcPr>
          <w:p w:rsidR="00BA7786" w:rsidRPr="00B4142E" w:rsidRDefault="00BA7786" w:rsidP="00BA7786">
            <w:pPr>
              <w:spacing w:after="0" w:line="240" w:lineRule="auto"/>
              <w:rPr>
                <w:rFonts w:ascii="Calibri" w:eastAsia="Times New Roman" w:hAnsi="Calibri" w:cs="Times New Roman"/>
                <w:color w:val="000000"/>
                <w:sz w:val="16"/>
                <w:szCs w:val="16"/>
                <w:lang w:eastAsia="es-ES"/>
              </w:rPr>
            </w:pPr>
            <w:r w:rsidRPr="00B4142E">
              <w:rPr>
                <w:rFonts w:ascii="Calibri" w:eastAsia="Times New Roman" w:hAnsi="Calibri" w:cs="Times New Roman"/>
                <w:color w:val="000000"/>
                <w:sz w:val="16"/>
                <w:szCs w:val="16"/>
                <w:lang w:eastAsia="es-ES"/>
              </w:rPr>
              <w:t> </w:t>
            </w:r>
          </w:p>
        </w:tc>
        <w:tc>
          <w:tcPr>
            <w:tcW w:w="1547" w:type="dxa"/>
            <w:tcBorders>
              <w:top w:val="nil"/>
              <w:left w:val="nil"/>
              <w:bottom w:val="nil"/>
              <w:right w:val="nil"/>
            </w:tcBorders>
            <w:shd w:val="clear" w:color="000000" w:fill="CCCCFF"/>
            <w:noWrap/>
            <w:vAlign w:val="bottom"/>
            <w:hideMark/>
          </w:tcPr>
          <w:p w:rsidR="00BA7786" w:rsidRPr="00B4142E" w:rsidRDefault="00BA7786" w:rsidP="00BA7786">
            <w:pPr>
              <w:spacing w:after="0" w:line="240" w:lineRule="auto"/>
              <w:rPr>
                <w:rFonts w:ascii="Calibri" w:eastAsia="Times New Roman" w:hAnsi="Calibri" w:cs="Times New Roman"/>
                <w:color w:val="000000"/>
                <w:sz w:val="16"/>
                <w:szCs w:val="16"/>
                <w:lang w:eastAsia="es-ES"/>
              </w:rPr>
            </w:pPr>
            <w:r w:rsidRPr="00B4142E">
              <w:rPr>
                <w:rFonts w:ascii="Calibri" w:eastAsia="Times New Roman" w:hAnsi="Calibri" w:cs="Times New Roman"/>
                <w:color w:val="000000"/>
                <w:sz w:val="16"/>
                <w:szCs w:val="16"/>
                <w:lang w:eastAsia="es-ES"/>
              </w:rPr>
              <w:t> </w:t>
            </w:r>
          </w:p>
        </w:tc>
      </w:tr>
      <w:tr w:rsidR="00BA7786" w:rsidRPr="00B4142E" w:rsidTr="00BA7786">
        <w:trPr>
          <w:trHeight w:val="300"/>
          <w:jc w:val="center"/>
        </w:trPr>
        <w:tc>
          <w:tcPr>
            <w:tcW w:w="1382" w:type="dxa"/>
            <w:tcBorders>
              <w:top w:val="nil"/>
              <w:left w:val="nil"/>
              <w:bottom w:val="nil"/>
              <w:right w:val="nil"/>
            </w:tcBorders>
            <w:shd w:val="clear" w:color="auto" w:fill="auto"/>
            <w:noWrap/>
            <w:vAlign w:val="bottom"/>
            <w:hideMark/>
          </w:tcPr>
          <w:p w:rsidR="00BA7786" w:rsidRPr="00B4142E" w:rsidRDefault="00BA7786" w:rsidP="00BA7786">
            <w:pPr>
              <w:spacing w:after="0" w:line="240" w:lineRule="auto"/>
              <w:rPr>
                <w:rFonts w:ascii="Calibri" w:eastAsia="Times New Roman" w:hAnsi="Calibri" w:cs="Times New Roman"/>
                <w:color w:val="000000"/>
                <w:sz w:val="16"/>
                <w:szCs w:val="16"/>
                <w:lang w:eastAsia="es-ES"/>
              </w:rPr>
            </w:pPr>
            <w:proofErr w:type="spellStart"/>
            <w:r w:rsidRPr="00B4142E">
              <w:rPr>
                <w:rFonts w:ascii="Calibri" w:eastAsia="Times New Roman" w:hAnsi="Calibri" w:cs="Times New Roman"/>
                <w:color w:val="000000"/>
                <w:sz w:val="16"/>
                <w:szCs w:val="16"/>
                <w:lang w:eastAsia="es-ES"/>
              </w:rPr>
              <w:t>Recurrent</w:t>
            </w:r>
            <w:proofErr w:type="spellEnd"/>
          </w:p>
        </w:tc>
        <w:tc>
          <w:tcPr>
            <w:tcW w:w="1419" w:type="dxa"/>
            <w:tcBorders>
              <w:top w:val="nil"/>
              <w:left w:val="nil"/>
              <w:bottom w:val="nil"/>
              <w:right w:val="nil"/>
            </w:tcBorders>
            <w:shd w:val="clear" w:color="auto" w:fill="auto"/>
            <w:noWrap/>
            <w:vAlign w:val="bottom"/>
            <w:hideMark/>
          </w:tcPr>
          <w:p w:rsidR="00BA7786" w:rsidRPr="00B4142E" w:rsidRDefault="00BA7786" w:rsidP="00BA7786">
            <w:pPr>
              <w:spacing w:after="0" w:line="240" w:lineRule="auto"/>
              <w:jc w:val="right"/>
              <w:rPr>
                <w:rFonts w:ascii="Calibri" w:eastAsia="Times New Roman" w:hAnsi="Calibri" w:cs="Times New Roman"/>
                <w:color w:val="000000"/>
                <w:sz w:val="16"/>
                <w:szCs w:val="16"/>
                <w:lang w:eastAsia="es-ES"/>
              </w:rPr>
            </w:pPr>
            <w:r w:rsidRPr="00B4142E">
              <w:rPr>
                <w:rFonts w:ascii="Calibri" w:eastAsia="Times New Roman" w:hAnsi="Calibri" w:cs="Times New Roman"/>
                <w:color w:val="000000"/>
                <w:sz w:val="16"/>
                <w:szCs w:val="16"/>
                <w:lang w:eastAsia="es-ES"/>
              </w:rPr>
              <w:t>420,677.93</w:t>
            </w:r>
          </w:p>
        </w:tc>
        <w:tc>
          <w:tcPr>
            <w:tcW w:w="1438" w:type="dxa"/>
            <w:tcBorders>
              <w:top w:val="nil"/>
              <w:left w:val="nil"/>
              <w:bottom w:val="nil"/>
              <w:right w:val="nil"/>
            </w:tcBorders>
            <w:shd w:val="clear" w:color="auto" w:fill="auto"/>
            <w:noWrap/>
            <w:vAlign w:val="bottom"/>
            <w:hideMark/>
          </w:tcPr>
          <w:p w:rsidR="00BA7786" w:rsidRPr="00B4142E" w:rsidRDefault="00BA7786" w:rsidP="00BA7786">
            <w:pPr>
              <w:spacing w:after="0" w:line="240" w:lineRule="auto"/>
              <w:jc w:val="right"/>
              <w:rPr>
                <w:rFonts w:ascii="Calibri" w:eastAsia="Times New Roman" w:hAnsi="Calibri" w:cs="Times New Roman"/>
                <w:color w:val="000000"/>
                <w:sz w:val="16"/>
                <w:szCs w:val="16"/>
                <w:lang w:eastAsia="es-ES"/>
              </w:rPr>
            </w:pPr>
            <w:r w:rsidRPr="00B4142E">
              <w:rPr>
                <w:rFonts w:ascii="Calibri" w:eastAsia="Times New Roman" w:hAnsi="Calibri" w:cs="Times New Roman"/>
                <w:color w:val="000000"/>
                <w:sz w:val="16"/>
                <w:szCs w:val="16"/>
                <w:lang w:eastAsia="es-ES"/>
              </w:rPr>
              <w:t>480,132.69</w:t>
            </w:r>
          </w:p>
        </w:tc>
        <w:tc>
          <w:tcPr>
            <w:tcW w:w="1419" w:type="dxa"/>
            <w:tcBorders>
              <w:top w:val="nil"/>
              <w:left w:val="nil"/>
              <w:bottom w:val="nil"/>
              <w:right w:val="nil"/>
            </w:tcBorders>
            <w:shd w:val="clear" w:color="auto" w:fill="auto"/>
            <w:noWrap/>
            <w:vAlign w:val="bottom"/>
            <w:hideMark/>
          </w:tcPr>
          <w:p w:rsidR="00BA7786" w:rsidRPr="00B4142E" w:rsidRDefault="00BA7786" w:rsidP="00BA7786">
            <w:pPr>
              <w:spacing w:after="0" w:line="240" w:lineRule="auto"/>
              <w:jc w:val="right"/>
              <w:rPr>
                <w:rFonts w:ascii="Calibri" w:eastAsia="Times New Roman" w:hAnsi="Calibri" w:cs="Times New Roman"/>
                <w:color w:val="000000"/>
                <w:sz w:val="16"/>
                <w:szCs w:val="16"/>
                <w:lang w:eastAsia="es-ES"/>
              </w:rPr>
            </w:pPr>
            <w:r w:rsidRPr="00B4142E">
              <w:rPr>
                <w:rFonts w:ascii="Calibri" w:eastAsia="Times New Roman" w:hAnsi="Calibri" w:cs="Times New Roman"/>
                <w:color w:val="000000"/>
                <w:sz w:val="16"/>
                <w:szCs w:val="16"/>
                <w:lang w:eastAsia="es-ES"/>
              </w:rPr>
              <w:t>425,321.43</w:t>
            </w:r>
          </w:p>
        </w:tc>
        <w:tc>
          <w:tcPr>
            <w:tcW w:w="1419" w:type="dxa"/>
            <w:tcBorders>
              <w:top w:val="nil"/>
              <w:left w:val="nil"/>
              <w:bottom w:val="nil"/>
              <w:right w:val="nil"/>
            </w:tcBorders>
            <w:shd w:val="clear" w:color="auto" w:fill="auto"/>
            <w:noWrap/>
            <w:vAlign w:val="bottom"/>
            <w:hideMark/>
          </w:tcPr>
          <w:p w:rsidR="00BA7786" w:rsidRPr="00B4142E" w:rsidRDefault="00BA7786" w:rsidP="00BA7786">
            <w:pPr>
              <w:spacing w:after="0" w:line="240" w:lineRule="auto"/>
              <w:jc w:val="right"/>
              <w:rPr>
                <w:rFonts w:ascii="Calibri" w:eastAsia="Times New Roman" w:hAnsi="Calibri" w:cs="Times New Roman"/>
                <w:color w:val="000000"/>
                <w:sz w:val="16"/>
                <w:szCs w:val="16"/>
                <w:lang w:eastAsia="es-ES"/>
              </w:rPr>
            </w:pPr>
            <w:r w:rsidRPr="00B4142E">
              <w:rPr>
                <w:rFonts w:ascii="Calibri" w:eastAsia="Times New Roman" w:hAnsi="Calibri" w:cs="Times New Roman"/>
                <w:color w:val="000000"/>
                <w:sz w:val="16"/>
                <w:szCs w:val="16"/>
                <w:lang w:eastAsia="es-ES"/>
              </w:rPr>
              <w:t>436,035.08</w:t>
            </w:r>
          </w:p>
        </w:tc>
        <w:tc>
          <w:tcPr>
            <w:tcW w:w="1547" w:type="dxa"/>
            <w:tcBorders>
              <w:top w:val="nil"/>
              <w:left w:val="nil"/>
              <w:bottom w:val="nil"/>
              <w:right w:val="nil"/>
            </w:tcBorders>
            <w:shd w:val="clear" w:color="auto" w:fill="auto"/>
            <w:noWrap/>
            <w:vAlign w:val="bottom"/>
            <w:hideMark/>
          </w:tcPr>
          <w:p w:rsidR="00BA7786" w:rsidRPr="00B4142E" w:rsidRDefault="00BA7786" w:rsidP="00BA7786">
            <w:pPr>
              <w:spacing w:after="0" w:line="240" w:lineRule="auto"/>
              <w:jc w:val="right"/>
              <w:rPr>
                <w:rFonts w:ascii="Calibri" w:eastAsia="Times New Roman" w:hAnsi="Calibri" w:cs="Times New Roman"/>
                <w:color w:val="000000"/>
                <w:sz w:val="16"/>
                <w:szCs w:val="16"/>
                <w:lang w:eastAsia="es-ES"/>
              </w:rPr>
            </w:pPr>
            <w:r w:rsidRPr="00B4142E">
              <w:rPr>
                <w:rFonts w:ascii="Calibri" w:eastAsia="Times New Roman" w:hAnsi="Calibri" w:cs="Times New Roman"/>
                <w:color w:val="000000"/>
                <w:sz w:val="16"/>
                <w:szCs w:val="16"/>
                <w:lang w:eastAsia="es-ES"/>
              </w:rPr>
              <w:t>541,134.27</w:t>
            </w:r>
          </w:p>
        </w:tc>
      </w:tr>
      <w:tr w:rsidR="00BA7786" w:rsidRPr="00B4142E" w:rsidTr="00BA7786">
        <w:trPr>
          <w:trHeight w:val="300"/>
          <w:jc w:val="center"/>
        </w:trPr>
        <w:tc>
          <w:tcPr>
            <w:tcW w:w="1382" w:type="dxa"/>
            <w:tcBorders>
              <w:top w:val="nil"/>
              <w:left w:val="nil"/>
              <w:bottom w:val="nil"/>
              <w:right w:val="nil"/>
            </w:tcBorders>
            <w:shd w:val="clear" w:color="auto" w:fill="auto"/>
            <w:noWrap/>
            <w:vAlign w:val="bottom"/>
            <w:hideMark/>
          </w:tcPr>
          <w:p w:rsidR="00BA7786" w:rsidRPr="00B4142E" w:rsidRDefault="00BA7786" w:rsidP="00BA7786">
            <w:pPr>
              <w:spacing w:after="0" w:line="240" w:lineRule="auto"/>
              <w:rPr>
                <w:rFonts w:ascii="Calibri" w:eastAsia="Times New Roman" w:hAnsi="Calibri" w:cs="Times New Roman"/>
                <w:color w:val="000000"/>
                <w:sz w:val="16"/>
                <w:szCs w:val="16"/>
                <w:lang w:eastAsia="es-ES"/>
              </w:rPr>
            </w:pPr>
            <w:r w:rsidRPr="00B4142E">
              <w:rPr>
                <w:rFonts w:ascii="Calibri" w:eastAsia="Times New Roman" w:hAnsi="Calibri" w:cs="Times New Roman"/>
                <w:color w:val="000000"/>
                <w:sz w:val="16"/>
                <w:szCs w:val="16"/>
                <w:lang w:eastAsia="es-ES"/>
              </w:rPr>
              <w:t xml:space="preserve">   </w:t>
            </w:r>
            <w:proofErr w:type="spellStart"/>
            <w:r w:rsidRPr="00B4142E">
              <w:rPr>
                <w:rFonts w:ascii="Calibri" w:eastAsia="Times New Roman" w:hAnsi="Calibri" w:cs="Times New Roman"/>
                <w:color w:val="000000"/>
                <w:sz w:val="16"/>
                <w:szCs w:val="16"/>
                <w:lang w:eastAsia="es-ES"/>
              </w:rPr>
              <w:t>Wages</w:t>
            </w:r>
            <w:proofErr w:type="spellEnd"/>
          </w:p>
        </w:tc>
        <w:tc>
          <w:tcPr>
            <w:tcW w:w="1419" w:type="dxa"/>
            <w:tcBorders>
              <w:top w:val="nil"/>
              <w:left w:val="nil"/>
              <w:bottom w:val="nil"/>
              <w:right w:val="nil"/>
            </w:tcBorders>
            <w:shd w:val="clear" w:color="auto" w:fill="auto"/>
            <w:noWrap/>
            <w:vAlign w:val="bottom"/>
            <w:hideMark/>
          </w:tcPr>
          <w:p w:rsidR="00BA7786" w:rsidRPr="00B4142E" w:rsidRDefault="00BA7786" w:rsidP="00BA7786">
            <w:pPr>
              <w:spacing w:after="0" w:line="240" w:lineRule="auto"/>
              <w:jc w:val="right"/>
              <w:rPr>
                <w:rFonts w:ascii="Calibri" w:eastAsia="Times New Roman" w:hAnsi="Calibri" w:cs="Times New Roman"/>
                <w:color w:val="000000"/>
                <w:sz w:val="16"/>
                <w:szCs w:val="16"/>
                <w:lang w:eastAsia="es-ES"/>
              </w:rPr>
            </w:pPr>
            <w:r w:rsidRPr="00B4142E">
              <w:rPr>
                <w:rFonts w:ascii="Calibri" w:eastAsia="Times New Roman" w:hAnsi="Calibri" w:cs="Times New Roman"/>
                <w:color w:val="000000"/>
                <w:sz w:val="16"/>
                <w:szCs w:val="16"/>
                <w:lang w:eastAsia="es-ES"/>
              </w:rPr>
              <w:t>361,639.98</w:t>
            </w:r>
          </w:p>
        </w:tc>
        <w:tc>
          <w:tcPr>
            <w:tcW w:w="1438" w:type="dxa"/>
            <w:tcBorders>
              <w:top w:val="nil"/>
              <w:left w:val="nil"/>
              <w:bottom w:val="nil"/>
              <w:right w:val="nil"/>
            </w:tcBorders>
            <w:shd w:val="clear" w:color="auto" w:fill="auto"/>
            <w:noWrap/>
            <w:vAlign w:val="bottom"/>
            <w:hideMark/>
          </w:tcPr>
          <w:p w:rsidR="00BA7786" w:rsidRPr="00B4142E" w:rsidRDefault="00BA7786" w:rsidP="00BA7786">
            <w:pPr>
              <w:spacing w:after="0" w:line="240" w:lineRule="auto"/>
              <w:jc w:val="right"/>
              <w:rPr>
                <w:rFonts w:ascii="Calibri" w:eastAsia="Times New Roman" w:hAnsi="Calibri" w:cs="Times New Roman"/>
                <w:color w:val="000000"/>
                <w:sz w:val="16"/>
                <w:szCs w:val="16"/>
                <w:lang w:eastAsia="es-ES"/>
              </w:rPr>
            </w:pPr>
            <w:r w:rsidRPr="00B4142E">
              <w:rPr>
                <w:rFonts w:ascii="Calibri" w:eastAsia="Times New Roman" w:hAnsi="Calibri" w:cs="Times New Roman"/>
                <w:color w:val="000000"/>
                <w:sz w:val="16"/>
                <w:szCs w:val="16"/>
                <w:lang w:eastAsia="es-ES"/>
              </w:rPr>
              <w:t>357,813.33</w:t>
            </w:r>
          </w:p>
        </w:tc>
        <w:tc>
          <w:tcPr>
            <w:tcW w:w="1419" w:type="dxa"/>
            <w:tcBorders>
              <w:top w:val="nil"/>
              <w:left w:val="nil"/>
              <w:bottom w:val="nil"/>
              <w:right w:val="nil"/>
            </w:tcBorders>
            <w:shd w:val="clear" w:color="auto" w:fill="auto"/>
            <w:noWrap/>
            <w:vAlign w:val="bottom"/>
            <w:hideMark/>
          </w:tcPr>
          <w:p w:rsidR="00BA7786" w:rsidRPr="00B4142E" w:rsidRDefault="00BA7786" w:rsidP="00BA7786">
            <w:pPr>
              <w:spacing w:after="0" w:line="240" w:lineRule="auto"/>
              <w:jc w:val="right"/>
              <w:rPr>
                <w:rFonts w:ascii="Calibri" w:eastAsia="Times New Roman" w:hAnsi="Calibri" w:cs="Times New Roman"/>
                <w:color w:val="000000"/>
                <w:sz w:val="16"/>
                <w:szCs w:val="16"/>
                <w:lang w:eastAsia="es-ES"/>
              </w:rPr>
            </w:pPr>
            <w:r w:rsidRPr="00B4142E">
              <w:rPr>
                <w:rFonts w:ascii="Calibri" w:eastAsia="Times New Roman" w:hAnsi="Calibri" w:cs="Times New Roman"/>
                <w:color w:val="000000"/>
                <w:sz w:val="16"/>
                <w:szCs w:val="16"/>
                <w:lang w:eastAsia="es-ES"/>
              </w:rPr>
              <w:t>336,100.41</w:t>
            </w:r>
          </w:p>
        </w:tc>
        <w:tc>
          <w:tcPr>
            <w:tcW w:w="1419" w:type="dxa"/>
            <w:tcBorders>
              <w:top w:val="nil"/>
              <w:left w:val="nil"/>
              <w:bottom w:val="nil"/>
              <w:right w:val="nil"/>
            </w:tcBorders>
            <w:shd w:val="clear" w:color="auto" w:fill="auto"/>
            <w:noWrap/>
            <w:vAlign w:val="bottom"/>
            <w:hideMark/>
          </w:tcPr>
          <w:p w:rsidR="00BA7786" w:rsidRPr="00B4142E" w:rsidRDefault="00BA7786" w:rsidP="00BA7786">
            <w:pPr>
              <w:spacing w:after="0" w:line="240" w:lineRule="auto"/>
              <w:jc w:val="right"/>
              <w:rPr>
                <w:rFonts w:ascii="Calibri" w:eastAsia="Times New Roman" w:hAnsi="Calibri" w:cs="Times New Roman"/>
                <w:color w:val="000000"/>
                <w:sz w:val="16"/>
                <w:szCs w:val="16"/>
                <w:lang w:eastAsia="es-ES"/>
              </w:rPr>
            </w:pPr>
            <w:r w:rsidRPr="00B4142E">
              <w:rPr>
                <w:rFonts w:ascii="Calibri" w:eastAsia="Times New Roman" w:hAnsi="Calibri" w:cs="Times New Roman"/>
                <w:color w:val="000000"/>
                <w:sz w:val="16"/>
                <w:szCs w:val="16"/>
                <w:lang w:eastAsia="es-ES"/>
              </w:rPr>
              <w:t>319,276.35</w:t>
            </w:r>
          </w:p>
        </w:tc>
        <w:tc>
          <w:tcPr>
            <w:tcW w:w="1547" w:type="dxa"/>
            <w:tcBorders>
              <w:top w:val="nil"/>
              <w:left w:val="nil"/>
              <w:bottom w:val="nil"/>
              <w:right w:val="nil"/>
            </w:tcBorders>
            <w:shd w:val="clear" w:color="auto" w:fill="auto"/>
            <w:noWrap/>
            <w:vAlign w:val="bottom"/>
            <w:hideMark/>
          </w:tcPr>
          <w:p w:rsidR="00BA7786" w:rsidRPr="00B4142E" w:rsidRDefault="00BA7786" w:rsidP="00BA7786">
            <w:pPr>
              <w:spacing w:after="0" w:line="240" w:lineRule="auto"/>
              <w:jc w:val="right"/>
              <w:rPr>
                <w:rFonts w:ascii="Calibri" w:eastAsia="Times New Roman" w:hAnsi="Calibri" w:cs="Times New Roman"/>
                <w:color w:val="000000"/>
                <w:sz w:val="16"/>
                <w:szCs w:val="16"/>
                <w:lang w:eastAsia="es-ES"/>
              </w:rPr>
            </w:pPr>
            <w:r w:rsidRPr="00B4142E">
              <w:rPr>
                <w:rFonts w:ascii="Calibri" w:eastAsia="Times New Roman" w:hAnsi="Calibri" w:cs="Times New Roman"/>
                <w:color w:val="000000"/>
                <w:sz w:val="16"/>
                <w:szCs w:val="16"/>
                <w:lang w:eastAsia="es-ES"/>
              </w:rPr>
              <w:t>313,006.24</w:t>
            </w:r>
          </w:p>
        </w:tc>
      </w:tr>
      <w:tr w:rsidR="00BA7786" w:rsidRPr="00B4142E" w:rsidTr="00BA7786">
        <w:trPr>
          <w:trHeight w:val="300"/>
          <w:jc w:val="center"/>
        </w:trPr>
        <w:tc>
          <w:tcPr>
            <w:tcW w:w="1382" w:type="dxa"/>
            <w:tcBorders>
              <w:top w:val="nil"/>
              <w:left w:val="nil"/>
              <w:bottom w:val="nil"/>
              <w:right w:val="nil"/>
            </w:tcBorders>
            <w:shd w:val="clear" w:color="auto" w:fill="auto"/>
            <w:noWrap/>
            <w:vAlign w:val="bottom"/>
            <w:hideMark/>
          </w:tcPr>
          <w:p w:rsidR="00BA7786" w:rsidRPr="00B4142E" w:rsidRDefault="00BA7786" w:rsidP="00BA7786">
            <w:pPr>
              <w:spacing w:after="0" w:line="240" w:lineRule="auto"/>
              <w:rPr>
                <w:rFonts w:ascii="Calibri" w:eastAsia="Times New Roman" w:hAnsi="Calibri" w:cs="Times New Roman"/>
                <w:color w:val="000000"/>
                <w:sz w:val="16"/>
                <w:szCs w:val="16"/>
                <w:lang w:eastAsia="es-ES"/>
              </w:rPr>
            </w:pPr>
            <w:r w:rsidRPr="00B4142E">
              <w:rPr>
                <w:rFonts w:ascii="Calibri" w:eastAsia="Times New Roman" w:hAnsi="Calibri" w:cs="Times New Roman"/>
                <w:color w:val="000000"/>
                <w:sz w:val="16"/>
                <w:szCs w:val="16"/>
                <w:lang w:eastAsia="es-ES"/>
              </w:rPr>
              <w:t xml:space="preserve">   Non-</w:t>
            </w:r>
            <w:proofErr w:type="spellStart"/>
            <w:r w:rsidRPr="00B4142E">
              <w:rPr>
                <w:rFonts w:ascii="Calibri" w:eastAsia="Times New Roman" w:hAnsi="Calibri" w:cs="Times New Roman"/>
                <w:color w:val="000000"/>
                <w:sz w:val="16"/>
                <w:szCs w:val="16"/>
                <w:lang w:eastAsia="es-ES"/>
              </w:rPr>
              <w:t>Wages</w:t>
            </w:r>
            <w:proofErr w:type="spellEnd"/>
          </w:p>
        </w:tc>
        <w:tc>
          <w:tcPr>
            <w:tcW w:w="1419" w:type="dxa"/>
            <w:tcBorders>
              <w:top w:val="nil"/>
              <w:left w:val="nil"/>
              <w:bottom w:val="nil"/>
              <w:right w:val="nil"/>
            </w:tcBorders>
            <w:shd w:val="clear" w:color="auto" w:fill="auto"/>
            <w:noWrap/>
            <w:vAlign w:val="bottom"/>
            <w:hideMark/>
          </w:tcPr>
          <w:p w:rsidR="00BA7786" w:rsidRPr="00B4142E" w:rsidRDefault="00BA7786" w:rsidP="00BA7786">
            <w:pPr>
              <w:spacing w:after="0" w:line="240" w:lineRule="auto"/>
              <w:jc w:val="right"/>
              <w:rPr>
                <w:rFonts w:ascii="Calibri" w:eastAsia="Times New Roman" w:hAnsi="Calibri" w:cs="Times New Roman"/>
                <w:color w:val="000000"/>
                <w:sz w:val="16"/>
                <w:szCs w:val="16"/>
                <w:lang w:eastAsia="es-ES"/>
              </w:rPr>
            </w:pPr>
            <w:r w:rsidRPr="00B4142E">
              <w:rPr>
                <w:rFonts w:ascii="Calibri" w:eastAsia="Times New Roman" w:hAnsi="Calibri" w:cs="Times New Roman"/>
                <w:color w:val="000000"/>
                <w:sz w:val="16"/>
                <w:szCs w:val="16"/>
                <w:lang w:eastAsia="es-ES"/>
              </w:rPr>
              <w:t>59,037.96</w:t>
            </w:r>
          </w:p>
        </w:tc>
        <w:tc>
          <w:tcPr>
            <w:tcW w:w="1438" w:type="dxa"/>
            <w:tcBorders>
              <w:top w:val="nil"/>
              <w:left w:val="nil"/>
              <w:bottom w:val="nil"/>
              <w:right w:val="nil"/>
            </w:tcBorders>
            <w:shd w:val="clear" w:color="auto" w:fill="auto"/>
            <w:noWrap/>
            <w:vAlign w:val="bottom"/>
            <w:hideMark/>
          </w:tcPr>
          <w:p w:rsidR="00BA7786" w:rsidRPr="00B4142E" w:rsidRDefault="00BA7786" w:rsidP="00BA7786">
            <w:pPr>
              <w:spacing w:after="0" w:line="240" w:lineRule="auto"/>
              <w:jc w:val="right"/>
              <w:rPr>
                <w:rFonts w:ascii="Calibri" w:eastAsia="Times New Roman" w:hAnsi="Calibri" w:cs="Times New Roman"/>
                <w:color w:val="000000"/>
                <w:sz w:val="16"/>
                <w:szCs w:val="16"/>
                <w:lang w:eastAsia="es-ES"/>
              </w:rPr>
            </w:pPr>
            <w:r w:rsidRPr="00B4142E">
              <w:rPr>
                <w:rFonts w:ascii="Calibri" w:eastAsia="Times New Roman" w:hAnsi="Calibri" w:cs="Times New Roman"/>
                <w:color w:val="000000"/>
                <w:sz w:val="16"/>
                <w:szCs w:val="16"/>
                <w:lang w:eastAsia="es-ES"/>
              </w:rPr>
              <w:t>122,319.37</w:t>
            </w:r>
          </w:p>
        </w:tc>
        <w:tc>
          <w:tcPr>
            <w:tcW w:w="1419" w:type="dxa"/>
            <w:tcBorders>
              <w:top w:val="nil"/>
              <w:left w:val="nil"/>
              <w:bottom w:val="nil"/>
              <w:right w:val="nil"/>
            </w:tcBorders>
            <w:shd w:val="clear" w:color="auto" w:fill="auto"/>
            <w:noWrap/>
            <w:vAlign w:val="bottom"/>
            <w:hideMark/>
          </w:tcPr>
          <w:p w:rsidR="00BA7786" w:rsidRPr="00B4142E" w:rsidRDefault="00BA7786" w:rsidP="00BA7786">
            <w:pPr>
              <w:spacing w:after="0" w:line="240" w:lineRule="auto"/>
              <w:jc w:val="right"/>
              <w:rPr>
                <w:rFonts w:ascii="Calibri" w:eastAsia="Times New Roman" w:hAnsi="Calibri" w:cs="Times New Roman"/>
                <w:color w:val="000000"/>
                <w:sz w:val="16"/>
                <w:szCs w:val="16"/>
                <w:lang w:eastAsia="es-ES"/>
              </w:rPr>
            </w:pPr>
            <w:r w:rsidRPr="00B4142E">
              <w:rPr>
                <w:rFonts w:ascii="Calibri" w:eastAsia="Times New Roman" w:hAnsi="Calibri" w:cs="Times New Roman"/>
                <w:color w:val="000000"/>
                <w:sz w:val="16"/>
                <w:szCs w:val="16"/>
                <w:lang w:eastAsia="es-ES"/>
              </w:rPr>
              <w:t>89,221.02</w:t>
            </w:r>
          </w:p>
        </w:tc>
        <w:tc>
          <w:tcPr>
            <w:tcW w:w="1419" w:type="dxa"/>
            <w:tcBorders>
              <w:top w:val="nil"/>
              <w:left w:val="nil"/>
              <w:bottom w:val="nil"/>
              <w:right w:val="nil"/>
            </w:tcBorders>
            <w:shd w:val="clear" w:color="auto" w:fill="auto"/>
            <w:noWrap/>
            <w:vAlign w:val="bottom"/>
            <w:hideMark/>
          </w:tcPr>
          <w:p w:rsidR="00BA7786" w:rsidRPr="00B4142E" w:rsidRDefault="00BA7786" w:rsidP="00BA7786">
            <w:pPr>
              <w:spacing w:after="0" w:line="240" w:lineRule="auto"/>
              <w:jc w:val="right"/>
              <w:rPr>
                <w:rFonts w:ascii="Calibri" w:eastAsia="Times New Roman" w:hAnsi="Calibri" w:cs="Times New Roman"/>
                <w:color w:val="000000"/>
                <w:sz w:val="16"/>
                <w:szCs w:val="16"/>
                <w:lang w:eastAsia="es-ES"/>
              </w:rPr>
            </w:pPr>
            <w:r w:rsidRPr="00B4142E">
              <w:rPr>
                <w:rFonts w:ascii="Calibri" w:eastAsia="Times New Roman" w:hAnsi="Calibri" w:cs="Times New Roman"/>
                <w:color w:val="000000"/>
                <w:sz w:val="16"/>
                <w:szCs w:val="16"/>
                <w:lang w:eastAsia="es-ES"/>
              </w:rPr>
              <w:t>116,758.73</w:t>
            </w:r>
          </w:p>
        </w:tc>
        <w:tc>
          <w:tcPr>
            <w:tcW w:w="1547" w:type="dxa"/>
            <w:tcBorders>
              <w:top w:val="nil"/>
              <w:left w:val="nil"/>
              <w:bottom w:val="nil"/>
              <w:right w:val="nil"/>
            </w:tcBorders>
            <w:shd w:val="clear" w:color="auto" w:fill="auto"/>
            <w:noWrap/>
            <w:vAlign w:val="bottom"/>
            <w:hideMark/>
          </w:tcPr>
          <w:p w:rsidR="00BA7786" w:rsidRPr="00B4142E" w:rsidRDefault="00BA7786" w:rsidP="00BA7786">
            <w:pPr>
              <w:spacing w:after="0" w:line="240" w:lineRule="auto"/>
              <w:jc w:val="right"/>
              <w:rPr>
                <w:rFonts w:ascii="Calibri" w:eastAsia="Times New Roman" w:hAnsi="Calibri" w:cs="Times New Roman"/>
                <w:color w:val="000000"/>
                <w:sz w:val="16"/>
                <w:szCs w:val="16"/>
                <w:lang w:eastAsia="es-ES"/>
              </w:rPr>
            </w:pPr>
            <w:r w:rsidRPr="00B4142E">
              <w:rPr>
                <w:rFonts w:ascii="Calibri" w:eastAsia="Times New Roman" w:hAnsi="Calibri" w:cs="Times New Roman"/>
                <w:color w:val="000000"/>
                <w:sz w:val="16"/>
                <w:szCs w:val="16"/>
                <w:lang w:eastAsia="es-ES"/>
              </w:rPr>
              <w:t>228,128.03</w:t>
            </w:r>
          </w:p>
        </w:tc>
      </w:tr>
      <w:tr w:rsidR="00BA7786" w:rsidRPr="00B4142E" w:rsidTr="00BA7786">
        <w:trPr>
          <w:trHeight w:val="300"/>
          <w:jc w:val="center"/>
        </w:trPr>
        <w:tc>
          <w:tcPr>
            <w:tcW w:w="1382" w:type="dxa"/>
            <w:tcBorders>
              <w:top w:val="nil"/>
              <w:left w:val="nil"/>
              <w:bottom w:val="nil"/>
              <w:right w:val="nil"/>
            </w:tcBorders>
            <w:shd w:val="clear" w:color="auto" w:fill="auto"/>
            <w:noWrap/>
            <w:vAlign w:val="bottom"/>
            <w:hideMark/>
          </w:tcPr>
          <w:p w:rsidR="00BA7786" w:rsidRPr="00B4142E" w:rsidRDefault="00BA7786" w:rsidP="00BA7786">
            <w:pPr>
              <w:spacing w:after="0" w:line="240" w:lineRule="auto"/>
              <w:rPr>
                <w:rFonts w:ascii="Calibri" w:eastAsia="Times New Roman" w:hAnsi="Calibri" w:cs="Times New Roman"/>
                <w:color w:val="000000"/>
                <w:sz w:val="16"/>
                <w:szCs w:val="16"/>
                <w:lang w:eastAsia="es-ES"/>
              </w:rPr>
            </w:pPr>
            <w:r w:rsidRPr="00B4142E">
              <w:rPr>
                <w:rFonts w:ascii="Calibri" w:eastAsia="Times New Roman" w:hAnsi="Calibri" w:cs="Times New Roman"/>
                <w:color w:val="000000"/>
                <w:sz w:val="16"/>
                <w:szCs w:val="16"/>
                <w:lang w:eastAsia="es-ES"/>
              </w:rPr>
              <w:t>Capital</w:t>
            </w:r>
          </w:p>
        </w:tc>
        <w:tc>
          <w:tcPr>
            <w:tcW w:w="1419" w:type="dxa"/>
            <w:tcBorders>
              <w:top w:val="nil"/>
              <w:left w:val="nil"/>
              <w:bottom w:val="nil"/>
              <w:right w:val="nil"/>
            </w:tcBorders>
            <w:shd w:val="clear" w:color="auto" w:fill="auto"/>
            <w:noWrap/>
            <w:vAlign w:val="bottom"/>
            <w:hideMark/>
          </w:tcPr>
          <w:p w:rsidR="00BA7786" w:rsidRPr="00B4142E" w:rsidRDefault="00BA7786" w:rsidP="00BA7786">
            <w:pPr>
              <w:spacing w:after="0" w:line="240" w:lineRule="auto"/>
              <w:jc w:val="right"/>
              <w:rPr>
                <w:rFonts w:ascii="Calibri" w:eastAsia="Times New Roman" w:hAnsi="Calibri" w:cs="Times New Roman"/>
                <w:color w:val="000000"/>
                <w:sz w:val="16"/>
                <w:szCs w:val="16"/>
                <w:lang w:eastAsia="es-ES"/>
              </w:rPr>
            </w:pPr>
            <w:r w:rsidRPr="00B4142E">
              <w:rPr>
                <w:rFonts w:ascii="Calibri" w:eastAsia="Times New Roman" w:hAnsi="Calibri" w:cs="Times New Roman"/>
                <w:color w:val="000000"/>
                <w:sz w:val="16"/>
                <w:szCs w:val="16"/>
                <w:lang w:eastAsia="es-ES"/>
              </w:rPr>
              <w:t>16,796.63</w:t>
            </w:r>
          </w:p>
        </w:tc>
        <w:tc>
          <w:tcPr>
            <w:tcW w:w="1438" w:type="dxa"/>
            <w:tcBorders>
              <w:top w:val="nil"/>
              <w:left w:val="nil"/>
              <w:bottom w:val="nil"/>
              <w:right w:val="nil"/>
            </w:tcBorders>
            <w:shd w:val="clear" w:color="auto" w:fill="auto"/>
            <w:noWrap/>
            <w:vAlign w:val="bottom"/>
            <w:hideMark/>
          </w:tcPr>
          <w:p w:rsidR="00BA7786" w:rsidRPr="00B4142E" w:rsidRDefault="00BA7786" w:rsidP="00BA7786">
            <w:pPr>
              <w:spacing w:after="0" w:line="240" w:lineRule="auto"/>
              <w:jc w:val="right"/>
              <w:rPr>
                <w:rFonts w:ascii="Calibri" w:eastAsia="Times New Roman" w:hAnsi="Calibri" w:cs="Times New Roman"/>
                <w:color w:val="000000"/>
                <w:sz w:val="16"/>
                <w:szCs w:val="16"/>
                <w:lang w:eastAsia="es-ES"/>
              </w:rPr>
            </w:pPr>
            <w:r w:rsidRPr="00B4142E">
              <w:rPr>
                <w:rFonts w:ascii="Calibri" w:eastAsia="Times New Roman" w:hAnsi="Calibri" w:cs="Times New Roman"/>
                <w:color w:val="000000"/>
                <w:sz w:val="16"/>
                <w:szCs w:val="16"/>
                <w:lang w:eastAsia="es-ES"/>
              </w:rPr>
              <w:t>34,549.62</w:t>
            </w:r>
          </w:p>
        </w:tc>
        <w:tc>
          <w:tcPr>
            <w:tcW w:w="1419" w:type="dxa"/>
            <w:tcBorders>
              <w:top w:val="nil"/>
              <w:left w:val="nil"/>
              <w:bottom w:val="nil"/>
              <w:right w:val="nil"/>
            </w:tcBorders>
            <w:shd w:val="clear" w:color="auto" w:fill="auto"/>
            <w:noWrap/>
            <w:vAlign w:val="bottom"/>
            <w:hideMark/>
          </w:tcPr>
          <w:p w:rsidR="00BA7786" w:rsidRPr="00B4142E" w:rsidRDefault="00BA7786" w:rsidP="00BA7786">
            <w:pPr>
              <w:spacing w:after="0" w:line="240" w:lineRule="auto"/>
              <w:jc w:val="right"/>
              <w:rPr>
                <w:rFonts w:ascii="Calibri" w:eastAsia="Times New Roman" w:hAnsi="Calibri" w:cs="Times New Roman"/>
                <w:color w:val="000000"/>
                <w:sz w:val="16"/>
                <w:szCs w:val="16"/>
                <w:lang w:eastAsia="es-ES"/>
              </w:rPr>
            </w:pPr>
            <w:r w:rsidRPr="00B4142E">
              <w:rPr>
                <w:rFonts w:ascii="Calibri" w:eastAsia="Times New Roman" w:hAnsi="Calibri" w:cs="Times New Roman"/>
                <w:color w:val="000000"/>
                <w:sz w:val="16"/>
                <w:szCs w:val="16"/>
                <w:lang w:eastAsia="es-ES"/>
              </w:rPr>
              <w:t>33,280.62</w:t>
            </w:r>
          </w:p>
        </w:tc>
        <w:tc>
          <w:tcPr>
            <w:tcW w:w="1419" w:type="dxa"/>
            <w:tcBorders>
              <w:top w:val="nil"/>
              <w:left w:val="nil"/>
              <w:bottom w:val="nil"/>
              <w:right w:val="nil"/>
            </w:tcBorders>
            <w:shd w:val="clear" w:color="auto" w:fill="auto"/>
            <w:noWrap/>
            <w:vAlign w:val="bottom"/>
            <w:hideMark/>
          </w:tcPr>
          <w:p w:rsidR="00BA7786" w:rsidRPr="00B4142E" w:rsidRDefault="00BA7786" w:rsidP="00BA7786">
            <w:pPr>
              <w:spacing w:after="0" w:line="240" w:lineRule="auto"/>
              <w:jc w:val="right"/>
              <w:rPr>
                <w:rFonts w:ascii="Calibri" w:eastAsia="Times New Roman" w:hAnsi="Calibri" w:cs="Times New Roman"/>
                <w:color w:val="000000"/>
                <w:sz w:val="16"/>
                <w:szCs w:val="16"/>
                <w:lang w:eastAsia="es-ES"/>
              </w:rPr>
            </w:pPr>
            <w:r w:rsidRPr="00B4142E">
              <w:rPr>
                <w:rFonts w:ascii="Calibri" w:eastAsia="Times New Roman" w:hAnsi="Calibri" w:cs="Times New Roman"/>
                <w:color w:val="000000"/>
                <w:sz w:val="16"/>
                <w:szCs w:val="16"/>
                <w:lang w:eastAsia="es-ES"/>
              </w:rPr>
              <w:t>57,459.35</w:t>
            </w:r>
          </w:p>
        </w:tc>
        <w:tc>
          <w:tcPr>
            <w:tcW w:w="1547" w:type="dxa"/>
            <w:tcBorders>
              <w:top w:val="nil"/>
              <w:left w:val="nil"/>
              <w:bottom w:val="nil"/>
              <w:right w:val="nil"/>
            </w:tcBorders>
            <w:shd w:val="clear" w:color="auto" w:fill="auto"/>
            <w:noWrap/>
            <w:vAlign w:val="bottom"/>
            <w:hideMark/>
          </w:tcPr>
          <w:p w:rsidR="00BA7786" w:rsidRPr="00B4142E" w:rsidRDefault="00BA7786" w:rsidP="00BA7786">
            <w:pPr>
              <w:spacing w:after="0" w:line="240" w:lineRule="auto"/>
              <w:jc w:val="right"/>
              <w:rPr>
                <w:rFonts w:ascii="Calibri" w:eastAsia="Times New Roman" w:hAnsi="Calibri" w:cs="Times New Roman"/>
                <w:color w:val="000000"/>
                <w:sz w:val="16"/>
                <w:szCs w:val="16"/>
                <w:lang w:eastAsia="es-ES"/>
              </w:rPr>
            </w:pPr>
            <w:r w:rsidRPr="00B4142E">
              <w:rPr>
                <w:rFonts w:ascii="Calibri" w:eastAsia="Times New Roman" w:hAnsi="Calibri" w:cs="Times New Roman"/>
                <w:color w:val="000000"/>
                <w:sz w:val="16"/>
                <w:szCs w:val="16"/>
                <w:lang w:eastAsia="es-ES"/>
              </w:rPr>
              <w:t>38,016.14</w:t>
            </w:r>
          </w:p>
        </w:tc>
      </w:tr>
      <w:tr w:rsidR="00BA7786" w:rsidRPr="00B4142E" w:rsidTr="00BA7786">
        <w:trPr>
          <w:trHeight w:val="315"/>
          <w:jc w:val="center"/>
        </w:trPr>
        <w:tc>
          <w:tcPr>
            <w:tcW w:w="4239" w:type="dxa"/>
            <w:gridSpan w:val="3"/>
            <w:tcBorders>
              <w:top w:val="nil"/>
              <w:left w:val="nil"/>
              <w:bottom w:val="nil"/>
              <w:right w:val="nil"/>
            </w:tcBorders>
            <w:shd w:val="clear" w:color="000000" w:fill="CCCCFF"/>
            <w:noWrap/>
            <w:vAlign w:val="bottom"/>
            <w:hideMark/>
          </w:tcPr>
          <w:p w:rsidR="00BA7786" w:rsidRPr="00B4142E" w:rsidRDefault="00BA7786" w:rsidP="00BA7786">
            <w:pPr>
              <w:spacing w:after="0" w:line="240" w:lineRule="auto"/>
              <w:rPr>
                <w:rFonts w:ascii="Calibri" w:eastAsia="Times New Roman" w:hAnsi="Calibri" w:cs="Times New Roman"/>
                <w:b/>
                <w:bCs/>
                <w:color w:val="000000"/>
                <w:sz w:val="16"/>
                <w:szCs w:val="16"/>
                <w:lang w:eastAsia="es-ES"/>
              </w:rPr>
            </w:pPr>
            <w:r w:rsidRPr="00B4142E">
              <w:rPr>
                <w:rFonts w:ascii="Calibri" w:eastAsia="Times New Roman" w:hAnsi="Calibri" w:cs="Times New Roman"/>
                <w:b/>
                <w:bCs/>
                <w:color w:val="000000"/>
                <w:sz w:val="16"/>
                <w:szCs w:val="16"/>
                <w:lang w:eastAsia="es-ES"/>
              </w:rPr>
              <w:t xml:space="preserve">Ministerial and Regional </w:t>
            </w:r>
            <w:proofErr w:type="spellStart"/>
            <w:r w:rsidRPr="00B4142E">
              <w:rPr>
                <w:rFonts w:ascii="Calibri" w:eastAsia="Times New Roman" w:hAnsi="Calibri" w:cs="Times New Roman"/>
                <w:b/>
                <w:bCs/>
                <w:color w:val="000000"/>
                <w:sz w:val="16"/>
                <w:szCs w:val="16"/>
                <w:lang w:eastAsia="es-ES"/>
              </w:rPr>
              <w:t>Administration</w:t>
            </w:r>
            <w:proofErr w:type="spellEnd"/>
          </w:p>
        </w:tc>
        <w:tc>
          <w:tcPr>
            <w:tcW w:w="1419" w:type="dxa"/>
            <w:tcBorders>
              <w:top w:val="nil"/>
              <w:left w:val="nil"/>
              <w:bottom w:val="nil"/>
              <w:right w:val="nil"/>
            </w:tcBorders>
            <w:shd w:val="clear" w:color="000000" w:fill="CCCCFF"/>
            <w:noWrap/>
            <w:vAlign w:val="bottom"/>
            <w:hideMark/>
          </w:tcPr>
          <w:p w:rsidR="00BA7786" w:rsidRPr="00B4142E" w:rsidRDefault="00BA7786" w:rsidP="00BA7786">
            <w:pPr>
              <w:spacing w:after="0" w:line="240" w:lineRule="auto"/>
              <w:rPr>
                <w:rFonts w:ascii="Calibri" w:eastAsia="Times New Roman" w:hAnsi="Calibri" w:cs="Times New Roman"/>
                <w:color w:val="000000"/>
                <w:sz w:val="16"/>
                <w:szCs w:val="16"/>
                <w:lang w:eastAsia="es-ES"/>
              </w:rPr>
            </w:pPr>
            <w:r w:rsidRPr="00B4142E">
              <w:rPr>
                <w:rFonts w:ascii="Calibri" w:eastAsia="Times New Roman" w:hAnsi="Calibri" w:cs="Times New Roman"/>
                <w:color w:val="000000"/>
                <w:sz w:val="16"/>
                <w:szCs w:val="16"/>
                <w:lang w:eastAsia="es-ES"/>
              </w:rPr>
              <w:t> </w:t>
            </w:r>
          </w:p>
        </w:tc>
        <w:tc>
          <w:tcPr>
            <w:tcW w:w="1419" w:type="dxa"/>
            <w:tcBorders>
              <w:top w:val="nil"/>
              <w:left w:val="nil"/>
              <w:bottom w:val="nil"/>
              <w:right w:val="nil"/>
            </w:tcBorders>
            <w:shd w:val="clear" w:color="000000" w:fill="CCCCFF"/>
            <w:noWrap/>
            <w:vAlign w:val="bottom"/>
            <w:hideMark/>
          </w:tcPr>
          <w:p w:rsidR="00BA7786" w:rsidRPr="00B4142E" w:rsidRDefault="00BA7786" w:rsidP="00BA7786">
            <w:pPr>
              <w:spacing w:after="0" w:line="240" w:lineRule="auto"/>
              <w:rPr>
                <w:rFonts w:ascii="Calibri" w:eastAsia="Times New Roman" w:hAnsi="Calibri" w:cs="Times New Roman"/>
                <w:color w:val="000000"/>
                <w:sz w:val="16"/>
                <w:szCs w:val="16"/>
                <w:lang w:eastAsia="es-ES"/>
              </w:rPr>
            </w:pPr>
            <w:r w:rsidRPr="00B4142E">
              <w:rPr>
                <w:rFonts w:ascii="Calibri" w:eastAsia="Times New Roman" w:hAnsi="Calibri" w:cs="Times New Roman"/>
                <w:color w:val="000000"/>
                <w:sz w:val="16"/>
                <w:szCs w:val="16"/>
                <w:lang w:eastAsia="es-ES"/>
              </w:rPr>
              <w:t> </w:t>
            </w:r>
          </w:p>
        </w:tc>
        <w:tc>
          <w:tcPr>
            <w:tcW w:w="1547" w:type="dxa"/>
            <w:tcBorders>
              <w:top w:val="nil"/>
              <w:left w:val="nil"/>
              <w:bottom w:val="nil"/>
              <w:right w:val="nil"/>
            </w:tcBorders>
            <w:shd w:val="clear" w:color="000000" w:fill="CCCCFF"/>
            <w:noWrap/>
            <w:vAlign w:val="bottom"/>
            <w:hideMark/>
          </w:tcPr>
          <w:p w:rsidR="00BA7786" w:rsidRPr="00B4142E" w:rsidRDefault="00BA7786" w:rsidP="00BA7786">
            <w:pPr>
              <w:spacing w:after="0" w:line="240" w:lineRule="auto"/>
              <w:rPr>
                <w:rFonts w:ascii="Calibri" w:eastAsia="Times New Roman" w:hAnsi="Calibri" w:cs="Times New Roman"/>
                <w:color w:val="000000"/>
                <w:sz w:val="16"/>
                <w:szCs w:val="16"/>
                <w:lang w:eastAsia="es-ES"/>
              </w:rPr>
            </w:pPr>
            <w:r w:rsidRPr="00B4142E">
              <w:rPr>
                <w:rFonts w:ascii="Calibri" w:eastAsia="Times New Roman" w:hAnsi="Calibri" w:cs="Times New Roman"/>
                <w:color w:val="000000"/>
                <w:sz w:val="16"/>
                <w:szCs w:val="16"/>
                <w:lang w:eastAsia="es-ES"/>
              </w:rPr>
              <w:t> </w:t>
            </w:r>
          </w:p>
        </w:tc>
      </w:tr>
      <w:tr w:rsidR="00BA7786" w:rsidRPr="00B4142E" w:rsidTr="00BA7786">
        <w:trPr>
          <w:trHeight w:val="300"/>
          <w:jc w:val="center"/>
        </w:trPr>
        <w:tc>
          <w:tcPr>
            <w:tcW w:w="1382" w:type="dxa"/>
            <w:tcBorders>
              <w:top w:val="nil"/>
              <w:left w:val="nil"/>
              <w:bottom w:val="nil"/>
              <w:right w:val="nil"/>
            </w:tcBorders>
            <w:shd w:val="clear" w:color="auto" w:fill="auto"/>
            <w:noWrap/>
            <w:vAlign w:val="bottom"/>
            <w:hideMark/>
          </w:tcPr>
          <w:p w:rsidR="00BA7786" w:rsidRPr="00B4142E" w:rsidRDefault="00BA7786" w:rsidP="00BA7786">
            <w:pPr>
              <w:spacing w:after="0" w:line="240" w:lineRule="auto"/>
              <w:rPr>
                <w:rFonts w:ascii="Calibri" w:eastAsia="Times New Roman" w:hAnsi="Calibri" w:cs="Times New Roman"/>
                <w:color w:val="000000"/>
                <w:sz w:val="16"/>
                <w:szCs w:val="16"/>
                <w:lang w:eastAsia="es-ES"/>
              </w:rPr>
            </w:pPr>
            <w:proofErr w:type="spellStart"/>
            <w:r w:rsidRPr="00B4142E">
              <w:rPr>
                <w:rFonts w:ascii="Calibri" w:eastAsia="Times New Roman" w:hAnsi="Calibri" w:cs="Times New Roman"/>
                <w:color w:val="000000"/>
                <w:sz w:val="16"/>
                <w:szCs w:val="16"/>
                <w:lang w:eastAsia="es-ES"/>
              </w:rPr>
              <w:t>Recurrent</w:t>
            </w:r>
            <w:proofErr w:type="spellEnd"/>
          </w:p>
        </w:tc>
        <w:tc>
          <w:tcPr>
            <w:tcW w:w="1419" w:type="dxa"/>
            <w:tcBorders>
              <w:top w:val="nil"/>
              <w:left w:val="nil"/>
              <w:bottom w:val="nil"/>
              <w:right w:val="nil"/>
            </w:tcBorders>
            <w:shd w:val="clear" w:color="auto" w:fill="auto"/>
            <w:noWrap/>
            <w:vAlign w:val="bottom"/>
            <w:hideMark/>
          </w:tcPr>
          <w:p w:rsidR="00BA7786" w:rsidRPr="00B4142E" w:rsidRDefault="00BA7786" w:rsidP="00BA7786">
            <w:pPr>
              <w:spacing w:after="0" w:line="240" w:lineRule="auto"/>
              <w:jc w:val="right"/>
              <w:rPr>
                <w:rFonts w:ascii="Calibri" w:eastAsia="Times New Roman" w:hAnsi="Calibri" w:cs="Times New Roman"/>
                <w:color w:val="000000"/>
                <w:sz w:val="16"/>
                <w:szCs w:val="16"/>
                <w:lang w:eastAsia="es-ES"/>
              </w:rPr>
            </w:pPr>
            <w:r w:rsidRPr="00B4142E">
              <w:rPr>
                <w:rFonts w:ascii="Calibri" w:eastAsia="Times New Roman" w:hAnsi="Calibri" w:cs="Times New Roman"/>
                <w:color w:val="000000"/>
                <w:sz w:val="16"/>
                <w:szCs w:val="16"/>
                <w:lang w:eastAsia="es-ES"/>
              </w:rPr>
              <w:t>555,121.34</w:t>
            </w:r>
          </w:p>
        </w:tc>
        <w:tc>
          <w:tcPr>
            <w:tcW w:w="1438" w:type="dxa"/>
            <w:tcBorders>
              <w:top w:val="nil"/>
              <w:left w:val="nil"/>
              <w:bottom w:val="nil"/>
              <w:right w:val="nil"/>
            </w:tcBorders>
            <w:shd w:val="clear" w:color="auto" w:fill="auto"/>
            <w:noWrap/>
            <w:vAlign w:val="bottom"/>
            <w:hideMark/>
          </w:tcPr>
          <w:p w:rsidR="00BA7786" w:rsidRPr="00B4142E" w:rsidRDefault="00BA7786" w:rsidP="00BA7786">
            <w:pPr>
              <w:spacing w:after="0" w:line="240" w:lineRule="auto"/>
              <w:jc w:val="right"/>
              <w:rPr>
                <w:rFonts w:ascii="Calibri" w:eastAsia="Times New Roman" w:hAnsi="Calibri" w:cs="Times New Roman"/>
                <w:color w:val="000000"/>
                <w:sz w:val="16"/>
                <w:szCs w:val="16"/>
                <w:lang w:eastAsia="es-ES"/>
              </w:rPr>
            </w:pPr>
            <w:r w:rsidRPr="00B4142E">
              <w:rPr>
                <w:rFonts w:ascii="Calibri" w:eastAsia="Times New Roman" w:hAnsi="Calibri" w:cs="Times New Roman"/>
                <w:color w:val="000000"/>
                <w:sz w:val="16"/>
                <w:szCs w:val="16"/>
                <w:lang w:eastAsia="es-ES"/>
              </w:rPr>
              <w:t>591,745.17</w:t>
            </w:r>
          </w:p>
        </w:tc>
        <w:tc>
          <w:tcPr>
            <w:tcW w:w="1419" w:type="dxa"/>
            <w:tcBorders>
              <w:top w:val="nil"/>
              <w:left w:val="nil"/>
              <w:bottom w:val="nil"/>
              <w:right w:val="nil"/>
            </w:tcBorders>
            <w:shd w:val="clear" w:color="auto" w:fill="auto"/>
            <w:noWrap/>
            <w:vAlign w:val="bottom"/>
            <w:hideMark/>
          </w:tcPr>
          <w:p w:rsidR="00BA7786" w:rsidRPr="00B4142E" w:rsidRDefault="00BA7786" w:rsidP="00BA7786">
            <w:pPr>
              <w:spacing w:after="0" w:line="240" w:lineRule="auto"/>
              <w:jc w:val="right"/>
              <w:rPr>
                <w:rFonts w:ascii="Calibri" w:eastAsia="Times New Roman" w:hAnsi="Calibri" w:cs="Times New Roman"/>
                <w:color w:val="000000"/>
                <w:sz w:val="16"/>
                <w:szCs w:val="16"/>
                <w:lang w:eastAsia="es-ES"/>
              </w:rPr>
            </w:pPr>
            <w:r w:rsidRPr="00B4142E">
              <w:rPr>
                <w:rFonts w:ascii="Calibri" w:eastAsia="Times New Roman" w:hAnsi="Calibri" w:cs="Times New Roman"/>
                <w:color w:val="000000"/>
                <w:sz w:val="16"/>
                <w:szCs w:val="16"/>
                <w:lang w:eastAsia="es-ES"/>
              </w:rPr>
              <w:t>636,370.22</w:t>
            </w:r>
          </w:p>
        </w:tc>
        <w:tc>
          <w:tcPr>
            <w:tcW w:w="1419" w:type="dxa"/>
            <w:tcBorders>
              <w:top w:val="nil"/>
              <w:left w:val="nil"/>
              <w:bottom w:val="nil"/>
              <w:right w:val="nil"/>
            </w:tcBorders>
            <w:shd w:val="clear" w:color="auto" w:fill="auto"/>
            <w:noWrap/>
            <w:vAlign w:val="bottom"/>
            <w:hideMark/>
          </w:tcPr>
          <w:p w:rsidR="00BA7786" w:rsidRPr="00B4142E" w:rsidRDefault="00BA7786" w:rsidP="00BA7786">
            <w:pPr>
              <w:spacing w:after="0" w:line="240" w:lineRule="auto"/>
              <w:jc w:val="right"/>
              <w:rPr>
                <w:rFonts w:ascii="Calibri" w:eastAsia="Times New Roman" w:hAnsi="Calibri" w:cs="Times New Roman"/>
                <w:color w:val="000000"/>
                <w:sz w:val="16"/>
                <w:szCs w:val="16"/>
                <w:lang w:eastAsia="es-ES"/>
              </w:rPr>
            </w:pPr>
            <w:r w:rsidRPr="00B4142E">
              <w:rPr>
                <w:rFonts w:ascii="Calibri" w:eastAsia="Times New Roman" w:hAnsi="Calibri" w:cs="Times New Roman"/>
                <w:color w:val="000000"/>
                <w:sz w:val="16"/>
                <w:szCs w:val="16"/>
                <w:lang w:eastAsia="es-ES"/>
              </w:rPr>
              <w:t>654,134.54</w:t>
            </w:r>
          </w:p>
        </w:tc>
        <w:tc>
          <w:tcPr>
            <w:tcW w:w="1547" w:type="dxa"/>
            <w:tcBorders>
              <w:top w:val="nil"/>
              <w:left w:val="nil"/>
              <w:bottom w:val="nil"/>
              <w:right w:val="nil"/>
            </w:tcBorders>
            <w:shd w:val="clear" w:color="auto" w:fill="auto"/>
            <w:noWrap/>
            <w:vAlign w:val="bottom"/>
            <w:hideMark/>
          </w:tcPr>
          <w:p w:rsidR="00BA7786" w:rsidRPr="00B4142E" w:rsidRDefault="00BA7786" w:rsidP="00BA7786">
            <w:pPr>
              <w:spacing w:after="0" w:line="240" w:lineRule="auto"/>
              <w:jc w:val="right"/>
              <w:rPr>
                <w:rFonts w:ascii="Calibri" w:eastAsia="Times New Roman" w:hAnsi="Calibri" w:cs="Times New Roman"/>
                <w:color w:val="000000"/>
                <w:sz w:val="16"/>
                <w:szCs w:val="16"/>
                <w:lang w:eastAsia="es-ES"/>
              </w:rPr>
            </w:pPr>
            <w:r w:rsidRPr="00B4142E">
              <w:rPr>
                <w:rFonts w:ascii="Calibri" w:eastAsia="Times New Roman" w:hAnsi="Calibri" w:cs="Times New Roman"/>
                <w:color w:val="000000"/>
                <w:sz w:val="16"/>
                <w:szCs w:val="16"/>
                <w:lang w:eastAsia="es-ES"/>
              </w:rPr>
              <w:t>699,716.63</w:t>
            </w:r>
          </w:p>
        </w:tc>
      </w:tr>
      <w:tr w:rsidR="00BA7786" w:rsidRPr="00B4142E" w:rsidTr="00BA7786">
        <w:trPr>
          <w:trHeight w:val="300"/>
          <w:jc w:val="center"/>
        </w:trPr>
        <w:tc>
          <w:tcPr>
            <w:tcW w:w="1382" w:type="dxa"/>
            <w:tcBorders>
              <w:top w:val="nil"/>
              <w:left w:val="nil"/>
              <w:bottom w:val="nil"/>
              <w:right w:val="nil"/>
            </w:tcBorders>
            <w:shd w:val="clear" w:color="auto" w:fill="auto"/>
            <w:noWrap/>
            <w:vAlign w:val="bottom"/>
            <w:hideMark/>
          </w:tcPr>
          <w:p w:rsidR="00BA7786" w:rsidRPr="00B4142E" w:rsidRDefault="00BA7786" w:rsidP="00BA7786">
            <w:pPr>
              <w:spacing w:after="0" w:line="240" w:lineRule="auto"/>
              <w:rPr>
                <w:rFonts w:ascii="Calibri" w:eastAsia="Times New Roman" w:hAnsi="Calibri" w:cs="Times New Roman"/>
                <w:color w:val="000000"/>
                <w:sz w:val="16"/>
                <w:szCs w:val="16"/>
                <w:lang w:eastAsia="es-ES"/>
              </w:rPr>
            </w:pPr>
            <w:r w:rsidRPr="00B4142E">
              <w:rPr>
                <w:rFonts w:ascii="Calibri" w:eastAsia="Times New Roman" w:hAnsi="Calibri" w:cs="Times New Roman"/>
                <w:color w:val="000000"/>
                <w:sz w:val="16"/>
                <w:szCs w:val="16"/>
                <w:lang w:eastAsia="es-ES"/>
              </w:rPr>
              <w:t xml:space="preserve">   </w:t>
            </w:r>
            <w:proofErr w:type="spellStart"/>
            <w:r w:rsidRPr="00B4142E">
              <w:rPr>
                <w:rFonts w:ascii="Calibri" w:eastAsia="Times New Roman" w:hAnsi="Calibri" w:cs="Times New Roman"/>
                <w:color w:val="000000"/>
                <w:sz w:val="16"/>
                <w:szCs w:val="16"/>
                <w:lang w:eastAsia="es-ES"/>
              </w:rPr>
              <w:t>Wages</w:t>
            </w:r>
            <w:proofErr w:type="spellEnd"/>
          </w:p>
        </w:tc>
        <w:tc>
          <w:tcPr>
            <w:tcW w:w="1419" w:type="dxa"/>
            <w:tcBorders>
              <w:top w:val="nil"/>
              <w:left w:val="nil"/>
              <w:bottom w:val="nil"/>
              <w:right w:val="nil"/>
            </w:tcBorders>
            <w:shd w:val="clear" w:color="auto" w:fill="auto"/>
            <w:noWrap/>
            <w:vAlign w:val="bottom"/>
            <w:hideMark/>
          </w:tcPr>
          <w:p w:rsidR="00BA7786" w:rsidRPr="00B4142E" w:rsidRDefault="00BA7786" w:rsidP="00BA7786">
            <w:pPr>
              <w:spacing w:after="0" w:line="240" w:lineRule="auto"/>
              <w:jc w:val="right"/>
              <w:rPr>
                <w:rFonts w:ascii="Calibri" w:eastAsia="Times New Roman" w:hAnsi="Calibri" w:cs="Times New Roman"/>
                <w:color w:val="000000"/>
                <w:sz w:val="16"/>
                <w:szCs w:val="16"/>
                <w:lang w:eastAsia="es-ES"/>
              </w:rPr>
            </w:pPr>
            <w:r w:rsidRPr="00B4142E">
              <w:rPr>
                <w:rFonts w:ascii="Calibri" w:eastAsia="Times New Roman" w:hAnsi="Calibri" w:cs="Times New Roman"/>
                <w:color w:val="000000"/>
                <w:sz w:val="16"/>
                <w:szCs w:val="16"/>
                <w:lang w:eastAsia="es-ES"/>
              </w:rPr>
              <w:t>354,119.02</w:t>
            </w:r>
          </w:p>
        </w:tc>
        <w:tc>
          <w:tcPr>
            <w:tcW w:w="1438" w:type="dxa"/>
            <w:tcBorders>
              <w:top w:val="nil"/>
              <w:left w:val="nil"/>
              <w:bottom w:val="nil"/>
              <w:right w:val="nil"/>
            </w:tcBorders>
            <w:shd w:val="clear" w:color="auto" w:fill="auto"/>
            <w:noWrap/>
            <w:vAlign w:val="bottom"/>
            <w:hideMark/>
          </w:tcPr>
          <w:p w:rsidR="00BA7786" w:rsidRPr="00B4142E" w:rsidRDefault="00BA7786" w:rsidP="00BA7786">
            <w:pPr>
              <w:spacing w:after="0" w:line="240" w:lineRule="auto"/>
              <w:jc w:val="right"/>
              <w:rPr>
                <w:rFonts w:ascii="Calibri" w:eastAsia="Times New Roman" w:hAnsi="Calibri" w:cs="Times New Roman"/>
                <w:color w:val="000000"/>
                <w:sz w:val="16"/>
                <w:szCs w:val="16"/>
                <w:lang w:eastAsia="es-ES"/>
              </w:rPr>
            </w:pPr>
            <w:r w:rsidRPr="00B4142E">
              <w:rPr>
                <w:rFonts w:ascii="Calibri" w:eastAsia="Times New Roman" w:hAnsi="Calibri" w:cs="Times New Roman"/>
                <w:color w:val="000000"/>
                <w:sz w:val="16"/>
                <w:szCs w:val="16"/>
                <w:lang w:eastAsia="es-ES"/>
              </w:rPr>
              <w:t>370,329.14</w:t>
            </w:r>
          </w:p>
        </w:tc>
        <w:tc>
          <w:tcPr>
            <w:tcW w:w="1419" w:type="dxa"/>
            <w:tcBorders>
              <w:top w:val="nil"/>
              <w:left w:val="nil"/>
              <w:bottom w:val="nil"/>
              <w:right w:val="nil"/>
            </w:tcBorders>
            <w:shd w:val="clear" w:color="auto" w:fill="auto"/>
            <w:noWrap/>
            <w:vAlign w:val="bottom"/>
            <w:hideMark/>
          </w:tcPr>
          <w:p w:rsidR="00BA7786" w:rsidRPr="00B4142E" w:rsidRDefault="00BA7786" w:rsidP="00BA7786">
            <w:pPr>
              <w:spacing w:after="0" w:line="240" w:lineRule="auto"/>
              <w:jc w:val="right"/>
              <w:rPr>
                <w:rFonts w:ascii="Calibri" w:eastAsia="Times New Roman" w:hAnsi="Calibri" w:cs="Times New Roman"/>
                <w:color w:val="000000"/>
                <w:sz w:val="16"/>
                <w:szCs w:val="16"/>
                <w:lang w:eastAsia="es-ES"/>
              </w:rPr>
            </w:pPr>
            <w:r w:rsidRPr="00B4142E">
              <w:rPr>
                <w:rFonts w:ascii="Calibri" w:eastAsia="Times New Roman" w:hAnsi="Calibri" w:cs="Times New Roman"/>
                <w:color w:val="000000"/>
                <w:sz w:val="16"/>
                <w:szCs w:val="16"/>
                <w:lang w:eastAsia="es-ES"/>
              </w:rPr>
              <w:t>377,138.23</w:t>
            </w:r>
          </w:p>
        </w:tc>
        <w:tc>
          <w:tcPr>
            <w:tcW w:w="1419" w:type="dxa"/>
            <w:tcBorders>
              <w:top w:val="nil"/>
              <w:left w:val="nil"/>
              <w:bottom w:val="nil"/>
              <w:right w:val="nil"/>
            </w:tcBorders>
            <w:shd w:val="clear" w:color="auto" w:fill="auto"/>
            <w:noWrap/>
            <w:vAlign w:val="bottom"/>
            <w:hideMark/>
          </w:tcPr>
          <w:p w:rsidR="00BA7786" w:rsidRPr="00B4142E" w:rsidRDefault="00BA7786" w:rsidP="00BA7786">
            <w:pPr>
              <w:spacing w:after="0" w:line="240" w:lineRule="auto"/>
              <w:jc w:val="right"/>
              <w:rPr>
                <w:rFonts w:ascii="Calibri" w:eastAsia="Times New Roman" w:hAnsi="Calibri" w:cs="Times New Roman"/>
                <w:color w:val="000000"/>
                <w:sz w:val="16"/>
                <w:szCs w:val="16"/>
                <w:lang w:eastAsia="es-ES"/>
              </w:rPr>
            </w:pPr>
            <w:r w:rsidRPr="00B4142E">
              <w:rPr>
                <w:rFonts w:ascii="Calibri" w:eastAsia="Times New Roman" w:hAnsi="Calibri" w:cs="Times New Roman"/>
                <w:color w:val="000000"/>
                <w:sz w:val="16"/>
                <w:szCs w:val="16"/>
                <w:lang w:eastAsia="es-ES"/>
              </w:rPr>
              <w:t>487,117.82</w:t>
            </w:r>
          </w:p>
        </w:tc>
        <w:tc>
          <w:tcPr>
            <w:tcW w:w="1547" w:type="dxa"/>
            <w:tcBorders>
              <w:top w:val="nil"/>
              <w:left w:val="nil"/>
              <w:bottom w:val="nil"/>
              <w:right w:val="nil"/>
            </w:tcBorders>
            <w:shd w:val="clear" w:color="auto" w:fill="auto"/>
            <w:noWrap/>
            <w:vAlign w:val="bottom"/>
            <w:hideMark/>
          </w:tcPr>
          <w:p w:rsidR="00BA7786" w:rsidRPr="00B4142E" w:rsidRDefault="00BA7786" w:rsidP="00BA7786">
            <w:pPr>
              <w:spacing w:after="0" w:line="240" w:lineRule="auto"/>
              <w:jc w:val="right"/>
              <w:rPr>
                <w:rFonts w:ascii="Calibri" w:eastAsia="Times New Roman" w:hAnsi="Calibri" w:cs="Times New Roman"/>
                <w:color w:val="000000"/>
                <w:sz w:val="16"/>
                <w:szCs w:val="16"/>
                <w:lang w:eastAsia="es-ES"/>
              </w:rPr>
            </w:pPr>
            <w:r w:rsidRPr="00B4142E">
              <w:rPr>
                <w:rFonts w:ascii="Calibri" w:eastAsia="Times New Roman" w:hAnsi="Calibri" w:cs="Times New Roman"/>
                <w:color w:val="000000"/>
                <w:sz w:val="16"/>
                <w:szCs w:val="16"/>
                <w:lang w:eastAsia="es-ES"/>
              </w:rPr>
              <w:t>488,553.18</w:t>
            </w:r>
          </w:p>
        </w:tc>
      </w:tr>
      <w:tr w:rsidR="00BA7786" w:rsidRPr="00B4142E" w:rsidTr="00BA7786">
        <w:trPr>
          <w:trHeight w:val="300"/>
          <w:jc w:val="center"/>
        </w:trPr>
        <w:tc>
          <w:tcPr>
            <w:tcW w:w="1382" w:type="dxa"/>
            <w:tcBorders>
              <w:top w:val="nil"/>
              <w:left w:val="nil"/>
              <w:bottom w:val="nil"/>
              <w:right w:val="nil"/>
            </w:tcBorders>
            <w:shd w:val="clear" w:color="auto" w:fill="auto"/>
            <w:noWrap/>
            <w:vAlign w:val="bottom"/>
            <w:hideMark/>
          </w:tcPr>
          <w:p w:rsidR="00BA7786" w:rsidRPr="00B4142E" w:rsidRDefault="00BA7786" w:rsidP="00BA7786">
            <w:pPr>
              <w:spacing w:after="0" w:line="240" w:lineRule="auto"/>
              <w:rPr>
                <w:rFonts w:ascii="Calibri" w:eastAsia="Times New Roman" w:hAnsi="Calibri" w:cs="Times New Roman"/>
                <w:color w:val="000000"/>
                <w:sz w:val="16"/>
                <w:szCs w:val="16"/>
                <w:lang w:eastAsia="es-ES"/>
              </w:rPr>
            </w:pPr>
            <w:r w:rsidRPr="00B4142E">
              <w:rPr>
                <w:rFonts w:ascii="Calibri" w:eastAsia="Times New Roman" w:hAnsi="Calibri" w:cs="Times New Roman"/>
                <w:color w:val="000000"/>
                <w:sz w:val="16"/>
                <w:szCs w:val="16"/>
                <w:lang w:eastAsia="es-ES"/>
              </w:rPr>
              <w:t xml:space="preserve">   Non-</w:t>
            </w:r>
            <w:proofErr w:type="spellStart"/>
            <w:r w:rsidRPr="00B4142E">
              <w:rPr>
                <w:rFonts w:ascii="Calibri" w:eastAsia="Times New Roman" w:hAnsi="Calibri" w:cs="Times New Roman"/>
                <w:color w:val="000000"/>
                <w:sz w:val="16"/>
                <w:szCs w:val="16"/>
                <w:lang w:eastAsia="es-ES"/>
              </w:rPr>
              <w:t>Wages</w:t>
            </w:r>
            <w:proofErr w:type="spellEnd"/>
          </w:p>
        </w:tc>
        <w:tc>
          <w:tcPr>
            <w:tcW w:w="1419" w:type="dxa"/>
            <w:tcBorders>
              <w:top w:val="nil"/>
              <w:left w:val="nil"/>
              <w:bottom w:val="nil"/>
              <w:right w:val="nil"/>
            </w:tcBorders>
            <w:shd w:val="clear" w:color="auto" w:fill="auto"/>
            <w:noWrap/>
            <w:vAlign w:val="bottom"/>
            <w:hideMark/>
          </w:tcPr>
          <w:p w:rsidR="00BA7786" w:rsidRPr="00B4142E" w:rsidRDefault="00BA7786" w:rsidP="00BA7786">
            <w:pPr>
              <w:spacing w:after="0" w:line="240" w:lineRule="auto"/>
              <w:jc w:val="right"/>
              <w:rPr>
                <w:rFonts w:ascii="Calibri" w:eastAsia="Times New Roman" w:hAnsi="Calibri" w:cs="Times New Roman"/>
                <w:color w:val="000000"/>
                <w:sz w:val="16"/>
                <w:szCs w:val="16"/>
                <w:lang w:eastAsia="es-ES"/>
              </w:rPr>
            </w:pPr>
            <w:r w:rsidRPr="00B4142E">
              <w:rPr>
                <w:rFonts w:ascii="Calibri" w:eastAsia="Times New Roman" w:hAnsi="Calibri" w:cs="Times New Roman"/>
                <w:color w:val="000000"/>
                <w:sz w:val="16"/>
                <w:szCs w:val="16"/>
                <w:lang w:eastAsia="es-ES"/>
              </w:rPr>
              <w:t>201,002.32</w:t>
            </w:r>
          </w:p>
        </w:tc>
        <w:tc>
          <w:tcPr>
            <w:tcW w:w="1438" w:type="dxa"/>
            <w:tcBorders>
              <w:top w:val="nil"/>
              <w:left w:val="nil"/>
              <w:bottom w:val="nil"/>
              <w:right w:val="nil"/>
            </w:tcBorders>
            <w:shd w:val="clear" w:color="auto" w:fill="auto"/>
            <w:noWrap/>
            <w:vAlign w:val="bottom"/>
            <w:hideMark/>
          </w:tcPr>
          <w:p w:rsidR="00BA7786" w:rsidRPr="00B4142E" w:rsidRDefault="00BA7786" w:rsidP="00BA7786">
            <w:pPr>
              <w:spacing w:after="0" w:line="240" w:lineRule="auto"/>
              <w:jc w:val="right"/>
              <w:rPr>
                <w:rFonts w:ascii="Calibri" w:eastAsia="Times New Roman" w:hAnsi="Calibri" w:cs="Times New Roman"/>
                <w:color w:val="000000"/>
                <w:sz w:val="16"/>
                <w:szCs w:val="16"/>
                <w:lang w:eastAsia="es-ES"/>
              </w:rPr>
            </w:pPr>
            <w:r w:rsidRPr="00B4142E">
              <w:rPr>
                <w:rFonts w:ascii="Calibri" w:eastAsia="Times New Roman" w:hAnsi="Calibri" w:cs="Times New Roman"/>
                <w:color w:val="000000"/>
                <w:sz w:val="16"/>
                <w:szCs w:val="16"/>
                <w:lang w:eastAsia="es-ES"/>
              </w:rPr>
              <w:t>221,416.04</w:t>
            </w:r>
          </w:p>
        </w:tc>
        <w:tc>
          <w:tcPr>
            <w:tcW w:w="1419" w:type="dxa"/>
            <w:tcBorders>
              <w:top w:val="nil"/>
              <w:left w:val="nil"/>
              <w:bottom w:val="nil"/>
              <w:right w:val="nil"/>
            </w:tcBorders>
            <w:shd w:val="clear" w:color="auto" w:fill="auto"/>
            <w:noWrap/>
            <w:vAlign w:val="bottom"/>
            <w:hideMark/>
          </w:tcPr>
          <w:p w:rsidR="00BA7786" w:rsidRPr="00B4142E" w:rsidRDefault="00BA7786" w:rsidP="00BA7786">
            <w:pPr>
              <w:spacing w:after="0" w:line="240" w:lineRule="auto"/>
              <w:jc w:val="right"/>
              <w:rPr>
                <w:rFonts w:ascii="Calibri" w:eastAsia="Times New Roman" w:hAnsi="Calibri" w:cs="Times New Roman"/>
                <w:color w:val="000000"/>
                <w:sz w:val="16"/>
                <w:szCs w:val="16"/>
                <w:lang w:eastAsia="es-ES"/>
              </w:rPr>
            </w:pPr>
            <w:r w:rsidRPr="00B4142E">
              <w:rPr>
                <w:rFonts w:ascii="Calibri" w:eastAsia="Times New Roman" w:hAnsi="Calibri" w:cs="Times New Roman"/>
                <w:color w:val="000000"/>
                <w:sz w:val="16"/>
                <w:szCs w:val="16"/>
                <w:lang w:eastAsia="es-ES"/>
              </w:rPr>
              <w:t>259,231.99</w:t>
            </w:r>
          </w:p>
        </w:tc>
        <w:tc>
          <w:tcPr>
            <w:tcW w:w="1419" w:type="dxa"/>
            <w:tcBorders>
              <w:top w:val="nil"/>
              <w:left w:val="nil"/>
              <w:bottom w:val="nil"/>
              <w:right w:val="nil"/>
            </w:tcBorders>
            <w:shd w:val="clear" w:color="auto" w:fill="auto"/>
            <w:noWrap/>
            <w:vAlign w:val="bottom"/>
            <w:hideMark/>
          </w:tcPr>
          <w:p w:rsidR="00BA7786" w:rsidRPr="00B4142E" w:rsidRDefault="00BA7786" w:rsidP="00BA7786">
            <w:pPr>
              <w:spacing w:after="0" w:line="240" w:lineRule="auto"/>
              <w:jc w:val="right"/>
              <w:rPr>
                <w:rFonts w:ascii="Calibri" w:eastAsia="Times New Roman" w:hAnsi="Calibri" w:cs="Times New Roman"/>
                <w:color w:val="000000"/>
                <w:sz w:val="16"/>
                <w:szCs w:val="16"/>
                <w:lang w:eastAsia="es-ES"/>
              </w:rPr>
            </w:pPr>
            <w:r w:rsidRPr="00B4142E">
              <w:rPr>
                <w:rFonts w:ascii="Calibri" w:eastAsia="Times New Roman" w:hAnsi="Calibri" w:cs="Times New Roman"/>
                <w:color w:val="000000"/>
                <w:sz w:val="16"/>
                <w:szCs w:val="16"/>
                <w:lang w:eastAsia="es-ES"/>
              </w:rPr>
              <w:t>167,016.72</w:t>
            </w:r>
          </w:p>
        </w:tc>
        <w:tc>
          <w:tcPr>
            <w:tcW w:w="1547" w:type="dxa"/>
            <w:tcBorders>
              <w:top w:val="nil"/>
              <w:left w:val="nil"/>
              <w:bottom w:val="nil"/>
              <w:right w:val="nil"/>
            </w:tcBorders>
            <w:shd w:val="clear" w:color="auto" w:fill="auto"/>
            <w:noWrap/>
            <w:vAlign w:val="bottom"/>
            <w:hideMark/>
          </w:tcPr>
          <w:p w:rsidR="00BA7786" w:rsidRPr="00B4142E" w:rsidRDefault="00BA7786" w:rsidP="00BA7786">
            <w:pPr>
              <w:spacing w:after="0" w:line="240" w:lineRule="auto"/>
              <w:jc w:val="right"/>
              <w:rPr>
                <w:rFonts w:ascii="Calibri" w:eastAsia="Times New Roman" w:hAnsi="Calibri" w:cs="Times New Roman"/>
                <w:color w:val="000000"/>
                <w:sz w:val="16"/>
                <w:szCs w:val="16"/>
                <w:lang w:eastAsia="es-ES"/>
              </w:rPr>
            </w:pPr>
            <w:r w:rsidRPr="00B4142E">
              <w:rPr>
                <w:rFonts w:ascii="Calibri" w:eastAsia="Times New Roman" w:hAnsi="Calibri" w:cs="Times New Roman"/>
                <w:color w:val="000000"/>
                <w:sz w:val="16"/>
                <w:szCs w:val="16"/>
                <w:lang w:eastAsia="es-ES"/>
              </w:rPr>
              <w:t>211,163.45</w:t>
            </w:r>
          </w:p>
        </w:tc>
      </w:tr>
      <w:tr w:rsidR="00BA7786" w:rsidRPr="00B4142E" w:rsidTr="00BA7786">
        <w:trPr>
          <w:trHeight w:val="300"/>
          <w:jc w:val="center"/>
        </w:trPr>
        <w:tc>
          <w:tcPr>
            <w:tcW w:w="1382" w:type="dxa"/>
            <w:tcBorders>
              <w:top w:val="nil"/>
              <w:left w:val="nil"/>
              <w:bottom w:val="nil"/>
              <w:right w:val="nil"/>
            </w:tcBorders>
            <w:shd w:val="clear" w:color="auto" w:fill="auto"/>
            <w:noWrap/>
            <w:vAlign w:val="bottom"/>
            <w:hideMark/>
          </w:tcPr>
          <w:p w:rsidR="00BA7786" w:rsidRPr="00B4142E" w:rsidRDefault="00BA7786" w:rsidP="00BA7786">
            <w:pPr>
              <w:spacing w:after="0" w:line="240" w:lineRule="auto"/>
              <w:rPr>
                <w:rFonts w:ascii="Calibri" w:eastAsia="Times New Roman" w:hAnsi="Calibri" w:cs="Times New Roman"/>
                <w:color w:val="000000"/>
                <w:sz w:val="16"/>
                <w:szCs w:val="16"/>
                <w:lang w:eastAsia="es-ES"/>
              </w:rPr>
            </w:pPr>
            <w:r w:rsidRPr="00B4142E">
              <w:rPr>
                <w:rFonts w:ascii="Calibri" w:eastAsia="Times New Roman" w:hAnsi="Calibri" w:cs="Times New Roman"/>
                <w:color w:val="000000"/>
                <w:sz w:val="16"/>
                <w:szCs w:val="16"/>
                <w:lang w:eastAsia="es-ES"/>
              </w:rPr>
              <w:t>Capital</w:t>
            </w:r>
          </w:p>
        </w:tc>
        <w:tc>
          <w:tcPr>
            <w:tcW w:w="1419" w:type="dxa"/>
            <w:tcBorders>
              <w:top w:val="nil"/>
              <w:left w:val="nil"/>
              <w:bottom w:val="nil"/>
              <w:right w:val="nil"/>
            </w:tcBorders>
            <w:shd w:val="clear" w:color="auto" w:fill="auto"/>
            <w:noWrap/>
            <w:vAlign w:val="bottom"/>
            <w:hideMark/>
          </w:tcPr>
          <w:p w:rsidR="00BA7786" w:rsidRPr="00B4142E" w:rsidRDefault="00BA7786" w:rsidP="00BA7786">
            <w:pPr>
              <w:spacing w:after="0" w:line="240" w:lineRule="auto"/>
              <w:jc w:val="right"/>
              <w:rPr>
                <w:rFonts w:ascii="Calibri" w:eastAsia="Times New Roman" w:hAnsi="Calibri" w:cs="Times New Roman"/>
                <w:color w:val="000000"/>
                <w:sz w:val="16"/>
                <w:szCs w:val="16"/>
                <w:lang w:eastAsia="es-ES"/>
              </w:rPr>
            </w:pPr>
            <w:r w:rsidRPr="00B4142E">
              <w:rPr>
                <w:rFonts w:ascii="Calibri" w:eastAsia="Times New Roman" w:hAnsi="Calibri" w:cs="Times New Roman"/>
                <w:color w:val="000000"/>
                <w:sz w:val="16"/>
                <w:szCs w:val="16"/>
                <w:lang w:eastAsia="es-ES"/>
              </w:rPr>
              <w:t>49,043.91</w:t>
            </w:r>
          </w:p>
        </w:tc>
        <w:tc>
          <w:tcPr>
            <w:tcW w:w="1438" w:type="dxa"/>
            <w:tcBorders>
              <w:top w:val="nil"/>
              <w:left w:val="nil"/>
              <w:bottom w:val="nil"/>
              <w:right w:val="nil"/>
            </w:tcBorders>
            <w:shd w:val="clear" w:color="auto" w:fill="auto"/>
            <w:noWrap/>
            <w:vAlign w:val="bottom"/>
            <w:hideMark/>
          </w:tcPr>
          <w:p w:rsidR="00BA7786" w:rsidRPr="00B4142E" w:rsidRDefault="00BA7786" w:rsidP="00BA7786">
            <w:pPr>
              <w:spacing w:after="0" w:line="240" w:lineRule="auto"/>
              <w:jc w:val="right"/>
              <w:rPr>
                <w:rFonts w:ascii="Calibri" w:eastAsia="Times New Roman" w:hAnsi="Calibri" w:cs="Times New Roman"/>
                <w:color w:val="000000"/>
                <w:sz w:val="16"/>
                <w:szCs w:val="16"/>
                <w:lang w:eastAsia="es-ES"/>
              </w:rPr>
            </w:pPr>
            <w:r w:rsidRPr="00B4142E">
              <w:rPr>
                <w:rFonts w:ascii="Calibri" w:eastAsia="Times New Roman" w:hAnsi="Calibri" w:cs="Times New Roman"/>
                <w:color w:val="000000"/>
                <w:sz w:val="16"/>
                <w:szCs w:val="16"/>
                <w:lang w:eastAsia="es-ES"/>
              </w:rPr>
              <w:t>29,627.53</w:t>
            </w:r>
          </w:p>
        </w:tc>
        <w:tc>
          <w:tcPr>
            <w:tcW w:w="1419" w:type="dxa"/>
            <w:tcBorders>
              <w:top w:val="nil"/>
              <w:left w:val="nil"/>
              <w:bottom w:val="nil"/>
              <w:right w:val="nil"/>
            </w:tcBorders>
            <w:shd w:val="clear" w:color="auto" w:fill="auto"/>
            <w:noWrap/>
            <w:vAlign w:val="bottom"/>
            <w:hideMark/>
          </w:tcPr>
          <w:p w:rsidR="00BA7786" w:rsidRPr="00B4142E" w:rsidRDefault="00BA7786" w:rsidP="00BA7786">
            <w:pPr>
              <w:spacing w:after="0" w:line="240" w:lineRule="auto"/>
              <w:jc w:val="right"/>
              <w:rPr>
                <w:rFonts w:ascii="Calibri" w:eastAsia="Times New Roman" w:hAnsi="Calibri" w:cs="Times New Roman"/>
                <w:color w:val="000000"/>
                <w:sz w:val="16"/>
                <w:szCs w:val="16"/>
                <w:lang w:eastAsia="es-ES"/>
              </w:rPr>
            </w:pPr>
            <w:r w:rsidRPr="00B4142E">
              <w:rPr>
                <w:rFonts w:ascii="Calibri" w:eastAsia="Times New Roman" w:hAnsi="Calibri" w:cs="Times New Roman"/>
                <w:color w:val="000000"/>
                <w:sz w:val="16"/>
                <w:szCs w:val="16"/>
                <w:lang w:eastAsia="es-ES"/>
              </w:rPr>
              <w:t>19,672.05</w:t>
            </w:r>
          </w:p>
        </w:tc>
        <w:tc>
          <w:tcPr>
            <w:tcW w:w="1419" w:type="dxa"/>
            <w:tcBorders>
              <w:top w:val="nil"/>
              <w:left w:val="nil"/>
              <w:bottom w:val="nil"/>
              <w:right w:val="nil"/>
            </w:tcBorders>
            <w:shd w:val="clear" w:color="auto" w:fill="auto"/>
            <w:noWrap/>
            <w:vAlign w:val="bottom"/>
            <w:hideMark/>
          </w:tcPr>
          <w:p w:rsidR="00BA7786" w:rsidRPr="00B4142E" w:rsidRDefault="00BA7786" w:rsidP="00BA7786">
            <w:pPr>
              <w:spacing w:after="0" w:line="240" w:lineRule="auto"/>
              <w:jc w:val="right"/>
              <w:rPr>
                <w:rFonts w:ascii="Calibri" w:eastAsia="Times New Roman" w:hAnsi="Calibri" w:cs="Times New Roman"/>
                <w:color w:val="000000"/>
                <w:sz w:val="16"/>
                <w:szCs w:val="16"/>
                <w:lang w:eastAsia="es-ES"/>
              </w:rPr>
            </w:pPr>
            <w:r w:rsidRPr="00B4142E">
              <w:rPr>
                <w:rFonts w:ascii="Calibri" w:eastAsia="Times New Roman" w:hAnsi="Calibri" w:cs="Times New Roman"/>
                <w:color w:val="000000"/>
                <w:sz w:val="16"/>
                <w:szCs w:val="16"/>
                <w:lang w:eastAsia="es-ES"/>
              </w:rPr>
              <w:t>22,672.04</w:t>
            </w:r>
          </w:p>
        </w:tc>
        <w:tc>
          <w:tcPr>
            <w:tcW w:w="1547" w:type="dxa"/>
            <w:tcBorders>
              <w:top w:val="nil"/>
              <w:left w:val="nil"/>
              <w:bottom w:val="nil"/>
              <w:right w:val="nil"/>
            </w:tcBorders>
            <w:shd w:val="clear" w:color="auto" w:fill="auto"/>
            <w:noWrap/>
            <w:vAlign w:val="bottom"/>
            <w:hideMark/>
          </w:tcPr>
          <w:p w:rsidR="00BA7786" w:rsidRPr="00B4142E" w:rsidRDefault="00BA7786" w:rsidP="00BA7786">
            <w:pPr>
              <w:spacing w:after="0" w:line="240" w:lineRule="auto"/>
              <w:jc w:val="right"/>
              <w:rPr>
                <w:rFonts w:ascii="Calibri" w:eastAsia="Times New Roman" w:hAnsi="Calibri" w:cs="Times New Roman"/>
                <w:color w:val="000000"/>
                <w:sz w:val="16"/>
                <w:szCs w:val="16"/>
                <w:lang w:eastAsia="es-ES"/>
              </w:rPr>
            </w:pPr>
            <w:r w:rsidRPr="00B4142E">
              <w:rPr>
                <w:rFonts w:ascii="Calibri" w:eastAsia="Times New Roman" w:hAnsi="Calibri" w:cs="Times New Roman"/>
                <w:color w:val="000000"/>
                <w:sz w:val="16"/>
                <w:szCs w:val="16"/>
                <w:lang w:eastAsia="es-ES"/>
              </w:rPr>
              <w:t>22,945.23</w:t>
            </w:r>
          </w:p>
        </w:tc>
      </w:tr>
    </w:tbl>
    <w:p w:rsidR="00D04271" w:rsidRPr="00B54FAC" w:rsidRDefault="00965D8D" w:rsidP="00640AF6">
      <w:pPr>
        <w:rPr>
          <w:sz w:val="16"/>
          <w:szCs w:val="16"/>
          <w:lang w:val="en-US" w:eastAsia="es-ES"/>
        </w:rPr>
      </w:pPr>
      <w:r w:rsidRPr="00B54FAC">
        <w:rPr>
          <w:sz w:val="16"/>
          <w:szCs w:val="16"/>
          <w:lang w:val="en-US" w:eastAsia="es-ES"/>
        </w:rPr>
        <w:t>Source</w:t>
      </w:r>
      <w:r w:rsidR="00892AAC" w:rsidRPr="00B54FAC">
        <w:rPr>
          <w:sz w:val="16"/>
          <w:szCs w:val="16"/>
          <w:lang w:val="en-US" w:eastAsia="es-ES"/>
        </w:rPr>
        <w:t xml:space="preserve">: </w:t>
      </w:r>
      <w:r w:rsidR="00B54FAC" w:rsidRPr="00B54FAC">
        <w:rPr>
          <w:sz w:val="16"/>
          <w:szCs w:val="16"/>
          <w:lang w:val="en-US" w:eastAsia="es-ES"/>
        </w:rPr>
        <w:t>M</w:t>
      </w:r>
      <w:r w:rsidR="00B54FAC">
        <w:rPr>
          <w:sz w:val="16"/>
          <w:szCs w:val="16"/>
          <w:lang w:val="en-US" w:eastAsia="es-ES"/>
        </w:rPr>
        <w:t>i</w:t>
      </w:r>
      <w:r w:rsidR="00B54FAC" w:rsidRPr="00B54FAC">
        <w:rPr>
          <w:sz w:val="16"/>
          <w:szCs w:val="16"/>
          <w:lang w:val="en-US" w:eastAsia="es-ES"/>
        </w:rPr>
        <w:t>nistry of Economics and Finan</w:t>
      </w:r>
      <w:r w:rsidR="00B54FAC">
        <w:rPr>
          <w:sz w:val="16"/>
          <w:szCs w:val="16"/>
          <w:lang w:val="en-US" w:eastAsia="es-ES"/>
        </w:rPr>
        <w:t>ce</w:t>
      </w:r>
      <w:r w:rsidRPr="00B54FAC">
        <w:rPr>
          <w:sz w:val="16"/>
          <w:szCs w:val="16"/>
          <w:lang w:val="en-US" w:eastAsia="es-ES"/>
        </w:rPr>
        <w:t xml:space="preserve"> – </w:t>
      </w:r>
      <w:proofErr w:type="spellStart"/>
      <w:r w:rsidRPr="00B54FAC">
        <w:rPr>
          <w:sz w:val="16"/>
          <w:szCs w:val="16"/>
          <w:lang w:val="en-US" w:eastAsia="es-ES"/>
        </w:rPr>
        <w:t>Transparencia</w:t>
      </w:r>
      <w:proofErr w:type="spellEnd"/>
      <w:r w:rsidRPr="00B54FAC">
        <w:rPr>
          <w:sz w:val="16"/>
          <w:szCs w:val="16"/>
          <w:lang w:val="en-US" w:eastAsia="es-ES"/>
        </w:rPr>
        <w:t xml:space="preserve"> </w:t>
      </w:r>
      <w:proofErr w:type="spellStart"/>
      <w:r w:rsidRPr="00B54FAC">
        <w:rPr>
          <w:sz w:val="16"/>
          <w:szCs w:val="16"/>
          <w:lang w:val="en-US" w:eastAsia="es-ES"/>
        </w:rPr>
        <w:t>Económica</w:t>
      </w:r>
      <w:proofErr w:type="spellEnd"/>
    </w:p>
    <w:p w:rsidR="00E25DE7" w:rsidRPr="00B54FAC" w:rsidRDefault="00E25DE7" w:rsidP="00640AF6">
      <w:pPr>
        <w:rPr>
          <w:rFonts w:eastAsia="Times New Roman"/>
          <w:lang w:val="en-US" w:eastAsia="es-ES"/>
        </w:rPr>
      </w:pPr>
      <w:r w:rsidRPr="00B54FAC">
        <w:rPr>
          <w:rFonts w:eastAsia="Times New Roman"/>
          <w:lang w:val="en-US" w:eastAsia="es-ES"/>
        </w:rPr>
        <w:br w:type="page"/>
      </w:r>
    </w:p>
    <w:p w:rsidR="00487FEC" w:rsidRPr="00631D93" w:rsidRDefault="00631D93" w:rsidP="00BA7786">
      <w:pPr>
        <w:pStyle w:val="Caption"/>
        <w:spacing w:after="0" w:line="276" w:lineRule="auto"/>
        <w:jc w:val="center"/>
        <w:rPr>
          <w:rFonts w:eastAsia="Times New Roman"/>
          <w:sz w:val="22"/>
          <w:szCs w:val="22"/>
          <w:lang w:val="en-US" w:eastAsia="es-ES"/>
        </w:rPr>
      </w:pPr>
      <w:r w:rsidRPr="00631D93">
        <w:rPr>
          <w:sz w:val="22"/>
          <w:szCs w:val="22"/>
          <w:lang w:val="en-US"/>
        </w:rPr>
        <w:lastRenderedPageBreak/>
        <w:t>Table 5</w:t>
      </w:r>
      <w:r w:rsidR="00753383" w:rsidRPr="00631D93">
        <w:rPr>
          <w:sz w:val="22"/>
          <w:szCs w:val="22"/>
          <w:lang w:val="en-US"/>
        </w:rPr>
        <w:t>: Recurrent and capital spending by facility level, percentage (%)</w:t>
      </w:r>
    </w:p>
    <w:tbl>
      <w:tblPr>
        <w:tblW w:w="7619" w:type="dxa"/>
        <w:jc w:val="center"/>
        <w:tblInd w:w="70" w:type="dxa"/>
        <w:tblCellMar>
          <w:left w:w="70" w:type="dxa"/>
          <w:right w:w="70" w:type="dxa"/>
        </w:tblCellMar>
        <w:tblLook w:val="04A0"/>
      </w:tblPr>
      <w:tblGrid>
        <w:gridCol w:w="1623"/>
        <w:gridCol w:w="799"/>
        <w:gridCol w:w="1197"/>
        <w:gridCol w:w="1197"/>
        <w:gridCol w:w="1553"/>
        <w:gridCol w:w="1250"/>
      </w:tblGrid>
      <w:tr w:rsidR="00BA7786" w:rsidRPr="00B4142E" w:rsidTr="00B4142E">
        <w:trPr>
          <w:trHeight w:val="326"/>
          <w:jc w:val="center"/>
        </w:trPr>
        <w:tc>
          <w:tcPr>
            <w:tcW w:w="1623" w:type="dxa"/>
            <w:tcBorders>
              <w:top w:val="nil"/>
              <w:left w:val="nil"/>
              <w:bottom w:val="nil"/>
              <w:right w:val="nil"/>
            </w:tcBorders>
            <w:shd w:val="clear" w:color="000000" w:fill="B2A1C7"/>
            <w:noWrap/>
            <w:vAlign w:val="bottom"/>
            <w:hideMark/>
          </w:tcPr>
          <w:p w:rsidR="00BA7786" w:rsidRPr="00B4142E" w:rsidRDefault="00BA7786" w:rsidP="00BA7786">
            <w:pPr>
              <w:spacing w:after="0" w:line="240" w:lineRule="auto"/>
              <w:rPr>
                <w:rFonts w:ascii="Calibri" w:eastAsia="Times New Roman" w:hAnsi="Calibri" w:cs="Times New Roman"/>
                <w:color w:val="000000"/>
                <w:sz w:val="16"/>
                <w:szCs w:val="16"/>
                <w:lang w:val="en-US" w:eastAsia="es-ES"/>
              </w:rPr>
            </w:pPr>
            <w:r w:rsidRPr="00B4142E">
              <w:rPr>
                <w:rFonts w:ascii="Calibri" w:eastAsia="Times New Roman" w:hAnsi="Calibri" w:cs="Times New Roman"/>
                <w:color w:val="000000"/>
                <w:sz w:val="16"/>
                <w:szCs w:val="16"/>
                <w:lang w:val="en-US" w:eastAsia="es-ES"/>
              </w:rPr>
              <w:t> </w:t>
            </w:r>
          </w:p>
        </w:tc>
        <w:tc>
          <w:tcPr>
            <w:tcW w:w="799" w:type="dxa"/>
            <w:tcBorders>
              <w:top w:val="nil"/>
              <w:left w:val="nil"/>
              <w:bottom w:val="nil"/>
              <w:right w:val="nil"/>
            </w:tcBorders>
            <w:shd w:val="clear" w:color="000000" w:fill="B2A1C7"/>
            <w:vAlign w:val="center"/>
            <w:hideMark/>
          </w:tcPr>
          <w:p w:rsidR="00BA7786" w:rsidRPr="00B4142E" w:rsidRDefault="00BA7786" w:rsidP="00BA7786">
            <w:pPr>
              <w:spacing w:after="0" w:line="240" w:lineRule="auto"/>
              <w:jc w:val="center"/>
              <w:rPr>
                <w:rFonts w:ascii="Calibri" w:eastAsia="Times New Roman" w:hAnsi="Calibri" w:cs="Times New Roman"/>
                <w:b/>
                <w:bCs/>
                <w:color w:val="000000"/>
                <w:sz w:val="16"/>
                <w:szCs w:val="16"/>
                <w:lang w:eastAsia="es-ES"/>
              </w:rPr>
            </w:pPr>
            <w:r w:rsidRPr="00B4142E">
              <w:rPr>
                <w:rFonts w:ascii="Calibri" w:eastAsia="Times New Roman" w:hAnsi="Calibri" w:cs="Times New Roman"/>
                <w:b/>
                <w:bCs/>
                <w:color w:val="000000"/>
                <w:sz w:val="16"/>
                <w:szCs w:val="16"/>
                <w:lang w:eastAsia="es-ES"/>
              </w:rPr>
              <w:t>2006</w:t>
            </w:r>
          </w:p>
        </w:tc>
        <w:tc>
          <w:tcPr>
            <w:tcW w:w="1197" w:type="dxa"/>
            <w:tcBorders>
              <w:top w:val="nil"/>
              <w:left w:val="nil"/>
              <w:bottom w:val="nil"/>
              <w:right w:val="nil"/>
            </w:tcBorders>
            <w:shd w:val="clear" w:color="000000" w:fill="B2A1C7"/>
            <w:vAlign w:val="center"/>
            <w:hideMark/>
          </w:tcPr>
          <w:p w:rsidR="00BA7786" w:rsidRPr="00B4142E" w:rsidRDefault="00BA7786" w:rsidP="00BA7786">
            <w:pPr>
              <w:spacing w:after="0" w:line="240" w:lineRule="auto"/>
              <w:jc w:val="center"/>
              <w:rPr>
                <w:rFonts w:ascii="Calibri" w:eastAsia="Times New Roman" w:hAnsi="Calibri" w:cs="Times New Roman"/>
                <w:b/>
                <w:bCs/>
                <w:color w:val="000000"/>
                <w:sz w:val="16"/>
                <w:szCs w:val="16"/>
                <w:lang w:eastAsia="es-ES"/>
              </w:rPr>
            </w:pPr>
            <w:r w:rsidRPr="00B4142E">
              <w:rPr>
                <w:rFonts w:ascii="Calibri" w:eastAsia="Times New Roman" w:hAnsi="Calibri" w:cs="Times New Roman"/>
                <w:b/>
                <w:bCs/>
                <w:color w:val="000000"/>
                <w:sz w:val="16"/>
                <w:szCs w:val="16"/>
                <w:lang w:eastAsia="es-ES"/>
              </w:rPr>
              <w:t>2007</w:t>
            </w:r>
          </w:p>
        </w:tc>
        <w:tc>
          <w:tcPr>
            <w:tcW w:w="1197" w:type="dxa"/>
            <w:tcBorders>
              <w:top w:val="nil"/>
              <w:left w:val="nil"/>
              <w:bottom w:val="nil"/>
              <w:right w:val="nil"/>
            </w:tcBorders>
            <w:shd w:val="clear" w:color="000000" w:fill="B2A1C7"/>
            <w:vAlign w:val="center"/>
            <w:hideMark/>
          </w:tcPr>
          <w:p w:rsidR="00BA7786" w:rsidRPr="00B4142E" w:rsidRDefault="00BA7786" w:rsidP="00BA7786">
            <w:pPr>
              <w:spacing w:after="0" w:line="240" w:lineRule="auto"/>
              <w:jc w:val="center"/>
              <w:rPr>
                <w:rFonts w:ascii="Calibri" w:eastAsia="Times New Roman" w:hAnsi="Calibri" w:cs="Times New Roman"/>
                <w:b/>
                <w:bCs/>
                <w:color w:val="000000"/>
                <w:sz w:val="16"/>
                <w:szCs w:val="16"/>
                <w:lang w:eastAsia="es-ES"/>
              </w:rPr>
            </w:pPr>
            <w:r w:rsidRPr="00B4142E">
              <w:rPr>
                <w:rFonts w:ascii="Calibri" w:eastAsia="Times New Roman" w:hAnsi="Calibri" w:cs="Times New Roman"/>
                <w:b/>
                <w:bCs/>
                <w:color w:val="000000"/>
                <w:sz w:val="16"/>
                <w:szCs w:val="16"/>
                <w:lang w:eastAsia="es-ES"/>
              </w:rPr>
              <w:t>2008</w:t>
            </w:r>
          </w:p>
        </w:tc>
        <w:tc>
          <w:tcPr>
            <w:tcW w:w="1553" w:type="dxa"/>
            <w:tcBorders>
              <w:top w:val="nil"/>
              <w:left w:val="nil"/>
              <w:bottom w:val="nil"/>
              <w:right w:val="nil"/>
            </w:tcBorders>
            <w:shd w:val="clear" w:color="000000" w:fill="B2A1C7"/>
            <w:vAlign w:val="center"/>
            <w:hideMark/>
          </w:tcPr>
          <w:p w:rsidR="00BA7786" w:rsidRPr="00B4142E" w:rsidRDefault="00BA7786" w:rsidP="00BA7786">
            <w:pPr>
              <w:spacing w:after="0" w:line="240" w:lineRule="auto"/>
              <w:jc w:val="center"/>
              <w:rPr>
                <w:rFonts w:ascii="Calibri" w:eastAsia="Times New Roman" w:hAnsi="Calibri" w:cs="Times New Roman"/>
                <w:b/>
                <w:bCs/>
                <w:color w:val="000000"/>
                <w:sz w:val="16"/>
                <w:szCs w:val="16"/>
                <w:lang w:eastAsia="es-ES"/>
              </w:rPr>
            </w:pPr>
            <w:r w:rsidRPr="00B4142E">
              <w:rPr>
                <w:rFonts w:ascii="Calibri" w:eastAsia="Times New Roman" w:hAnsi="Calibri" w:cs="Times New Roman"/>
                <w:b/>
                <w:bCs/>
                <w:color w:val="000000"/>
                <w:sz w:val="16"/>
                <w:szCs w:val="16"/>
                <w:lang w:eastAsia="es-ES"/>
              </w:rPr>
              <w:t>2009</w:t>
            </w:r>
          </w:p>
        </w:tc>
        <w:tc>
          <w:tcPr>
            <w:tcW w:w="1250" w:type="dxa"/>
            <w:tcBorders>
              <w:top w:val="nil"/>
              <w:left w:val="nil"/>
              <w:bottom w:val="nil"/>
              <w:right w:val="nil"/>
            </w:tcBorders>
            <w:shd w:val="clear" w:color="000000" w:fill="B2A1C7"/>
            <w:vAlign w:val="center"/>
            <w:hideMark/>
          </w:tcPr>
          <w:p w:rsidR="00BA7786" w:rsidRPr="00B4142E" w:rsidRDefault="00BA7786" w:rsidP="00BA7786">
            <w:pPr>
              <w:spacing w:after="0" w:line="240" w:lineRule="auto"/>
              <w:jc w:val="center"/>
              <w:rPr>
                <w:rFonts w:ascii="Calibri" w:eastAsia="Times New Roman" w:hAnsi="Calibri" w:cs="Times New Roman"/>
                <w:b/>
                <w:bCs/>
                <w:color w:val="000000"/>
                <w:sz w:val="16"/>
                <w:szCs w:val="16"/>
                <w:lang w:eastAsia="es-ES"/>
              </w:rPr>
            </w:pPr>
            <w:r w:rsidRPr="00B4142E">
              <w:rPr>
                <w:rFonts w:ascii="Calibri" w:eastAsia="Times New Roman" w:hAnsi="Calibri" w:cs="Times New Roman"/>
                <w:b/>
                <w:bCs/>
                <w:color w:val="000000"/>
                <w:sz w:val="16"/>
                <w:szCs w:val="16"/>
                <w:lang w:eastAsia="es-ES"/>
              </w:rPr>
              <w:t>2010 (</w:t>
            </w:r>
            <w:proofErr w:type="spellStart"/>
            <w:r w:rsidRPr="00B4142E">
              <w:rPr>
                <w:rFonts w:ascii="Calibri" w:eastAsia="Times New Roman" w:hAnsi="Calibri" w:cs="Times New Roman"/>
                <w:b/>
                <w:bCs/>
                <w:color w:val="000000"/>
                <w:sz w:val="16"/>
                <w:szCs w:val="16"/>
                <w:lang w:eastAsia="es-ES"/>
              </w:rPr>
              <w:t>Budgeted</w:t>
            </w:r>
            <w:proofErr w:type="spellEnd"/>
            <w:r w:rsidRPr="00B4142E">
              <w:rPr>
                <w:rFonts w:ascii="Calibri" w:eastAsia="Times New Roman" w:hAnsi="Calibri" w:cs="Times New Roman"/>
                <w:b/>
                <w:bCs/>
                <w:color w:val="000000"/>
                <w:sz w:val="16"/>
                <w:szCs w:val="16"/>
                <w:lang w:eastAsia="es-ES"/>
              </w:rPr>
              <w:t>)</w:t>
            </w:r>
          </w:p>
        </w:tc>
      </w:tr>
      <w:tr w:rsidR="00BA7786" w:rsidRPr="00B4142E" w:rsidTr="00B4142E">
        <w:trPr>
          <w:trHeight w:val="173"/>
          <w:jc w:val="center"/>
        </w:trPr>
        <w:tc>
          <w:tcPr>
            <w:tcW w:w="1623" w:type="dxa"/>
            <w:tcBorders>
              <w:top w:val="nil"/>
              <w:left w:val="nil"/>
              <w:bottom w:val="nil"/>
              <w:right w:val="nil"/>
            </w:tcBorders>
            <w:shd w:val="clear" w:color="000000" w:fill="CCCCFF"/>
            <w:noWrap/>
            <w:vAlign w:val="bottom"/>
            <w:hideMark/>
          </w:tcPr>
          <w:p w:rsidR="00BA7786" w:rsidRPr="00B4142E" w:rsidRDefault="00BA7786" w:rsidP="00BA7786">
            <w:pPr>
              <w:spacing w:after="0" w:line="240" w:lineRule="auto"/>
              <w:rPr>
                <w:rFonts w:ascii="Calibri" w:eastAsia="Times New Roman" w:hAnsi="Calibri" w:cs="Times New Roman"/>
                <w:b/>
                <w:bCs/>
                <w:color w:val="000000"/>
                <w:sz w:val="16"/>
                <w:szCs w:val="16"/>
                <w:lang w:eastAsia="es-ES"/>
              </w:rPr>
            </w:pPr>
            <w:proofErr w:type="spellStart"/>
            <w:r w:rsidRPr="00B4142E">
              <w:rPr>
                <w:rFonts w:ascii="Calibri" w:eastAsia="Times New Roman" w:hAnsi="Calibri" w:cs="Times New Roman"/>
                <w:b/>
                <w:bCs/>
                <w:color w:val="000000"/>
                <w:sz w:val="16"/>
                <w:szCs w:val="16"/>
                <w:lang w:eastAsia="es-ES"/>
              </w:rPr>
              <w:t>Preschool</w:t>
            </w:r>
            <w:proofErr w:type="spellEnd"/>
          </w:p>
        </w:tc>
        <w:tc>
          <w:tcPr>
            <w:tcW w:w="799" w:type="dxa"/>
            <w:tcBorders>
              <w:top w:val="nil"/>
              <w:left w:val="nil"/>
              <w:bottom w:val="nil"/>
              <w:right w:val="nil"/>
            </w:tcBorders>
            <w:shd w:val="clear" w:color="000000" w:fill="CCCCFF"/>
            <w:noWrap/>
            <w:vAlign w:val="bottom"/>
            <w:hideMark/>
          </w:tcPr>
          <w:p w:rsidR="00BA7786" w:rsidRPr="00B4142E" w:rsidRDefault="00BA7786" w:rsidP="00BA7786">
            <w:pPr>
              <w:spacing w:after="0" w:line="240" w:lineRule="auto"/>
              <w:rPr>
                <w:rFonts w:ascii="Calibri" w:eastAsia="Times New Roman" w:hAnsi="Calibri" w:cs="Times New Roman"/>
                <w:color w:val="000000"/>
                <w:sz w:val="16"/>
                <w:szCs w:val="16"/>
                <w:lang w:eastAsia="es-ES"/>
              </w:rPr>
            </w:pPr>
            <w:r w:rsidRPr="00B4142E">
              <w:rPr>
                <w:rFonts w:ascii="Calibri" w:eastAsia="Times New Roman" w:hAnsi="Calibri" w:cs="Times New Roman"/>
                <w:color w:val="000000"/>
                <w:sz w:val="16"/>
                <w:szCs w:val="16"/>
                <w:lang w:eastAsia="es-ES"/>
              </w:rPr>
              <w:t> </w:t>
            </w:r>
          </w:p>
        </w:tc>
        <w:tc>
          <w:tcPr>
            <w:tcW w:w="1197" w:type="dxa"/>
            <w:tcBorders>
              <w:top w:val="nil"/>
              <w:left w:val="nil"/>
              <w:bottom w:val="nil"/>
              <w:right w:val="nil"/>
            </w:tcBorders>
            <w:shd w:val="clear" w:color="000000" w:fill="CCCCFF"/>
            <w:noWrap/>
            <w:vAlign w:val="bottom"/>
            <w:hideMark/>
          </w:tcPr>
          <w:p w:rsidR="00BA7786" w:rsidRPr="00B4142E" w:rsidRDefault="00BA7786" w:rsidP="00BA7786">
            <w:pPr>
              <w:spacing w:after="0" w:line="240" w:lineRule="auto"/>
              <w:rPr>
                <w:rFonts w:ascii="Calibri" w:eastAsia="Times New Roman" w:hAnsi="Calibri" w:cs="Times New Roman"/>
                <w:color w:val="000000"/>
                <w:sz w:val="16"/>
                <w:szCs w:val="16"/>
                <w:lang w:eastAsia="es-ES"/>
              </w:rPr>
            </w:pPr>
            <w:r w:rsidRPr="00B4142E">
              <w:rPr>
                <w:rFonts w:ascii="Calibri" w:eastAsia="Times New Roman" w:hAnsi="Calibri" w:cs="Times New Roman"/>
                <w:color w:val="000000"/>
                <w:sz w:val="16"/>
                <w:szCs w:val="16"/>
                <w:lang w:eastAsia="es-ES"/>
              </w:rPr>
              <w:t> </w:t>
            </w:r>
          </w:p>
        </w:tc>
        <w:tc>
          <w:tcPr>
            <w:tcW w:w="1197" w:type="dxa"/>
            <w:tcBorders>
              <w:top w:val="nil"/>
              <w:left w:val="nil"/>
              <w:bottom w:val="nil"/>
              <w:right w:val="nil"/>
            </w:tcBorders>
            <w:shd w:val="clear" w:color="000000" w:fill="CCCCFF"/>
            <w:noWrap/>
            <w:vAlign w:val="bottom"/>
            <w:hideMark/>
          </w:tcPr>
          <w:p w:rsidR="00BA7786" w:rsidRPr="00B4142E" w:rsidRDefault="00BA7786" w:rsidP="00BA7786">
            <w:pPr>
              <w:spacing w:after="0" w:line="240" w:lineRule="auto"/>
              <w:rPr>
                <w:rFonts w:ascii="Calibri" w:eastAsia="Times New Roman" w:hAnsi="Calibri" w:cs="Times New Roman"/>
                <w:color w:val="000000"/>
                <w:sz w:val="16"/>
                <w:szCs w:val="16"/>
                <w:lang w:eastAsia="es-ES"/>
              </w:rPr>
            </w:pPr>
            <w:r w:rsidRPr="00B4142E">
              <w:rPr>
                <w:rFonts w:ascii="Calibri" w:eastAsia="Times New Roman" w:hAnsi="Calibri" w:cs="Times New Roman"/>
                <w:color w:val="000000"/>
                <w:sz w:val="16"/>
                <w:szCs w:val="16"/>
                <w:lang w:eastAsia="es-ES"/>
              </w:rPr>
              <w:t> </w:t>
            </w:r>
          </w:p>
        </w:tc>
        <w:tc>
          <w:tcPr>
            <w:tcW w:w="1553" w:type="dxa"/>
            <w:tcBorders>
              <w:top w:val="nil"/>
              <w:left w:val="nil"/>
              <w:bottom w:val="nil"/>
              <w:right w:val="nil"/>
            </w:tcBorders>
            <w:shd w:val="clear" w:color="000000" w:fill="CCCCFF"/>
            <w:noWrap/>
            <w:vAlign w:val="bottom"/>
            <w:hideMark/>
          </w:tcPr>
          <w:p w:rsidR="00BA7786" w:rsidRPr="00B4142E" w:rsidRDefault="00BA7786" w:rsidP="00BA7786">
            <w:pPr>
              <w:spacing w:after="0" w:line="240" w:lineRule="auto"/>
              <w:rPr>
                <w:rFonts w:ascii="Calibri" w:eastAsia="Times New Roman" w:hAnsi="Calibri" w:cs="Times New Roman"/>
                <w:color w:val="000000"/>
                <w:sz w:val="16"/>
                <w:szCs w:val="16"/>
                <w:lang w:eastAsia="es-ES"/>
              </w:rPr>
            </w:pPr>
            <w:r w:rsidRPr="00B4142E">
              <w:rPr>
                <w:rFonts w:ascii="Calibri" w:eastAsia="Times New Roman" w:hAnsi="Calibri" w:cs="Times New Roman"/>
                <w:color w:val="000000"/>
                <w:sz w:val="16"/>
                <w:szCs w:val="16"/>
                <w:lang w:eastAsia="es-ES"/>
              </w:rPr>
              <w:t> </w:t>
            </w:r>
          </w:p>
        </w:tc>
        <w:tc>
          <w:tcPr>
            <w:tcW w:w="1250" w:type="dxa"/>
            <w:tcBorders>
              <w:top w:val="nil"/>
              <w:left w:val="nil"/>
              <w:bottom w:val="nil"/>
              <w:right w:val="nil"/>
            </w:tcBorders>
            <w:shd w:val="clear" w:color="000000" w:fill="CCCCFF"/>
            <w:noWrap/>
            <w:vAlign w:val="bottom"/>
            <w:hideMark/>
          </w:tcPr>
          <w:p w:rsidR="00BA7786" w:rsidRPr="00B4142E" w:rsidRDefault="00BA7786" w:rsidP="00BA7786">
            <w:pPr>
              <w:spacing w:after="0" w:line="240" w:lineRule="auto"/>
              <w:rPr>
                <w:rFonts w:ascii="Calibri" w:eastAsia="Times New Roman" w:hAnsi="Calibri" w:cs="Times New Roman"/>
                <w:color w:val="000000"/>
                <w:sz w:val="16"/>
                <w:szCs w:val="16"/>
                <w:lang w:eastAsia="es-ES"/>
              </w:rPr>
            </w:pPr>
            <w:r w:rsidRPr="00B4142E">
              <w:rPr>
                <w:rFonts w:ascii="Calibri" w:eastAsia="Times New Roman" w:hAnsi="Calibri" w:cs="Times New Roman"/>
                <w:color w:val="000000"/>
                <w:sz w:val="16"/>
                <w:szCs w:val="16"/>
                <w:lang w:eastAsia="es-ES"/>
              </w:rPr>
              <w:t> </w:t>
            </w:r>
          </w:p>
        </w:tc>
      </w:tr>
      <w:tr w:rsidR="00BA7786" w:rsidRPr="00B4142E" w:rsidTr="00B54FAC">
        <w:trPr>
          <w:trHeight w:val="300"/>
          <w:jc w:val="center"/>
        </w:trPr>
        <w:tc>
          <w:tcPr>
            <w:tcW w:w="1623" w:type="dxa"/>
            <w:tcBorders>
              <w:top w:val="nil"/>
              <w:left w:val="nil"/>
              <w:bottom w:val="nil"/>
              <w:right w:val="nil"/>
            </w:tcBorders>
            <w:shd w:val="clear" w:color="auto" w:fill="auto"/>
            <w:noWrap/>
            <w:vAlign w:val="bottom"/>
            <w:hideMark/>
          </w:tcPr>
          <w:p w:rsidR="00BA7786" w:rsidRPr="00B4142E" w:rsidRDefault="00BA7786" w:rsidP="00BA7786">
            <w:pPr>
              <w:spacing w:after="0" w:line="240" w:lineRule="auto"/>
              <w:rPr>
                <w:rFonts w:ascii="Calibri" w:eastAsia="Times New Roman" w:hAnsi="Calibri" w:cs="Times New Roman"/>
                <w:color w:val="000000"/>
                <w:sz w:val="16"/>
                <w:szCs w:val="16"/>
                <w:lang w:eastAsia="es-ES"/>
              </w:rPr>
            </w:pPr>
            <w:r w:rsidRPr="00B4142E">
              <w:rPr>
                <w:rFonts w:ascii="Calibri" w:eastAsia="Times New Roman" w:hAnsi="Calibri" w:cs="Times New Roman"/>
                <w:color w:val="000000"/>
                <w:sz w:val="16"/>
                <w:szCs w:val="16"/>
                <w:lang w:eastAsia="es-ES"/>
              </w:rPr>
              <w:t>% Total</w:t>
            </w:r>
          </w:p>
        </w:tc>
        <w:tc>
          <w:tcPr>
            <w:tcW w:w="799" w:type="dxa"/>
            <w:tcBorders>
              <w:top w:val="nil"/>
              <w:left w:val="nil"/>
              <w:bottom w:val="nil"/>
              <w:right w:val="nil"/>
            </w:tcBorders>
            <w:shd w:val="clear" w:color="auto" w:fill="auto"/>
            <w:noWrap/>
            <w:vAlign w:val="bottom"/>
            <w:hideMark/>
          </w:tcPr>
          <w:p w:rsidR="00BA7786" w:rsidRPr="00B4142E" w:rsidRDefault="00BA7786" w:rsidP="00BA7786">
            <w:pPr>
              <w:spacing w:after="0" w:line="240" w:lineRule="auto"/>
              <w:rPr>
                <w:rFonts w:ascii="Calibri" w:eastAsia="Times New Roman" w:hAnsi="Calibri" w:cs="Times New Roman"/>
                <w:color w:val="000000"/>
                <w:sz w:val="16"/>
                <w:szCs w:val="16"/>
                <w:lang w:eastAsia="es-ES"/>
              </w:rPr>
            </w:pPr>
          </w:p>
        </w:tc>
        <w:tc>
          <w:tcPr>
            <w:tcW w:w="1197" w:type="dxa"/>
            <w:tcBorders>
              <w:top w:val="nil"/>
              <w:left w:val="nil"/>
              <w:bottom w:val="nil"/>
              <w:right w:val="nil"/>
            </w:tcBorders>
            <w:shd w:val="clear" w:color="auto" w:fill="auto"/>
            <w:noWrap/>
            <w:vAlign w:val="bottom"/>
            <w:hideMark/>
          </w:tcPr>
          <w:p w:rsidR="00BA7786" w:rsidRPr="00B4142E" w:rsidRDefault="00BA7786" w:rsidP="00BA7786">
            <w:pPr>
              <w:spacing w:after="0" w:line="240" w:lineRule="auto"/>
              <w:rPr>
                <w:rFonts w:ascii="Calibri" w:eastAsia="Times New Roman" w:hAnsi="Calibri" w:cs="Times New Roman"/>
                <w:color w:val="000000"/>
                <w:sz w:val="16"/>
                <w:szCs w:val="16"/>
                <w:lang w:eastAsia="es-ES"/>
              </w:rPr>
            </w:pPr>
          </w:p>
        </w:tc>
        <w:tc>
          <w:tcPr>
            <w:tcW w:w="1197" w:type="dxa"/>
            <w:tcBorders>
              <w:top w:val="nil"/>
              <w:left w:val="nil"/>
              <w:bottom w:val="nil"/>
              <w:right w:val="nil"/>
            </w:tcBorders>
            <w:shd w:val="clear" w:color="auto" w:fill="auto"/>
            <w:noWrap/>
            <w:vAlign w:val="bottom"/>
            <w:hideMark/>
          </w:tcPr>
          <w:p w:rsidR="00BA7786" w:rsidRPr="00B4142E" w:rsidRDefault="00BA7786" w:rsidP="00BA7786">
            <w:pPr>
              <w:spacing w:after="0" w:line="240" w:lineRule="auto"/>
              <w:rPr>
                <w:rFonts w:ascii="Calibri" w:eastAsia="Times New Roman" w:hAnsi="Calibri" w:cs="Times New Roman"/>
                <w:color w:val="000000"/>
                <w:sz w:val="16"/>
                <w:szCs w:val="16"/>
                <w:lang w:eastAsia="es-ES"/>
              </w:rPr>
            </w:pPr>
          </w:p>
        </w:tc>
        <w:tc>
          <w:tcPr>
            <w:tcW w:w="1553" w:type="dxa"/>
            <w:tcBorders>
              <w:top w:val="nil"/>
              <w:left w:val="nil"/>
              <w:bottom w:val="nil"/>
              <w:right w:val="nil"/>
            </w:tcBorders>
            <w:shd w:val="clear" w:color="auto" w:fill="auto"/>
            <w:noWrap/>
            <w:vAlign w:val="bottom"/>
            <w:hideMark/>
          </w:tcPr>
          <w:p w:rsidR="00BA7786" w:rsidRPr="00B4142E" w:rsidRDefault="00BA7786" w:rsidP="00BA7786">
            <w:pPr>
              <w:spacing w:after="0" w:line="240" w:lineRule="auto"/>
              <w:rPr>
                <w:rFonts w:ascii="Calibri" w:eastAsia="Times New Roman" w:hAnsi="Calibri" w:cs="Times New Roman"/>
                <w:color w:val="000000"/>
                <w:sz w:val="16"/>
                <w:szCs w:val="16"/>
                <w:lang w:eastAsia="es-ES"/>
              </w:rPr>
            </w:pPr>
          </w:p>
        </w:tc>
        <w:tc>
          <w:tcPr>
            <w:tcW w:w="1250" w:type="dxa"/>
            <w:tcBorders>
              <w:top w:val="nil"/>
              <w:left w:val="nil"/>
              <w:bottom w:val="nil"/>
              <w:right w:val="nil"/>
            </w:tcBorders>
            <w:shd w:val="clear" w:color="auto" w:fill="auto"/>
            <w:noWrap/>
            <w:vAlign w:val="bottom"/>
            <w:hideMark/>
          </w:tcPr>
          <w:p w:rsidR="00BA7786" w:rsidRPr="00B4142E" w:rsidRDefault="00BA7786" w:rsidP="00BA7786">
            <w:pPr>
              <w:spacing w:after="0" w:line="240" w:lineRule="auto"/>
              <w:rPr>
                <w:rFonts w:ascii="Calibri" w:eastAsia="Times New Roman" w:hAnsi="Calibri" w:cs="Times New Roman"/>
                <w:color w:val="000000"/>
                <w:sz w:val="16"/>
                <w:szCs w:val="16"/>
                <w:lang w:eastAsia="es-ES"/>
              </w:rPr>
            </w:pPr>
          </w:p>
        </w:tc>
      </w:tr>
      <w:tr w:rsidR="00BA7786" w:rsidRPr="00B4142E" w:rsidTr="00B54FAC">
        <w:trPr>
          <w:trHeight w:val="300"/>
          <w:jc w:val="center"/>
        </w:trPr>
        <w:tc>
          <w:tcPr>
            <w:tcW w:w="1623" w:type="dxa"/>
            <w:tcBorders>
              <w:top w:val="nil"/>
              <w:left w:val="nil"/>
              <w:bottom w:val="nil"/>
              <w:right w:val="nil"/>
            </w:tcBorders>
            <w:shd w:val="clear" w:color="auto" w:fill="auto"/>
            <w:noWrap/>
            <w:vAlign w:val="bottom"/>
            <w:hideMark/>
          </w:tcPr>
          <w:p w:rsidR="00BA7786" w:rsidRPr="00B4142E" w:rsidRDefault="00BA7786" w:rsidP="00BA7786">
            <w:pPr>
              <w:spacing w:after="0" w:line="240" w:lineRule="auto"/>
              <w:rPr>
                <w:rFonts w:ascii="Calibri" w:eastAsia="Times New Roman" w:hAnsi="Calibri" w:cs="Times New Roman"/>
                <w:color w:val="000000"/>
                <w:sz w:val="16"/>
                <w:szCs w:val="16"/>
                <w:lang w:eastAsia="es-ES"/>
              </w:rPr>
            </w:pPr>
            <w:proofErr w:type="spellStart"/>
            <w:r w:rsidRPr="00B4142E">
              <w:rPr>
                <w:rFonts w:ascii="Calibri" w:eastAsia="Times New Roman" w:hAnsi="Calibri" w:cs="Times New Roman"/>
                <w:color w:val="000000"/>
                <w:sz w:val="16"/>
                <w:szCs w:val="16"/>
                <w:lang w:eastAsia="es-ES"/>
              </w:rPr>
              <w:t>Recurrent</w:t>
            </w:r>
            <w:proofErr w:type="spellEnd"/>
          </w:p>
        </w:tc>
        <w:tc>
          <w:tcPr>
            <w:tcW w:w="799" w:type="dxa"/>
            <w:tcBorders>
              <w:top w:val="nil"/>
              <w:left w:val="nil"/>
              <w:bottom w:val="nil"/>
              <w:right w:val="nil"/>
            </w:tcBorders>
            <w:shd w:val="clear" w:color="auto" w:fill="auto"/>
            <w:noWrap/>
            <w:vAlign w:val="bottom"/>
            <w:hideMark/>
          </w:tcPr>
          <w:p w:rsidR="00BA7786" w:rsidRPr="00B4142E" w:rsidRDefault="00BA7786" w:rsidP="00BA7786">
            <w:pPr>
              <w:spacing w:after="0" w:line="240" w:lineRule="auto"/>
              <w:jc w:val="right"/>
              <w:rPr>
                <w:rFonts w:ascii="Calibri" w:eastAsia="Times New Roman" w:hAnsi="Calibri" w:cs="Times New Roman"/>
                <w:color w:val="000000"/>
                <w:sz w:val="16"/>
                <w:szCs w:val="16"/>
                <w:lang w:eastAsia="es-ES"/>
              </w:rPr>
            </w:pPr>
            <w:r w:rsidRPr="00B4142E">
              <w:rPr>
                <w:rFonts w:ascii="Calibri" w:eastAsia="Times New Roman" w:hAnsi="Calibri" w:cs="Times New Roman"/>
                <w:color w:val="000000"/>
                <w:sz w:val="16"/>
                <w:szCs w:val="16"/>
                <w:lang w:eastAsia="es-ES"/>
              </w:rPr>
              <w:t>98.71%</w:t>
            </w:r>
          </w:p>
        </w:tc>
        <w:tc>
          <w:tcPr>
            <w:tcW w:w="1197" w:type="dxa"/>
            <w:tcBorders>
              <w:top w:val="nil"/>
              <w:left w:val="nil"/>
              <w:bottom w:val="nil"/>
              <w:right w:val="nil"/>
            </w:tcBorders>
            <w:shd w:val="clear" w:color="auto" w:fill="auto"/>
            <w:noWrap/>
            <w:vAlign w:val="bottom"/>
            <w:hideMark/>
          </w:tcPr>
          <w:p w:rsidR="00BA7786" w:rsidRPr="00B4142E" w:rsidRDefault="00BA7786" w:rsidP="00BA7786">
            <w:pPr>
              <w:spacing w:after="0" w:line="240" w:lineRule="auto"/>
              <w:jc w:val="right"/>
              <w:rPr>
                <w:rFonts w:ascii="Calibri" w:eastAsia="Times New Roman" w:hAnsi="Calibri" w:cs="Times New Roman"/>
                <w:color w:val="000000"/>
                <w:sz w:val="16"/>
                <w:szCs w:val="16"/>
                <w:lang w:eastAsia="es-ES"/>
              </w:rPr>
            </w:pPr>
            <w:r w:rsidRPr="00B4142E">
              <w:rPr>
                <w:rFonts w:ascii="Calibri" w:eastAsia="Times New Roman" w:hAnsi="Calibri" w:cs="Times New Roman"/>
                <w:color w:val="000000"/>
                <w:sz w:val="16"/>
                <w:szCs w:val="16"/>
                <w:lang w:eastAsia="es-ES"/>
              </w:rPr>
              <w:t>98.20%</w:t>
            </w:r>
          </w:p>
        </w:tc>
        <w:tc>
          <w:tcPr>
            <w:tcW w:w="1197" w:type="dxa"/>
            <w:tcBorders>
              <w:top w:val="nil"/>
              <w:left w:val="nil"/>
              <w:bottom w:val="nil"/>
              <w:right w:val="nil"/>
            </w:tcBorders>
            <w:shd w:val="clear" w:color="auto" w:fill="auto"/>
            <w:noWrap/>
            <w:vAlign w:val="bottom"/>
            <w:hideMark/>
          </w:tcPr>
          <w:p w:rsidR="00BA7786" w:rsidRPr="00B4142E" w:rsidRDefault="00BA7786" w:rsidP="00BA7786">
            <w:pPr>
              <w:spacing w:after="0" w:line="240" w:lineRule="auto"/>
              <w:jc w:val="right"/>
              <w:rPr>
                <w:rFonts w:ascii="Calibri" w:eastAsia="Times New Roman" w:hAnsi="Calibri" w:cs="Times New Roman"/>
                <w:color w:val="000000"/>
                <w:sz w:val="16"/>
                <w:szCs w:val="16"/>
                <w:lang w:eastAsia="es-ES"/>
              </w:rPr>
            </w:pPr>
            <w:r w:rsidRPr="00B4142E">
              <w:rPr>
                <w:rFonts w:ascii="Calibri" w:eastAsia="Times New Roman" w:hAnsi="Calibri" w:cs="Times New Roman"/>
                <w:color w:val="000000"/>
                <w:sz w:val="16"/>
                <w:szCs w:val="16"/>
                <w:lang w:eastAsia="es-ES"/>
              </w:rPr>
              <w:t>98.50%</w:t>
            </w:r>
          </w:p>
        </w:tc>
        <w:tc>
          <w:tcPr>
            <w:tcW w:w="1553" w:type="dxa"/>
            <w:tcBorders>
              <w:top w:val="nil"/>
              <w:left w:val="nil"/>
              <w:bottom w:val="nil"/>
              <w:right w:val="nil"/>
            </w:tcBorders>
            <w:shd w:val="clear" w:color="auto" w:fill="auto"/>
            <w:noWrap/>
            <w:vAlign w:val="bottom"/>
            <w:hideMark/>
          </w:tcPr>
          <w:p w:rsidR="00BA7786" w:rsidRPr="00B4142E" w:rsidRDefault="00BA7786" w:rsidP="00BA7786">
            <w:pPr>
              <w:spacing w:after="0" w:line="240" w:lineRule="auto"/>
              <w:jc w:val="right"/>
              <w:rPr>
                <w:rFonts w:ascii="Calibri" w:eastAsia="Times New Roman" w:hAnsi="Calibri" w:cs="Times New Roman"/>
                <w:color w:val="000000"/>
                <w:sz w:val="16"/>
                <w:szCs w:val="16"/>
                <w:lang w:eastAsia="es-ES"/>
              </w:rPr>
            </w:pPr>
            <w:r w:rsidRPr="00B4142E">
              <w:rPr>
                <w:rFonts w:ascii="Calibri" w:eastAsia="Times New Roman" w:hAnsi="Calibri" w:cs="Times New Roman"/>
                <w:color w:val="000000"/>
                <w:sz w:val="16"/>
                <w:szCs w:val="16"/>
                <w:lang w:eastAsia="es-ES"/>
              </w:rPr>
              <w:t>98.72%</w:t>
            </w:r>
          </w:p>
        </w:tc>
        <w:tc>
          <w:tcPr>
            <w:tcW w:w="1250" w:type="dxa"/>
            <w:tcBorders>
              <w:top w:val="nil"/>
              <w:left w:val="nil"/>
              <w:bottom w:val="nil"/>
              <w:right w:val="nil"/>
            </w:tcBorders>
            <w:shd w:val="clear" w:color="auto" w:fill="auto"/>
            <w:noWrap/>
            <w:vAlign w:val="bottom"/>
            <w:hideMark/>
          </w:tcPr>
          <w:p w:rsidR="00BA7786" w:rsidRPr="00B4142E" w:rsidRDefault="00BA7786" w:rsidP="00BA7786">
            <w:pPr>
              <w:spacing w:after="0" w:line="240" w:lineRule="auto"/>
              <w:jc w:val="right"/>
              <w:rPr>
                <w:rFonts w:ascii="Calibri" w:eastAsia="Times New Roman" w:hAnsi="Calibri" w:cs="Times New Roman"/>
                <w:color w:val="000000"/>
                <w:sz w:val="16"/>
                <w:szCs w:val="16"/>
                <w:lang w:eastAsia="es-ES"/>
              </w:rPr>
            </w:pPr>
            <w:r w:rsidRPr="00B4142E">
              <w:rPr>
                <w:rFonts w:ascii="Calibri" w:eastAsia="Times New Roman" w:hAnsi="Calibri" w:cs="Times New Roman"/>
                <w:color w:val="000000"/>
                <w:sz w:val="16"/>
                <w:szCs w:val="16"/>
                <w:lang w:eastAsia="es-ES"/>
              </w:rPr>
              <w:t>98.72%</w:t>
            </w:r>
          </w:p>
        </w:tc>
      </w:tr>
      <w:tr w:rsidR="00BA7786" w:rsidRPr="00B4142E" w:rsidTr="00B54FAC">
        <w:trPr>
          <w:trHeight w:val="300"/>
          <w:jc w:val="center"/>
        </w:trPr>
        <w:tc>
          <w:tcPr>
            <w:tcW w:w="1623" w:type="dxa"/>
            <w:tcBorders>
              <w:top w:val="nil"/>
              <w:left w:val="nil"/>
              <w:bottom w:val="nil"/>
              <w:right w:val="nil"/>
            </w:tcBorders>
            <w:shd w:val="clear" w:color="auto" w:fill="auto"/>
            <w:noWrap/>
            <w:vAlign w:val="bottom"/>
            <w:hideMark/>
          </w:tcPr>
          <w:p w:rsidR="00BA7786" w:rsidRPr="00B4142E" w:rsidRDefault="00BA7786" w:rsidP="00BA7786">
            <w:pPr>
              <w:spacing w:after="0" w:line="240" w:lineRule="auto"/>
              <w:rPr>
                <w:rFonts w:ascii="Calibri" w:eastAsia="Times New Roman" w:hAnsi="Calibri" w:cs="Times New Roman"/>
                <w:color w:val="000000"/>
                <w:sz w:val="16"/>
                <w:szCs w:val="16"/>
                <w:lang w:eastAsia="es-ES"/>
              </w:rPr>
            </w:pPr>
            <w:r w:rsidRPr="00B4142E">
              <w:rPr>
                <w:rFonts w:ascii="Calibri" w:eastAsia="Times New Roman" w:hAnsi="Calibri" w:cs="Times New Roman"/>
                <w:color w:val="000000"/>
                <w:sz w:val="16"/>
                <w:szCs w:val="16"/>
                <w:lang w:eastAsia="es-ES"/>
              </w:rPr>
              <w:t>Capital</w:t>
            </w:r>
          </w:p>
        </w:tc>
        <w:tc>
          <w:tcPr>
            <w:tcW w:w="799" w:type="dxa"/>
            <w:tcBorders>
              <w:top w:val="nil"/>
              <w:left w:val="nil"/>
              <w:bottom w:val="nil"/>
              <w:right w:val="nil"/>
            </w:tcBorders>
            <w:shd w:val="clear" w:color="auto" w:fill="auto"/>
            <w:noWrap/>
            <w:vAlign w:val="bottom"/>
            <w:hideMark/>
          </w:tcPr>
          <w:p w:rsidR="00BA7786" w:rsidRPr="00B4142E" w:rsidRDefault="00BA7786" w:rsidP="00BA7786">
            <w:pPr>
              <w:spacing w:after="0" w:line="240" w:lineRule="auto"/>
              <w:jc w:val="right"/>
              <w:rPr>
                <w:rFonts w:ascii="Calibri" w:eastAsia="Times New Roman" w:hAnsi="Calibri" w:cs="Times New Roman"/>
                <w:color w:val="000000"/>
                <w:sz w:val="16"/>
                <w:szCs w:val="16"/>
                <w:lang w:eastAsia="es-ES"/>
              </w:rPr>
            </w:pPr>
            <w:r w:rsidRPr="00B4142E">
              <w:rPr>
                <w:rFonts w:ascii="Calibri" w:eastAsia="Times New Roman" w:hAnsi="Calibri" w:cs="Times New Roman"/>
                <w:color w:val="000000"/>
                <w:sz w:val="16"/>
                <w:szCs w:val="16"/>
                <w:lang w:eastAsia="es-ES"/>
              </w:rPr>
              <w:t>1.29%</w:t>
            </w:r>
          </w:p>
        </w:tc>
        <w:tc>
          <w:tcPr>
            <w:tcW w:w="1197" w:type="dxa"/>
            <w:tcBorders>
              <w:top w:val="nil"/>
              <w:left w:val="nil"/>
              <w:bottom w:val="nil"/>
              <w:right w:val="nil"/>
            </w:tcBorders>
            <w:shd w:val="clear" w:color="auto" w:fill="auto"/>
            <w:noWrap/>
            <w:vAlign w:val="bottom"/>
            <w:hideMark/>
          </w:tcPr>
          <w:p w:rsidR="00BA7786" w:rsidRPr="00B4142E" w:rsidRDefault="00BA7786" w:rsidP="00BA7786">
            <w:pPr>
              <w:spacing w:after="0" w:line="240" w:lineRule="auto"/>
              <w:jc w:val="right"/>
              <w:rPr>
                <w:rFonts w:ascii="Calibri" w:eastAsia="Times New Roman" w:hAnsi="Calibri" w:cs="Times New Roman"/>
                <w:color w:val="000000"/>
                <w:sz w:val="16"/>
                <w:szCs w:val="16"/>
                <w:lang w:eastAsia="es-ES"/>
              </w:rPr>
            </w:pPr>
            <w:r w:rsidRPr="00B4142E">
              <w:rPr>
                <w:rFonts w:ascii="Calibri" w:eastAsia="Times New Roman" w:hAnsi="Calibri" w:cs="Times New Roman"/>
                <w:color w:val="000000"/>
                <w:sz w:val="16"/>
                <w:szCs w:val="16"/>
                <w:lang w:eastAsia="es-ES"/>
              </w:rPr>
              <w:t>1.80%</w:t>
            </w:r>
          </w:p>
        </w:tc>
        <w:tc>
          <w:tcPr>
            <w:tcW w:w="1197" w:type="dxa"/>
            <w:tcBorders>
              <w:top w:val="nil"/>
              <w:left w:val="nil"/>
              <w:bottom w:val="nil"/>
              <w:right w:val="nil"/>
            </w:tcBorders>
            <w:shd w:val="clear" w:color="auto" w:fill="auto"/>
            <w:noWrap/>
            <w:vAlign w:val="bottom"/>
            <w:hideMark/>
          </w:tcPr>
          <w:p w:rsidR="00BA7786" w:rsidRPr="00B4142E" w:rsidRDefault="00BA7786" w:rsidP="00BA7786">
            <w:pPr>
              <w:spacing w:after="0" w:line="240" w:lineRule="auto"/>
              <w:jc w:val="right"/>
              <w:rPr>
                <w:rFonts w:ascii="Calibri" w:eastAsia="Times New Roman" w:hAnsi="Calibri" w:cs="Times New Roman"/>
                <w:color w:val="000000"/>
                <w:sz w:val="16"/>
                <w:szCs w:val="16"/>
                <w:lang w:eastAsia="es-ES"/>
              </w:rPr>
            </w:pPr>
            <w:r w:rsidRPr="00B4142E">
              <w:rPr>
                <w:rFonts w:ascii="Calibri" w:eastAsia="Times New Roman" w:hAnsi="Calibri" w:cs="Times New Roman"/>
                <w:color w:val="000000"/>
                <w:sz w:val="16"/>
                <w:szCs w:val="16"/>
                <w:lang w:eastAsia="es-ES"/>
              </w:rPr>
              <w:t>1.50%</w:t>
            </w:r>
          </w:p>
        </w:tc>
        <w:tc>
          <w:tcPr>
            <w:tcW w:w="1553" w:type="dxa"/>
            <w:tcBorders>
              <w:top w:val="nil"/>
              <w:left w:val="nil"/>
              <w:bottom w:val="nil"/>
              <w:right w:val="nil"/>
            </w:tcBorders>
            <w:shd w:val="clear" w:color="auto" w:fill="auto"/>
            <w:noWrap/>
            <w:vAlign w:val="bottom"/>
            <w:hideMark/>
          </w:tcPr>
          <w:p w:rsidR="00BA7786" w:rsidRPr="00B4142E" w:rsidRDefault="00BA7786" w:rsidP="00BA7786">
            <w:pPr>
              <w:spacing w:after="0" w:line="240" w:lineRule="auto"/>
              <w:jc w:val="right"/>
              <w:rPr>
                <w:rFonts w:ascii="Calibri" w:eastAsia="Times New Roman" w:hAnsi="Calibri" w:cs="Times New Roman"/>
                <w:color w:val="000000"/>
                <w:sz w:val="16"/>
                <w:szCs w:val="16"/>
                <w:lang w:eastAsia="es-ES"/>
              </w:rPr>
            </w:pPr>
            <w:r w:rsidRPr="00B4142E">
              <w:rPr>
                <w:rFonts w:ascii="Calibri" w:eastAsia="Times New Roman" w:hAnsi="Calibri" w:cs="Times New Roman"/>
                <w:color w:val="000000"/>
                <w:sz w:val="16"/>
                <w:szCs w:val="16"/>
                <w:lang w:eastAsia="es-ES"/>
              </w:rPr>
              <w:t>1.28%</w:t>
            </w:r>
          </w:p>
        </w:tc>
        <w:tc>
          <w:tcPr>
            <w:tcW w:w="1250" w:type="dxa"/>
            <w:tcBorders>
              <w:top w:val="nil"/>
              <w:left w:val="nil"/>
              <w:bottom w:val="nil"/>
              <w:right w:val="nil"/>
            </w:tcBorders>
            <w:shd w:val="clear" w:color="auto" w:fill="auto"/>
            <w:noWrap/>
            <w:vAlign w:val="bottom"/>
            <w:hideMark/>
          </w:tcPr>
          <w:p w:rsidR="00BA7786" w:rsidRPr="00B4142E" w:rsidRDefault="00BA7786" w:rsidP="00BA7786">
            <w:pPr>
              <w:spacing w:after="0" w:line="240" w:lineRule="auto"/>
              <w:jc w:val="right"/>
              <w:rPr>
                <w:rFonts w:ascii="Calibri" w:eastAsia="Times New Roman" w:hAnsi="Calibri" w:cs="Times New Roman"/>
                <w:color w:val="000000"/>
                <w:sz w:val="16"/>
                <w:szCs w:val="16"/>
                <w:lang w:eastAsia="es-ES"/>
              </w:rPr>
            </w:pPr>
            <w:r w:rsidRPr="00B4142E">
              <w:rPr>
                <w:rFonts w:ascii="Calibri" w:eastAsia="Times New Roman" w:hAnsi="Calibri" w:cs="Times New Roman"/>
                <w:color w:val="000000"/>
                <w:sz w:val="16"/>
                <w:szCs w:val="16"/>
                <w:lang w:eastAsia="es-ES"/>
              </w:rPr>
              <w:t>1.28%</w:t>
            </w:r>
          </w:p>
        </w:tc>
      </w:tr>
      <w:tr w:rsidR="00BA7786" w:rsidRPr="00B4142E" w:rsidTr="00B54FAC">
        <w:trPr>
          <w:trHeight w:val="300"/>
          <w:jc w:val="center"/>
        </w:trPr>
        <w:tc>
          <w:tcPr>
            <w:tcW w:w="1623" w:type="dxa"/>
            <w:tcBorders>
              <w:top w:val="nil"/>
              <w:left w:val="nil"/>
              <w:bottom w:val="nil"/>
              <w:right w:val="nil"/>
            </w:tcBorders>
            <w:shd w:val="clear" w:color="auto" w:fill="auto"/>
            <w:noWrap/>
            <w:vAlign w:val="bottom"/>
            <w:hideMark/>
          </w:tcPr>
          <w:p w:rsidR="00BA7786" w:rsidRPr="00B4142E" w:rsidRDefault="00BA7786" w:rsidP="00BA7786">
            <w:pPr>
              <w:spacing w:after="0" w:line="240" w:lineRule="auto"/>
              <w:rPr>
                <w:rFonts w:ascii="Calibri" w:eastAsia="Times New Roman" w:hAnsi="Calibri" w:cs="Times New Roman"/>
                <w:color w:val="000000"/>
                <w:sz w:val="16"/>
                <w:szCs w:val="16"/>
                <w:lang w:eastAsia="es-ES"/>
              </w:rPr>
            </w:pPr>
            <w:r w:rsidRPr="00B4142E">
              <w:rPr>
                <w:rFonts w:ascii="Calibri" w:eastAsia="Times New Roman" w:hAnsi="Calibri" w:cs="Times New Roman"/>
                <w:color w:val="000000"/>
                <w:sz w:val="16"/>
                <w:szCs w:val="16"/>
                <w:lang w:eastAsia="es-ES"/>
              </w:rPr>
              <w:t xml:space="preserve">% </w:t>
            </w:r>
            <w:proofErr w:type="spellStart"/>
            <w:r w:rsidRPr="00B4142E">
              <w:rPr>
                <w:rFonts w:ascii="Calibri" w:eastAsia="Times New Roman" w:hAnsi="Calibri" w:cs="Times New Roman"/>
                <w:color w:val="000000"/>
                <w:sz w:val="16"/>
                <w:szCs w:val="16"/>
                <w:lang w:eastAsia="es-ES"/>
              </w:rPr>
              <w:t>Recurrent</w:t>
            </w:r>
            <w:proofErr w:type="spellEnd"/>
          </w:p>
        </w:tc>
        <w:tc>
          <w:tcPr>
            <w:tcW w:w="799" w:type="dxa"/>
            <w:tcBorders>
              <w:top w:val="nil"/>
              <w:left w:val="nil"/>
              <w:bottom w:val="nil"/>
              <w:right w:val="nil"/>
            </w:tcBorders>
            <w:shd w:val="clear" w:color="auto" w:fill="auto"/>
            <w:noWrap/>
            <w:vAlign w:val="bottom"/>
            <w:hideMark/>
          </w:tcPr>
          <w:p w:rsidR="00BA7786" w:rsidRPr="00B4142E" w:rsidRDefault="00BA7786" w:rsidP="00BA7786">
            <w:pPr>
              <w:spacing w:after="0" w:line="240" w:lineRule="auto"/>
              <w:rPr>
                <w:rFonts w:ascii="Calibri" w:eastAsia="Times New Roman" w:hAnsi="Calibri" w:cs="Times New Roman"/>
                <w:color w:val="000000"/>
                <w:sz w:val="16"/>
                <w:szCs w:val="16"/>
                <w:lang w:eastAsia="es-ES"/>
              </w:rPr>
            </w:pPr>
          </w:p>
        </w:tc>
        <w:tc>
          <w:tcPr>
            <w:tcW w:w="1197" w:type="dxa"/>
            <w:tcBorders>
              <w:top w:val="nil"/>
              <w:left w:val="nil"/>
              <w:bottom w:val="nil"/>
              <w:right w:val="nil"/>
            </w:tcBorders>
            <w:shd w:val="clear" w:color="auto" w:fill="auto"/>
            <w:noWrap/>
            <w:vAlign w:val="bottom"/>
            <w:hideMark/>
          </w:tcPr>
          <w:p w:rsidR="00BA7786" w:rsidRPr="00B4142E" w:rsidRDefault="00BA7786" w:rsidP="00BA7786">
            <w:pPr>
              <w:spacing w:after="0" w:line="240" w:lineRule="auto"/>
              <w:rPr>
                <w:rFonts w:ascii="Calibri" w:eastAsia="Times New Roman" w:hAnsi="Calibri" w:cs="Times New Roman"/>
                <w:color w:val="000000"/>
                <w:sz w:val="16"/>
                <w:szCs w:val="16"/>
                <w:lang w:eastAsia="es-ES"/>
              </w:rPr>
            </w:pPr>
          </w:p>
        </w:tc>
        <w:tc>
          <w:tcPr>
            <w:tcW w:w="1197" w:type="dxa"/>
            <w:tcBorders>
              <w:top w:val="nil"/>
              <w:left w:val="nil"/>
              <w:bottom w:val="nil"/>
              <w:right w:val="nil"/>
            </w:tcBorders>
            <w:shd w:val="clear" w:color="auto" w:fill="auto"/>
            <w:noWrap/>
            <w:vAlign w:val="bottom"/>
            <w:hideMark/>
          </w:tcPr>
          <w:p w:rsidR="00BA7786" w:rsidRPr="00B4142E" w:rsidRDefault="00BA7786" w:rsidP="00BA7786">
            <w:pPr>
              <w:spacing w:after="0" w:line="240" w:lineRule="auto"/>
              <w:rPr>
                <w:rFonts w:ascii="Calibri" w:eastAsia="Times New Roman" w:hAnsi="Calibri" w:cs="Times New Roman"/>
                <w:color w:val="000000"/>
                <w:sz w:val="16"/>
                <w:szCs w:val="16"/>
                <w:lang w:eastAsia="es-ES"/>
              </w:rPr>
            </w:pPr>
          </w:p>
        </w:tc>
        <w:tc>
          <w:tcPr>
            <w:tcW w:w="1553" w:type="dxa"/>
            <w:tcBorders>
              <w:top w:val="nil"/>
              <w:left w:val="nil"/>
              <w:bottom w:val="nil"/>
              <w:right w:val="nil"/>
            </w:tcBorders>
            <w:shd w:val="clear" w:color="auto" w:fill="auto"/>
            <w:noWrap/>
            <w:vAlign w:val="bottom"/>
            <w:hideMark/>
          </w:tcPr>
          <w:p w:rsidR="00BA7786" w:rsidRPr="00B4142E" w:rsidRDefault="00BA7786" w:rsidP="00BA7786">
            <w:pPr>
              <w:spacing w:after="0" w:line="240" w:lineRule="auto"/>
              <w:rPr>
                <w:rFonts w:ascii="Calibri" w:eastAsia="Times New Roman" w:hAnsi="Calibri" w:cs="Times New Roman"/>
                <w:color w:val="000000"/>
                <w:sz w:val="16"/>
                <w:szCs w:val="16"/>
                <w:lang w:eastAsia="es-ES"/>
              </w:rPr>
            </w:pPr>
          </w:p>
        </w:tc>
        <w:tc>
          <w:tcPr>
            <w:tcW w:w="1250" w:type="dxa"/>
            <w:tcBorders>
              <w:top w:val="nil"/>
              <w:left w:val="nil"/>
              <w:bottom w:val="nil"/>
              <w:right w:val="nil"/>
            </w:tcBorders>
            <w:shd w:val="clear" w:color="auto" w:fill="auto"/>
            <w:noWrap/>
            <w:vAlign w:val="bottom"/>
            <w:hideMark/>
          </w:tcPr>
          <w:p w:rsidR="00BA7786" w:rsidRPr="00B4142E" w:rsidRDefault="00BA7786" w:rsidP="00BA7786">
            <w:pPr>
              <w:spacing w:after="0" w:line="240" w:lineRule="auto"/>
              <w:rPr>
                <w:rFonts w:ascii="Calibri" w:eastAsia="Times New Roman" w:hAnsi="Calibri" w:cs="Times New Roman"/>
                <w:color w:val="000000"/>
                <w:sz w:val="16"/>
                <w:szCs w:val="16"/>
                <w:lang w:eastAsia="es-ES"/>
              </w:rPr>
            </w:pPr>
          </w:p>
        </w:tc>
      </w:tr>
      <w:tr w:rsidR="00BA7786" w:rsidRPr="00B4142E" w:rsidTr="00B54FAC">
        <w:trPr>
          <w:trHeight w:val="300"/>
          <w:jc w:val="center"/>
        </w:trPr>
        <w:tc>
          <w:tcPr>
            <w:tcW w:w="1623" w:type="dxa"/>
            <w:tcBorders>
              <w:top w:val="nil"/>
              <w:left w:val="nil"/>
              <w:bottom w:val="nil"/>
              <w:right w:val="nil"/>
            </w:tcBorders>
            <w:shd w:val="clear" w:color="auto" w:fill="auto"/>
            <w:noWrap/>
            <w:vAlign w:val="bottom"/>
            <w:hideMark/>
          </w:tcPr>
          <w:p w:rsidR="00BA7786" w:rsidRPr="00B4142E" w:rsidRDefault="00BA7786" w:rsidP="00BA7786">
            <w:pPr>
              <w:spacing w:after="0" w:line="240" w:lineRule="auto"/>
              <w:rPr>
                <w:rFonts w:ascii="Calibri" w:eastAsia="Times New Roman" w:hAnsi="Calibri" w:cs="Times New Roman"/>
                <w:color w:val="000000"/>
                <w:sz w:val="16"/>
                <w:szCs w:val="16"/>
                <w:lang w:eastAsia="es-ES"/>
              </w:rPr>
            </w:pPr>
            <w:proofErr w:type="spellStart"/>
            <w:r w:rsidRPr="00B4142E">
              <w:rPr>
                <w:rFonts w:ascii="Calibri" w:eastAsia="Times New Roman" w:hAnsi="Calibri" w:cs="Times New Roman"/>
                <w:color w:val="000000"/>
                <w:sz w:val="16"/>
                <w:szCs w:val="16"/>
                <w:lang w:eastAsia="es-ES"/>
              </w:rPr>
              <w:t>Wages</w:t>
            </w:r>
            <w:proofErr w:type="spellEnd"/>
          </w:p>
        </w:tc>
        <w:tc>
          <w:tcPr>
            <w:tcW w:w="799" w:type="dxa"/>
            <w:tcBorders>
              <w:top w:val="nil"/>
              <w:left w:val="nil"/>
              <w:bottom w:val="nil"/>
              <w:right w:val="nil"/>
            </w:tcBorders>
            <w:shd w:val="clear" w:color="auto" w:fill="auto"/>
            <w:noWrap/>
            <w:vAlign w:val="bottom"/>
            <w:hideMark/>
          </w:tcPr>
          <w:p w:rsidR="00BA7786" w:rsidRPr="00B4142E" w:rsidRDefault="00BA7786" w:rsidP="00BA7786">
            <w:pPr>
              <w:spacing w:after="0" w:line="240" w:lineRule="auto"/>
              <w:jc w:val="right"/>
              <w:rPr>
                <w:rFonts w:ascii="Calibri" w:eastAsia="Times New Roman" w:hAnsi="Calibri" w:cs="Times New Roman"/>
                <w:color w:val="000000"/>
                <w:sz w:val="16"/>
                <w:szCs w:val="16"/>
                <w:lang w:eastAsia="es-ES"/>
              </w:rPr>
            </w:pPr>
            <w:r w:rsidRPr="00B4142E">
              <w:rPr>
                <w:rFonts w:ascii="Calibri" w:eastAsia="Times New Roman" w:hAnsi="Calibri" w:cs="Times New Roman"/>
                <w:color w:val="000000"/>
                <w:sz w:val="16"/>
                <w:szCs w:val="16"/>
                <w:lang w:eastAsia="es-ES"/>
              </w:rPr>
              <w:t>89.67%</w:t>
            </w:r>
          </w:p>
        </w:tc>
        <w:tc>
          <w:tcPr>
            <w:tcW w:w="1197" w:type="dxa"/>
            <w:tcBorders>
              <w:top w:val="nil"/>
              <w:left w:val="nil"/>
              <w:bottom w:val="nil"/>
              <w:right w:val="nil"/>
            </w:tcBorders>
            <w:shd w:val="clear" w:color="auto" w:fill="auto"/>
            <w:noWrap/>
            <w:vAlign w:val="bottom"/>
            <w:hideMark/>
          </w:tcPr>
          <w:p w:rsidR="00BA7786" w:rsidRPr="00B4142E" w:rsidRDefault="00BA7786" w:rsidP="00BA7786">
            <w:pPr>
              <w:spacing w:after="0" w:line="240" w:lineRule="auto"/>
              <w:jc w:val="right"/>
              <w:rPr>
                <w:rFonts w:ascii="Calibri" w:eastAsia="Times New Roman" w:hAnsi="Calibri" w:cs="Times New Roman"/>
                <w:color w:val="000000"/>
                <w:sz w:val="16"/>
                <w:szCs w:val="16"/>
                <w:lang w:eastAsia="es-ES"/>
              </w:rPr>
            </w:pPr>
            <w:r w:rsidRPr="00B4142E">
              <w:rPr>
                <w:rFonts w:ascii="Calibri" w:eastAsia="Times New Roman" w:hAnsi="Calibri" w:cs="Times New Roman"/>
                <w:color w:val="000000"/>
                <w:sz w:val="16"/>
                <w:szCs w:val="16"/>
                <w:lang w:eastAsia="es-ES"/>
              </w:rPr>
              <w:t>89.25%</w:t>
            </w:r>
          </w:p>
        </w:tc>
        <w:tc>
          <w:tcPr>
            <w:tcW w:w="1197" w:type="dxa"/>
            <w:tcBorders>
              <w:top w:val="nil"/>
              <w:left w:val="nil"/>
              <w:bottom w:val="nil"/>
              <w:right w:val="nil"/>
            </w:tcBorders>
            <w:shd w:val="clear" w:color="auto" w:fill="auto"/>
            <w:noWrap/>
            <w:vAlign w:val="bottom"/>
            <w:hideMark/>
          </w:tcPr>
          <w:p w:rsidR="00BA7786" w:rsidRPr="00B4142E" w:rsidRDefault="00BA7786" w:rsidP="00BA7786">
            <w:pPr>
              <w:spacing w:after="0" w:line="240" w:lineRule="auto"/>
              <w:jc w:val="right"/>
              <w:rPr>
                <w:rFonts w:ascii="Calibri" w:eastAsia="Times New Roman" w:hAnsi="Calibri" w:cs="Times New Roman"/>
                <w:color w:val="000000"/>
                <w:sz w:val="16"/>
                <w:szCs w:val="16"/>
                <w:lang w:eastAsia="es-ES"/>
              </w:rPr>
            </w:pPr>
            <w:r w:rsidRPr="00B4142E">
              <w:rPr>
                <w:rFonts w:ascii="Calibri" w:eastAsia="Times New Roman" w:hAnsi="Calibri" w:cs="Times New Roman"/>
                <w:color w:val="000000"/>
                <w:sz w:val="16"/>
                <w:szCs w:val="16"/>
                <w:lang w:eastAsia="es-ES"/>
              </w:rPr>
              <w:t>88.97%</w:t>
            </w:r>
          </w:p>
        </w:tc>
        <w:tc>
          <w:tcPr>
            <w:tcW w:w="1553" w:type="dxa"/>
            <w:tcBorders>
              <w:top w:val="nil"/>
              <w:left w:val="nil"/>
              <w:bottom w:val="nil"/>
              <w:right w:val="nil"/>
            </w:tcBorders>
            <w:shd w:val="clear" w:color="auto" w:fill="auto"/>
            <w:noWrap/>
            <w:vAlign w:val="bottom"/>
            <w:hideMark/>
          </w:tcPr>
          <w:p w:rsidR="00BA7786" w:rsidRPr="00B4142E" w:rsidRDefault="00BA7786" w:rsidP="00BA7786">
            <w:pPr>
              <w:spacing w:after="0" w:line="240" w:lineRule="auto"/>
              <w:jc w:val="right"/>
              <w:rPr>
                <w:rFonts w:ascii="Calibri" w:eastAsia="Times New Roman" w:hAnsi="Calibri" w:cs="Times New Roman"/>
                <w:color w:val="000000"/>
                <w:sz w:val="16"/>
                <w:szCs w:val="16"/>
                <w:lang w:eastAsia="es-ES"/>
              </w:rPr>
            </w:pPr>
            <w:r w:rsidRPr="00B4142E">
              <w:rPr>
                <w:rFonts w:ascii="Calibri" w:eastAsia="Times New Roman" w:hAnsi="Calibri" w:cs="Times New Roman"/>
                <w:color w:val="000000"/>
                <w:sz w:val="16"/>
                <w:szCs w:val="16"/>
                <w:lang w:eastAsia="es-ES"/>
              </w:rPr>
              <w:t>84.25%</w:t>
            </w:r>
          </w:p>
        </w:tc>
        <w:tc>
          <w:tcPr>
            <w:tcW w:w="1250" w:type="dxa"/>
            <w:tcBorders>
              <w:top w:val="nil"/>
              <w:left w:val="nil"/>
              <w:bottom w:val="nil"/>
              <w:right w:val="nil"/>
            </w:tcBorders>
            <w:shd w:val="clear" w:color="auto" w:fill="auto"/>
            <w:noWrap/>
            <w:vAlign w:val="bottom"/>
            <w:hideMark/>
          </w:tcPr>
          <w:p w:rsidR="00BA7786" w:rsidRPr="00B4142E" w:rsidRDefault="00BA7786" w:rsidP="00BA7786">
            <w:pPr>
              <w:spacing w:after="0" w:line="240" w:lineRule="auto"/>
              <w:jc w:val="right"/>
              <w:rPr>
                <w:rFonts w:ascii="Calibri" w:eastAsia="Times New Roman" w:hAnsi="Calibri" w:cs="Times New Roman"/>
                <w:color w:val="000000"/>
                <w:sz w:val="16"/>
                <w:szCs w:val="16"/>
                <w:lang w:eastAsia="es-ES"/>
              </w:rPr>
            </w:pPr>
            <w:r w:rsidRPr="00B4142E">
              <w:rPr>
                <w:rFonts w:ascii="Calibri" w:eastAsia="Times New Roman" w:hAnsi="Calibri" w:cs="Times New Roman"/>
                <w:color w:val="000000"/>
                <w:sz w:val="16"/>
                <w:szCs w:val="16"/>
                <w:lang w:eastAsia="es-ES"/>
              </w:rPr>
              <w:t>84.25%</w:t>
            </w:r>
          </w:p>
        </w:tc>
      </w:tr>
      <w:tr w:rsidR="00BA7786" w:rsidRPr="00B4142E" w:rsidTr="00B54FAC">
        <w:trPr>
          <w:trHeight w:val="300"/>
          <w:jc w:val="center"/>
        </w:trPr>
        <w:tc>
          <w:tcPr>
            <w:tcW w:w="1623" w:type="dxa"/>
            <w:tcBorders>
              <w:top w:val="nil"/>
              <w:left w:val="nil"/>
              <w:bottom w:val="nil"/>
              <w:right w:val="nil"/>
            </w:tcBorders>
            <w:shd w:val="clear" w:color="auto" w:fill="auto"/>
            <w:noWrap/>
            <w:vAlign w:val="bottom"/>
            <w:hideMark/>
          </w:tcPr>
          <w:p w:rsidR="00BA7786" w:rsidRPr="00B4142E" w:rsidRDefault="00BA7786" w:rsidP="00BA7786">
            <w:pPr>
              <w:spacing w:after="0" w:line="240" w:lineRule="auto"/>
              <w:rPr>
                <w:rFonts w:ascii="Calibri" w:eastAsia="Times New Roman" w:hAnsi="Calibri" w:cs="Times New Roman"/>
                <w:color w:val="000000"/>
                <w:sz w:val="16"/>
                <w:szCs w:val="16"/>
                <w:lang w:eastAsia="es-ES"/>
              </w:rPr>
            </w:pPr>
            <w:r w:rsidRPr="00B4142E">
              <w:rPr>
                <w:rFonts w:ascii="Calibri" w:eastAsia="Times New Roman" w:hAnsi="Calibri" w:cs="Times New Roman"/>
                <w:color w:val="000000"/>
                <w:sz w:val="16"/>
                <w:szCs w:val="16"/>
                <w:lang w:eastAsia="es-ES"/>
              </w:rPr>
              <w:t>Non-</w:t>
            </w:r>
            <w:proofErr w:type="spellStart"/>
            <w:r w:rsidRPr="00B4142E">
              <w:rPr>
                <w:rFonts w:ascii="Calibri" w:eastAsia="Times New Roman" w:hAnsi="Calibri" w:cs="Times New Roman"/>
                <w:color w:val="000000"/>
                <w:sz w:val="16"/>
                <w:szCs w:val="16"/>
                <w:lang w:eastAsia="es-ES"/>
              </w:rPr>
              <w:t>Wages</w:t>
            </w:r>
            <w:proofErr w:type="spellEnd"/>
          </w:p>
        </w:tc>
        <w:tc>
          <w:tcPr>
            <w:tcW w:w="799" w:type="dxa"/>
            <w:tcBorders>
              <w:top w:val="nil"/>
              <w:left w:val="nil"/>
              <w:bottom w:val="nil"/>
              <w:right w:val="nil"/>
            </w:tcBorders>
            <w:shd w:val="clear" w:color="auto" w:fill="auto"/>
            <w:noWrap/>
            <w:vAlign w:val="bottom"/>
            <w:hideMark/>
          </w:tcPr>
          <w:p w:rsidR="00BA7786" w:rsidRPr="00B4142E" w:rsidRDefault="00BA7786" w:rsidP="00BA7786">
            <w:pPr>
              <w:spacing w:after="0" w:line="240" w:lineRule="auto"/>
              <w:jc w:val="right"/>
              <w:rPr>
                <w:rFonts w:ascii="Calibri" w:eastAsia="Times New Roman" w:hAnsi="Calibri" w:cs="Times New Roman"/>
                <w:color w:val="000000"/>
                <w:sz w:val="16"/>
                <w:szCs w:val="16"/>
                <w:lang w:eastAsia="es-ES"/>
              </w:rPr>
            </w:pPr>
            <w:r w:rsidRPr="00B4142E">
              <w:rPr>
                <w:rFonts w:ascii="Calibri" w:eastAsia="Times New Roman" w:hAnsi="Calibri" w:cs="Times New Roman"/>
                <w:color w:val="000000"/>
                <w:sz w:val="16"/>
                <w:szCs w:val="16"/>
                <w:lang w:eastAsia="es-ES"/>
              </w:rPr>
              <w:t>10.33%</w:t>
            </w:r>
          </w:p>
        </w:tc>
        <w:tc>
          <w:tcPr>
            <w:tcW w:w="1197" w:type="dxa"/>
            <w:tcBorders>
              <w:top w:val="nil"/>
              <w:left w:val="nil"/>
              <w:bottom w:val="nil"/>
              <w:right w:val="nil"/>
            </w:tcBorders>
            <w:shd w:val="clear" w:color="auto" w:fill="auto"/>
            <w:noWrap/>
            <w:vAlign w:val="bottom"/>
            <w:hideMark/>
          </w:tcPr>
          <w:p w:rsidR="00BA7786" w:rsidRPr="00B4142E" w:rsidRDefault="00BA7786" w:rsidP="00BA7786">
            <w:pPr>
              <w:spacing w:after="0" w:line="240" w:lineRule="auto"/>
              <w:jc w:val="right"/>
              <w:rPr>
                <w:rFonts w:ascii="Calibri" w:eastAsia="Times New Roman" w:hAnsi="Calibri" w:cs="Times New Roman"/>
                <w:color w:val="000000"/>
                <w:sz w:val="16"/>
                <w:szCs w:val="16"/>
                <w:lang w:eastAsia="es-ES"/>
              </w:rPr>
            </w:pPr>
            <w:r w:rsidRPr="00B4142E">
              <w:rPr>
                <w:rFonts w:ascii="Calibri" w:eastAsia="Times New Roman" w:hAnsi="Calibri" w:cs="Times New Roman"/>
                <w:color w:val="000000"/>
                <w:sz w:val="16"/>
                <w:szCs w:val="16"/>
                <w:lang w:eastAsia="es-ES"/>
              </w:rPr>
              <w:t>10.75%</w:t>
            </w:r>
          </w:p>
        </w:tc>
        <w:tc>
          <w:tcPr>
            <w:tcW w:w="1197" w:type="dxa"/>
            <w:tcBorders>
              <w:top w:val="nil"/>
              <w:left w:val="nil"/>
              <w:bottom w:val="nil"/>
              <w:right w:val="nil"/>
            </w:tcBorders>
            <w:shd w:val="clear" w:color="auto" w:fill="auto"/>
            <w:noWrap/>
            <w:vAlign w:val="bottom"/>
            <w:hideMark/>
          </w:tcPr>
          <w:p w:rsidR="00BA7786" w:rsidRPr="00B4142E" w:rsidRDefault="00BA7786" w:rsidP="00BA7786">
            <w:pPr>
              <w:spacing w:after="0" w:line="240" w:lineRule="auto"/>
              <w:jc w:val="right"/>
              <w:rPr>
                <w:rFonts w:ascii="Calibri" w:eastAsia="Times New Roman" w:hAnsi="Calibri" w:cs="Times New Roman"/>
                <w:color w:val="000000"/>
                <w:sz w:val="16"/>
                <w:szCs w:val="16"/>
                <w:lang w:eastAsia="es-ES"/>
              </w:rPr>
            </w:pPr>
            <w:r w:rsidRPr="00B4142E">
              <w:rPr>
                <w:rFonts w:ascii="Calibri" w:eastAsia="Times New Roman" w:hAnsi="Calibri" w:cs="Times New Roman"/>
                <w:color w:val="000000"/>
                <w:sz w:val="16"/>
                <w:szCs w:val="16"/>
                <w:lang w:eastAsia="es-ES"/>
              </w:rPr>
              <w:t>11.03%</w:t>
            </w:r>
          </w:p>
        </w:tc>
        <w:tc>
          <w:tcPr>
            <w:tcW w:w="1553" w:type="dxa"/>
            <w:tcBorders>
              <w:top w:val="nil"/>
              <w:left w:val="nil"/>
              <w:bottom w:val="nil"/>
              <w:right w:val="nil"/>
            </w:tcBorders>
            <w:shd w:val="clear" w:color="auto" w:fill="auto"/>
            <w:noWrap/>
            <w:vAlign w:val="bottom"/>
            <w:hideMark/>
          </w:tcPr>
          <w:p w:rsidR="00BA7786" w:rsidRPr="00B4142E" w:rsidRDefault="00BA7786" w:rsidP="00BA7786">
            <w:pPr>
              <w:spacing w:after="0" w:line="240" w:lineRule="auto"/>
              <w:jc w:val="right"/>
              <w:rPr>
                <w:rFonts w:ascii="Calibri" w:eastAsia="Times New Roman" w:hAnsi="Calibri" w:cs="Times New Roman"/>
                <w:color w:val="000000"/>
                <w:sz w:val="16"/>
                <w:szCs w:val="16"/>
                <w:lang w:eastAsia="es-ES"/>
              </w:rPr>
            </w:pPr>
            <w:r w:rsidRPr="00B4142E">
              <w:rPr>
                <w:rFonts w:ascii="Calibri" w:eastAsia="Times New Roman" w:hAnsi="Calibri" w:cs="Times New Roman"/>
                <w:color w:val="000000"/>
                <w:sz w:val="16"/>
                <w:szCs w:val="16"/>
                <w:lang w:eastAsia="es-ES"/>
              </w:rPr>
              <w:t>15.75%</w:t>
            </w:r>
          </w:p>
        </w:tc>
        <w:tc>
          <w:tcPr>
            <w:tcW w:w="1250" w:type="dxa"/>
            <w:tcBorders>
              <w:top w:val="nil"/>
              <w:left w:val="nil"/>
              <w:bottom w:val="nil"/>
              <w:right w:val="nil"/>
            </w:tcBorders>
            <w:shd w:val="clear" w:color="auto" w:fill="auto"/>
            <w:noWrap/>
            <w:vAlign w:val="bottom"/>
            <w:hideMark/>
          </w:tcPr>
          <w:p w:rsidR="00BA7786" w:rsidRPr="00B4142E" w:rsidRDefault="00BA7786" w:rsidP="00BA7786">
            <w:pPr>
              <w:spacing w:after="0" w:line="240" w:lineRule="auto"/>
              <w:jc w:val="right"/>
              <w:rPr>
                <w:rFonts w:ascii="Calibri" w:eastAsia="Times New Roman" w:hAnsi="Calibri" w:cs="Times New Roman"/>
                <w:color w:val="000000"/>
                <w:sz w:val="16"/>
                <w:szCs w:val="16"/>
                <w:lang w:eastAsia="es-ES"/>
              </w:rPr>
            </w:pPr>
            <w:r w:rsidRPr="00B4142E">
              <w:rPr>
                <w:rFonts w:ascii="Calibri" w:eastAsia="Times New Roman" w:hAnsi="Calibri" w:cs="Times New Roman"/>
                <w:color w:val="000000"/>
                <w:sz w:val="16"/>
                <w:szCs w:val="16"/>
                <w:lang w:eastAsia="es-ES"/>
              </w:rPr>
              <w:t>15.75%</w:t>
            </w:r>
          </w:p>
        </w:tc>
      </w:tr>
      <w:tr w:rsidR="00BA7786" w:rsidRPr="00B4142E" w:rsidTr="00B4142E">
        <w:trPr>
          <w:trHeight w:val="245"/>
          <w:jc w:val="center"/>
        </w:trPr>
        <w:tc>
          <w:tcPr>
            <w:tcW w:w="1623" w:type="dxa"/>
            <w:tcBorders>
              <w:top w:val="nil"/>
              <w:left w:val="nil"/>
              <w:bottom w:val="nil"/>
              <w:right w:val="nil"/>
            </w:tcBorders>
            <w:shd w:val="clear" w:color="000000" w:fill="CCCCFF"/>
            <w:noWrap/>
            <w:vAlign w:val="bottom"/>
            <w:hideMark/>
          </w:tcPr>
          <w:p w:rsidR="00BA7786" w:rsidRPr="00B4142E" w:rsidRDefault="00BA7786" w:rsidP="00BA7786">
            <w:pPr>
              <w:spacing w:after="0" w:line="240" w:lineRule="auto"/>
              <w:rPr>
                <w:rFonts w:ascii="Calibri" w:eastAsia="Times New Roman" w:hAnsi="Calibri" w:cs="Times New Roman"/>
                <w:b/>
                <w:bCs/>
                <w:color w:val="000000"/>
                <w:sz w:val="16"/>
                <w:szCs w:val="16"/>
                <w:lang w:eastAsia="es-ES"/>
              </w:rPr>
            </w:pPr>
            <w:proofErr w:type="spellStart"/>
            <w:r w:rsidRPr="00B4142E">
              <w:rPr>
                <w:rFonts w:ascii="Calibri" w:eastAsia="Times New Roman" w:hAnsi="Calibri" w:cs="Times New Roman"/>
                <w:b/>
                <w:bCs/>
                <w:color w:val="000000"/>
                <w:sz w:val="16"/>
                <w:szCs w:val="16"/>
                <w:lang w:eastAsia="es-ES"/>
              </w:rPr>
              <w:t>Primary</w:t>
            </w:r>
            <w:proofErr w:type="spellEnd"/>
          </w:p>
        </w:tc>
        <w:tc>
          <w:tcPr>
            <w:tcW w:w="799" w:type="dxa"/>
            <w:tcBorders>
              <w:top w:val="nil"/>
              <w:left w:val="nil"/>
              <w:bottom w:val="nil"/>
              <w:right w:val="nil"/>
            </w:tcBorders>
            <w:shd w:val="clear" w:color="000000" w:fill="CCCCFF"/>
            <w:noWrap/>
            <w:vAlign w:val="bottom"/>
            <w:hideMark/>
          </w:tcPr>
          <w:p w:rsidR="00BA7786" w:rsidRPr="00B4142E" w:rsidRDefault="00BA7786" w:rsidP="00BA7786">
            <w:pPr>
              <w:spacing w:after="0" w:line="240" w:lineRule="auto"/>
              <w:rPr>
                <w:rFonts w:ascii="Calibri" w:eastAsia="Times New Roman" w:hAnsi="Calibri" w:cs="Times New Roman"/>
                <w:color w:val="000000"/>
                <w:sz w:val="16"/>
                <w:szCs w:val="16"/>
                <w:lang w:eastAsia="es-ES"/>
              </w:rPr>
            </w:pPr>
            <w:r w:rsidRPr="00B4142E">
              <w:rPr>
                <w:rFonts w:ascii="Calibri" w:eastAsia="Times New Roman" w:hAnsi="Calibri" w:cs="Times New Roman"/>
                <w:color w:val="000000"/>
                <w:sz w:val="16"/>
                <w:szCs w:val="16"/>
                <w:lang w:eastAsia="es-ES"/>
              </w:rPr>
              <w:t> </w:t>
            </w:r>
          </w:p>
        </w:tc>
        <w:tc>
          <w:tcPr>
            <w:tcW w:w="1197" w:type="dxa"/>
            <w:tcBorders>
              <w:top w:val="nil"/>
              <w:left w:val="nil"/>
              <w:bottom w:val="nil"/>
              <w:right w:val="nil"/>
            </w:tcBorders>
            <w:shd w:val="clear" w:color="000000" w:fill="CCCCFF"/>
            <w:noWrap/>
            <w:vAlign w:val="bottom"/>
            <w:hideMark/>
          </w:tcPr>
          <w:p w:rsidR="00BA7786" w:rsidRPr="00B4142E" w:rsidRDefault="00BA7786" w:rsidP="00BA7786">
            <w:pPr>
              <w:spacing w:after="0" w:line="240" w:lineRule="auto"/>
              <w:rPr>
                <w:rFonts w:ascii="Calibri" w:eastAsia="Times New Roman" w:hAnsi="Calibri" w:cs="Times New Roman"/>
                <w:color w:val="000000"/>
                <w:sz w:val="16"/>
                <w:szCs w:val="16"/>
                <w:lang w:eastAsia="es-ES"/>
              </w:rPr>
            </w:pPr>
            <w:r w:rsidRPr="00B4142E">
              <w:rPr>
                <w:rFonts w:ascii="Calibri" w:eastAsia="Times New Roman" w:hAnsi="Calibri" w:cs="Times New Roman"/>
                <w:color w:val="000000"/>
                <w:sz w:val="16"/>
                <w:szCs w:val="16"/>
                <w:lang w:eastAsia="es-ES"/>
              </w:rPr>
              <w:t> </w:t>
            </w:r>
          </w:p>
        </w:tc>
        <w:tc>
          <w:tcPr>
            <w:tcW w:w="1197" w:type="dxa"/>
            <w:tcBorders>
              <w:top w:val="nil"/>
              <w:left w:val="nil"/>
              <w:bottom w:val="nil"/>
              <w:right w:val="nil"/>
            </w:tcBorders>
            <w:shd w:val="clear" w:color="000000" w:fill="CCCCFF"/>
            <w:noWrap/>
            <w:vAlign w:val="bottom"/>
            <w:hideMark/>
          </w:tcPr>
          <w:p w:rsidR="00BA7786" w:rsidRPr="00B4142E" w:rsidRDefault="00BA7786" w:rsidP="00BA7786">
            <w:pPr>
              <w:spacing w:after="0" w:line="240" w:lineRule="auto"/>
              <w:rPr>
                <w:rFonts w:ascii="Calibri" w:eastAsia="Times New Roman" w:hAnsi="Calibri" w:cs="Times New Roman"/>
                <w:color w:val="000000"/>
                <w:sz w:val="16"/>
                <w:szCs w:val="16"/>
                <w:lang w:eastAsia="es-ES"/>
              </w:rPr>
            </w:pPr>
            <w:r w:rsidRPr="00B4142E">
              <w:rPr>
                <w:rFonts w:ascii="Calibri" w:eastAsia="Times New Roman" w:hAnsi="Calibri" w:cs="Times New Roman"/>
                <w:color w:val="000000"/>
                <w:sz w:val="16"/>
                <w:szCs w:val="16"/>
                <w:lang w:eastAsia="es-ES"/>
              </w:rPr>
              <w:t> </w:t>
            </w:r>
          </w:p>
        </w:tc>
        <w:tc>
          <w:tcPr>
            <w:tcW w:w="1553" w:type="dxa"/>
            <w:tcBorders>
              <w:top w:val="nil"/>
              <w:left w:val="nil"/>
              <w:bottom w:val="nil"/>
              <w:right w:val="nil"/>
            </w:tcBorders>
            <w:shd w:val="clear" w:color="000000" w:fill="CCCCFF"/>
            <w:noWrap/>
            <w:vAlign w:val="bottom"/>
            <w:hideMark/>
          </w:tcPr>
          <w:p w:rsidR="00BA7786" w:rsidRPr="00B4142E" w:rsidRDefault="00BA7786" w:rsidP="00BA7786">
            <w:pPr>
              <w:spacing w:after="0" w:line="240" w:lineRule="auto"/>
              <w:rPr>
                <w:rFonts w:ascii="Calibri" w:eastAsia="Times New Roman" w:hAnsi="Calibri" w:cs="Times New Roman"/>
                <w:color w:val="000000"/>
                <w:sz w:val="16"/>
                <w:szCs w:val="16"/>
                <w:lang w:eastAsia="es-ES"/>
              </w:rPr>
            </w:pPr>
            <w:r w:rsidRPr="00B4142E">
              <w:rPr>
                <w:rFonts w:ascii="Calibri" w:eastAsia="Times New Roman" w:hAnsi="Calibri" w:cs="Times New Roman"/>
                <w:color w:val="000000"/>
                <w:sz w:val="16"/>
                <w:szCs w:val="16"/>
                <w:lang w:eastAsia="es-ES"/>
              </w:rPr>
              <w:t> </w:t>
            </w:r>
          </w:p>
        </w:tc>
        <w:tc>
          <w:tcPr>
            <w:tcW w:w="1250" w:type="dxa"/>
            <w:tcBorders>
              <w:top w:val="nil"/>
              <w:left w:val="nil"/>
              <w:bottom w:val="nil"/>
              <w:right w:val="nil"/>
            </w:tcBorders>
            <w:shd w:val="clear" w:color="000000" w:fill="CCCCFF"/>
            <w:noWrap/>
            <w:vAlign w:val="bottom"/>
            <w:hideMark/>
          </w:tcPr>
          <w:p w:rsidR="00BA7786" w:rsidRPr="00B4142E" w:rsidRDefault="00BA7786" w:rsidP="00BA7786">
            <w:pPr>
              <w:spacing w:after="0" w:line="240" w:lineRule="auto"/>
              <w:rPr>
                <w:rFonts w:ascii="Calibri" w:eastAsia="Times New Roman" w:hAnsi="Calibri" w:cs="Times New Roman"/>
                <w:color w:val="000000"/>
                <w:sz w:val="16"/>
                <w:szCs w:val="16"/>
                <w:lang w:eastAsia="es-ES"/>
              </w:rPr>
            </w:pPr>
            <w:r w:rsidRPr="00B4142E">
              <w:rPr>
                <w:rFonts w:ascii="Calibri" w:eastAsia="Times New Roman" w:hAnsi="Calibri" w:cs="Times New Roman"/>
                <w:color w:val="000000"/>
                <w:sz w:val="16"/>
                <w:szCs w:val="16"/>
                <w:lang w:eastAsia="es-ES"/>
              </w:rPr>
              <w:t> </w:t>
            </w:r>
          </w:p>
        </w:tc>
      </w:tr>
      <w:tr w:rsidR="00BA7786" w:rsidRPr="00B4142E" w:rsidTr="00B54FAC">
        <w:trPr>
          <w:trHeight w:val="300"/>
          <w:jc w:val="center"/>
        </w:trPr>
        <w:tc>
          <w:tcPr>
            <w:tcW w:w="1623" w:type="dxa"/>
            <w:tcBorders>
              <w:top w:val="nil"/>
              <w:left w:val="nil"/>
              <w:bottom w:val="nil"/>
              <w:right w:val="nil"/>
            </w:tcBorders>
            <w:shd w:val="clear" w:color="auto" w:fill="auto"/>
            <w:noWrap/>
            <w:vAlign w:val="bottom"/>
            <w:hideMark/>
          </w:tcPr>
          <w:p w:rsidR="00BA7786" w:rsidRPr="00B4142E" w:rsidRDefault="00BA7786" w:rsidP="00BA7786">
            <w:pPr>
              <w:spacing w:after="0" w:line="240" w:lineRule="auto"/>
              <w:rPr>
                <w:rFonts w:ascii="Calibri" w:eastAsia="Times New Roman" w:hAnsi="Calibri" w:cs="Times New Roman"/>
                <w:color w:val="000000"/>
                <w:sz w:val="16"/>
                <w:szCs w:val="16"/>
                <w:lang w:eastAsia="es-ES"/>
              </w:rPr>
            </w:pPr>
            <w:r w:rsidRPr="00B4142E">
              <w:rPr>
                <w:rFonts w:ascii="Calibri" w:eastAsia="Times New Roman" w:hAnsi="Calibri" w:cs="Times New Roman"/>
                <w:color w:val="000000"/>
                <w:sz w:val="16"/>
                <w:szCs w:val="16"/>
                <w:lang w:eastAsia="es-ES"/>
              </w:rPr>
              <w:t>% Total</w:t>
            </w:r>
          </w:p>
        </w:tc>
        <w:tc>
          <w:tcPr>
            <w:tcW w:w="799" w:type="dxa"/>
            <w:tcBorders>
              <w:top w:val="nil"/>
              <w:left w:val="nil"/>
              <w:bottom w:val="nil"/>
              <w:right w:val="nil"/>
            </w:tcBorders>
            <w:shd w:val="clear" w:color="auto" w:fill="auto"/>
            <w:noWrap/>
            <w:vAlign w:val="bottom"/>
            <w:hideMark/>
          </w:tcPr>
          <w:p w:rsidR="00BA7786" w:rsidRPr="00B4142E" w:rsidRDefault="00BA7786" w:rsidP="00BA7786">
            <w:pPr>
              <w:spacing w:after="0" w:line="240" w:lineRule="auto"/>
              <w:rPr>
                <w:rFonts w:ascii="Calibri" w:eastAsia="Times New Roman" w:hAnsi="Calibri" w:cs="Times New Roman"/>
                <w:color w:val="000000"/>
                <w:sz w:val="16"/>
                <w:szCs w:val="16"/>
                <w:lang w:eastAsia="es-ES"/>
              </w:rPr>
            </w:pPr>
          </w:p>
        </w:tc>
        <w:tc>
          <w:tcPr>
            <w:tcW w:w="1197" w:type="dxa"/>
            <w:tcBorders>
              <w:top w:val="nil"/>
              <w:left w:val="nil"/>
              <w:bottom w:val="nil"/>
              <w:right w:val="nil"/>
            </w:tcBorders>
            <w:shd w:val="clear" w:color="auto" w:fill="auto"/>
            <w:noWrap/>
            <w:vAlign w:val="bottom"/>
            <w:hideMark/>
          </w:tcPr>
          <w:p w:rsidR="00BA7786" w:rsidRPr="00B4142E" w:rsidRDefault="00BA7786" w:rsidP="00BA7786">
            <w:pPr>
              <w:spacing w:after="0" w:line="240" w:lineRule="auto"/>
              <w:rPr>
                <w:rFonts w:ascii="Calibri" w:eastAsia="Times New Roman" w:hAnsi="Calibri" w:cs="Times New Roman"/>
                <w:color w:val="000000"/>
                <w:sz w:val="16"/>
                <w:szCs w:val="16"/>
                <w:lang w:eastAsia="es-ES"/>
              </w:rPr>
            </w:pPr>
          </w:p>
        </w:tc>
        <w:tc>
          <w:tcPr>
            <w:tcW w:w="1197" w:type="dxa"/>
            <w:tcBorders>
              <w:top w:val="nil"/>
              <w:left w:val="nil"/>
              <w:bottom w:val="nil"/>
              <w:right w:val="nil"/>
            </w:tcBorders>
            <w:shd w:val="clear" w:color="auto" w:fill="auto"/>
            <w:noWrap/>
            <w:vAlign w:val="bottom"/>
            <w:hideMark/>
          </w:tcPr>
          <w:p w:rsidR="00BA7786" w:rsidRPr="00B4142E" w:rsidRDefault="00BA7786" w:rsidP="00BA7786">
            <w:pPr>
              <w:spacing w:after="0" w:line="240" w:lineRule="auto"/>
              <w:rPr>
                <w:rFonts w:ascii="Calibri" w:eastAsia="Times New Roman" w:hAnsi="Calibri" w:cs="Times New Roman"/>
                <w:color w:val="000000"/>
                <w:sz w:val="16"/>
                <w:szCs w:val="16"/>
                <w:lang w:eastAsia="es-ES"/>
              </w:rPr>
            </w:pPr>
          </w:p>
        </w:tc>
        <w:tc>
          <w:tcPr>
            <w:tcW w:w="1553" w:type="dxa"/>
            <w:tcBorders>
              <w:top w:val="nil"/>
              <w:left w:val="nil"/>
              <w:bottom w:val="nil"/>
              <w:right w:val="nil"/>
            </w:tcBorders>
            <w:shd w:val="clear" w:color="auto" w:fill="auto"/>
            <w:noWrap/>
            <w:vAlign w:val="bottom"/>
            <w:hideMark/>
          </w:tcPr>
          <w:p w:rsidR="00BA7786" w:rsidRPr="00B4142E" w:rsidRDefault="00BA7786" w:rsidP="00BA7786">
            <w:pPr>
              <w:spacing w:after="0" w:line="240" w:lineRule="auto"/>
              <w:rPr>
                <w:rFonts w:ascii="Calibri" w:eastAsia="Times New Roman" w:hAnsi="Calibri" w:cs="Times New Roman"/>
                <w:color w:val="000000"/>
                <w:sz w:val="16"/>
                <w:szCs w:val="16"/>
                <w:lang w:eastAsia="es-ES"/>
              </w:rPr>
            </w:pPr>
          </w:p>
        </w:tc>
        <w:tc>
          <w:tcPr>
            <w:tcW w:w="1250" w:type="dxa"/>
            <w:tcBorders>
              <w:top w:val="nil"/>
              <w:left w:val="nil"/>
              <w:bottom w:val="nil"/>
              <w:right w:val="nil"/>
            </w:tcBorders>
            <w:shd w:val="clear" w:color="auto" w:fill="auto"/>
            <w:noWrap/>
            <w:vAlign w:val="bottom"/>
            <w:hideMark/>
          </w:tcPr>
          <w:p w:rsidR="00BA7786" w:rsidRPr="00B4142E" w:rsidRDefault="00BA7786" w:rsidP="00BA7786">
            <w:pPr>
              <w:spacing w:after="0" w:line="240" w:lineRule="auto"/>
              <w:rPr>
                <w:rFonts w:ascii="Calibri" w:eastAsia="Times New Roman" w:hAnsi="Calibri" w:cs="Times New Roman"/>
                <w:color w:val="000000"/>
                <w:sz w:val="16"/>
                <w:szCs w:val="16"/>
                <w:lang w:eastAsia="es-ES"/>
              </w:rPr>
            </w:pPr>
          </w:p>
        </w:tc>
      </w:tr>
      <w:tr w:rsidR="00BA7786" w:rsidRPr="00B4142E" w:rsidTr="00B54FAC">
        <w:trPr>
          <w:trHeight w:val="300"/>
          <w:jc w:val="center"/>
        </w:trPr>
        <w:tc>
          <w:tcPr>
            <w:tcW w:w="1623" w:type="dxa"/>
            <w:tcBorders>
              <w:top w:val="nil"/>
              <w:left w:val="nil"/>
              <w:bottom w:val="nil"/>
              <w:right w:val="nil"/>
            </w:tcBorders>
            <w:shd w:val="clear" w:color="auto" w:fill="auto"/>
            <w:noWrap/>
            <w:vAlign w:val="bottom"/>
            <w:hideMark/>
          </w:tcPr>
          <w:p w:rsidR="00BA7786" w:rsidRPr="00B4142E" w:rsidRDefault="00BA7786" w:rsidP="00BA7786">
            <w:pPr>
              <w:spacing w:after="0" w:line="240" w:lineRule="auto"/>
              <w:rPr>
                <w:rFonts w:ascii="Calibri" w:eastAsia="Times New Roman" w:hAnsi="Calibri" w:cs="Times New Roman"/>
                <w:color w:val="000000"/>
                <w:sz w:val="16"/>
                <w:szCs w:val="16"/>
                <w:lang w:eastAsia="es-ES"/>
              </w:rPr>
            </w:pPr>
            <w:proofErr w:type="spellStart"/>
            <w:r w:rsidRPr="00B4142E">
              <w:rPr>
                <w:rFonts w:ascii="Calibri" w:eastAsia="Times New Roman" w:hAnsi="Calibri" w:cs="Times New Roman"/>
                <w:color w:val="000000"/>
                <w:sz w:val="16"/>
                <w:szCs w:val="16"/>
                <w:lang w:eastAsia="es-ES"/>
              </w:rPr>
              <w:t>Recurrent</w:t>
            </w:r>
            <w:proofErr w:type="spellEnd"/>
          </w:p>
        </w:tc>
        <w:tc>
          <w:tcPr>
            <w:tcW w:w="799" w:type="dxa"/>
            <w:tcBorders>
              <w:top w:val="nil"/>
              <w:left w:val="nil"/>
              <w:bottom w:val="nil"/>
              <w:right w:val="nil"/>
            </w:tcBorders>
            <w:shd w:val="clear" w:color="auto" w:fill="auto"/>
            <w:noWrap/>
            <w:vAlign w:val="bottom"/>
            <w:hideMark/>
          </w:tcPr>
          <w:p w:rsidR="00BA7786" w:rsidRPr="00B4142E" w:rsidRDefault="00BA7786" w:rsidP="00BA7786">
            <w:pPr>
              <w:spacing w:after="0" w:line="240" w:lineRule="auto"/>
              <w:jc w:val="right"/>
              <w:rPr>
                <w:rFonts w:ascii="Calibri" w:eastAsia="Times New Roman" w:hAnsi="Calibri" w:cs="Times New Roman"/>
                <w:color w:val="000000"/>
                <w:sz w:val="16"/>
                <w:szCs w:val="16"/>
                <w:lang w:eastAsia="es-ES"/>
              </w:rPr>
            </w:pPr>
            <w:r w:rsidRPr="00B4142E">
              <w:rPr>
                <w:rFonts w:ascii="Calibri" w:eastAsia="Times New Roman" w:hAnsi="Calibri" w:cs="Times New Roman"/>
                <w:color w:val="000000"/>
                <w:sz w:val="16"/>
                <w:szCs w:val="16"/>
                <w:lang w:eastAsia="es-ES"/>
              </w:rPr>
              <w:t>94.54%</w:t>
            </w:r>
          </w:p>
        </w:tc>
        <w:tc>
          <w:tcPr>
            <w:tcW w:w="1197" w:type="dxa"/>
            <w:tcBorders>
              <w:top w:val="nil"/>
              <w:left w:val="nil"/>
              <w:bottom w:val="nil"/>
              <w:right w:val="nil"/>
            </w:tcBorders>
            <w:shd w:val="clear" w:color="auto" w:fill="auto"/>
            <w:noWrap/>
            <w:vAlign w:val="bottom"/>
            <w:hideMark/>
          </w:tcPr>
          <w:p w:rsidR="00BA7786" w:rsidRPr="00B4142E" w:rsidRDefault="00BA7786" w:rsidP="00BA7786">
            <w:pPr>
              <w:spacing w:after="0" w:line="240" w:lineRule="auto"/>
              <w:jc w:val="right"/>
              <w:rPr>
                <w:rFonts w:ascii="Calibri" w:eastAsia="Times New Roman" w:hAnsi="Calibri" w:cs="Times New Roman"/>
                <w:color w:val="000000"/>
                <w:sz w:val="16"/>
                <w:szCs w:val="16"/>
                <w:lang w:eastAsia="es-ES"/>
              </w:rPr>
            </w:pPr>
            <w:r w:rsidRPr="00B4142E">
              <w:rPr>
                <w:rFonts w:ascii="Calibri" w:eastAsia="Times New Roman" w:hAnsi="Calibri" w:cs="Times New Roman"/>
                <w:color w:val="000000"/>
                <w:sz w:val="16"/>
                <w:szCs w:val="16"/>
                <w:lang w:eastAsia="es-ES"/>
              </w:rPr>
              <w:t>86.79%</w:t>
            </w:r>
          </w:p>
        </w:tc>
        <w:tc>
          <w:tcPr>
            <w:tcW w:w="1197" w:type="dxa"/>
            <w:tcBorders>
              <w:top w:val="nil"/>
              <w:left w:val="nil"/>
              <w:bottom w:val="nil"/>
              <w:right w:val="nil"/>
            </w:tcBorders>
            <w:shd w:val="clear" w:color="auto" w:fill="auto"/>
            <w:noWrap/>
            <w:vAlign w:val="bottom"/>
            <w:hideMark/>
          </w:tcPr>
          <w:p w:rsidR="00BA7786" w:rsidRPr="00B4142E" w:rsidRDefault="00BA7786" w:rsidP="00BA7786">
            <w:pPr>
              <w:spacing w:after="0" w:line="240" w:lineRule="auto"/>
              <w:jc w:val="right"/>
              <w:rPr>
                <w:rFonts w:ascii="Calibri" w:eastAsia="Times New Roman" w:hAnsi="Calibri" w:cs="Times New Roman"/>
                <w:color w:val="000000"/>
                <w:sz w:val="16"/>
                <w:szCs w:val="16"/>
                <w:lang w:eastAsia="es-ES"/>
              </w:rPr>
            </w:pPr>
            <w:r w:rsidRPr="00B4142E">
              <w:rPr>
                <w:rFonts w:ascii="Calibri" w:eastAsia="Times New Roman" w:hAnsi="Calibri" w:cs="Times New Roman"/>
                <w:color w:val="000000"/>
                <w:sz w:val="16"/>
                <w:szCs w:val="16"/>
                <w:lang w:eastAsia="es-ES"/>
              </w:rPr>
              <w:t>79.19%</w:t>
            </w:r>
          </w:p>
        </w:tc>
        <w:tc>
          <w:tcPr>
            <w:tcW w:w="1553" w:type="dxa"/>
            <w:tcBorders>
              <w:top w:val="nil"/>
              <w:left w:val="nil"/>
              <w:bottom w:val="nil"/>
              <w:right w:val="nil"/>
            </w:tcBorders>
            <w:shd w:val="clear" w:color="auto" w:fill="auto"/>
            <w:noWrap/>
            <w:vAlign w:val="bottom"/>
            <w:hideMark/>
          </w:tcPr>
          <w:p w:rsidR="00BA7786" w:rsidRPr="00B4142E" w:rsidRDefault="00BA7786" w:rsidP="00BA7786">
            <w:pPr>
              <w:spacing w:after="0" w:line="240" w:lineRule="auto"/>
              <w:jc w:val="right"/>
              <w:rPr>
                <w:rFonts w:ascii="Calibri" w:eastAsia="Times New Roman" w:hAnsi="Calibri" w:cs="Times New Roman"/>
                <w:color w:val="000000"/>
                <w:sz w:val="16"/>
                <w:szCs w:val="16"/>
                <w:lang w:eastAsia="es-ES"/>
              </w:rPr>
            </w:pPr>
            <w:r w:rsidRPr="00B4142E">
              <w:rPr>
                <w:rFonts w:ascii="Calibri" w:eastAsia="Times New Roman" w:hAnsi="Calibri" w:cs="Times New Roman"/>
                <w:color w:val="000000"/>
                <w:sz w:val="16"/>
                <w:szCs w:val="16"/>
                <w:lang w:eastAsia="es-ES"/>
              </w:rPr>
              <w:t>81.95%</w:t>
            </w:r>
          </w:p>
        </w:tc>
        <w:tc>
          <w:tcPr>
            <w:tcW w:w="1250" w:type="dxa"/>
            <w:tcBorders>
              <w:top w:val="nil"/>
              <w:left w:val="nil"/>
              <w:bottom w:val="nil"/>
              <w:right w:val="nil"/>
            </w:tcBorders>
            <w:shd w:val="clear" w:color="auto" w:fill="auto"/>
            <w:noWrap/>
            <w:vAlign w:val="bottom"/>
            <w:hideMark/>
          </w:tcPr>
          <w:p w:rsidR="00BA7786" w:rsidRPr="00B4142E" w:rsidRDefault="00BA7786" w:rsidP="00BA7786">
            <w:pPr>
              <w:spacing w:after="0" w:line="240" w:lineRule="auto"/>
              <w:jc w:val="right"/>
              <w:rPr>
                <w:rFonts w:ascii="Calibri" w:eastAsia="Times New Roman" w:hAnsi="Calibri" w:cs="Times New Roman"/>
                <w:color w:val="000000"/>
                <w:sz w:val="16"/>
                <w:szCs w:val="16"/>
                <w:lang w:eastAsia="es-ES"/>
              </w:rPr>
            </w:pPr>
            <w:r w:rsidRPr="00B4142E">
              <w:rPr>
                <w:rFonts w:ascii="Calibri" w:eastAsia="Times New Roman" w:hAnsi="Calibri" w:cs="Times New Roman"/>
                <w:color w:val="000000"/>
                <w:sz w:val="16"/>
                <w:szCs w:val="16"/>
                <w:lang w:eastAsia="es-ES"/>
              </w:rPr>
              <w:t>81.95%</w:t>
            </w:r>
          </w:p>
        </w:tc>
      </w:tr>
      <w:tr w:rsidR="00BA7786" w:rsidRPr="00B4142E" w:rsidTr="00B54FAC">
        <w:trPr>
          <w:trHeight w:val="300"/>
          <w:jc w:val="center"/>
        </w:trPr>
        <w:tc>
          <w:tcPr>
            <w:tcW w:w="1623" w:type="dxa"/>
            <w:tcBorders>
              <w:top w:val="nil"/>
              <w:left w:val="nil"/>
              <w:bottom w:val="nil"/>
              <w:right w:val="nil"/>
            </w:tcBorders>
            <w:shd w:val="clear" w:color="auto" w:fill="auto"/>
            <w:noWrap/>
            <w:vAlign w:val="bottom"/>
            <w:hideMark/>
          </w:tcPr>
          <w:p w:rsidR="00BA7786" w:rsidRPr="00B4142E" w:rsidRDefault="00BA7786" w:rsidP="00BA7786">
            <w:pPr>
              <w:spacing w:after="0" w:line="240" w:lineRule="auto"/>
              <w:rPr>
                <w:rFonts w:ascii="Calibri" w:eastAsia="Times New Roman" w:hAnsi="Calibri" w:cs="Times New Roman"/>
                <w:color w:val="000000"/>
                <w:sz w:val="16"/>
                <w:szCs w:val="16"/>
                <w:lang w:eastAsia="es-ES"/>
              </w:rPr>
            </w:pPr>
            <w:r w:rsidRPr="00B4142E">
              <w:rPr>
                <w:rFonts w:ascii="Calibri" w:eastAsia="Times New Roman" w:hAnsi="Calibri" w:cs="Times New Roman"/>
                <w:color w:val="000000"/>
                <w:sz w:val="16"/>
                <w:szCs w:val="16"/>
                <w:lang w:eastAsia="es-ES"/>
              </w:rPr>
              <w:t>Capital</w:t>
            </w:r>
          </w:p>
        </w:tc>
        <w:tc>
          <w:tcPr>
            <w:tcW w:w="799" w:type="dxa"/>
            <w:tcBorders>
              <w:top w:val="nil"/>
              <w:left w:val="nil"/>
              <w:bottom w:val="nil"/>
              <w:right w:val="nil"/>
            </w:tcBorders>
            <w:shd w:val="clear" w:color="auto" w:fill="auto"/>
            <w:noWrap/>
            <w:vAlign w:val="bottom"/>
            <w:hideMark/>
          </w:tcPr>
          <w:p w:rsidR="00BA7786" w:rsidRPr="00B4142E" w:rsidRDefault="00BA7786" w:rsidP="00BA7786">
            <w:pPr>
              <w:spacing w:after="0" w:line="240" w:lineRule="auto"/>
              <w:jc w:val="right"/>
              <w:rPr>
                <w:rFonts w:ascii="Calibri" w:eastAsia="Times New Roman" w:hAnsi="Calibri" w:cs="Times New Roman"/>
                <w:color w:val="000000"/>
                <w:sz w:val="16"/>
                <w:szCs w:val="16"/>
                <w:lang w:eastAsia="es-ES"/>
              </w:rPr>
            </w:pPr>
            <w:r w:rsidRPr="00B4142E">
              <w:rPr>
                <w:rFonts w:ascii="Calibri" w:eastAsia="Times New Roman" w:hAnsi="Calibri" w:cs="Times New Roman"/>
                <w:color w:val="000000"/>
                <w:sz w:val="16"/>
                <w:szCs w:val="16"/>
                <w:lang w:eastAsia="es-ES"/>
              </w:rPr>
              <w:t>5.46%</w:t>
            </w:r>
          </w:p>
        </w:tc>
        <w:tc>
          <w:tcPr>
            <w:tcW w:w="1197" w:type="dxa"/>
            <w:tcBorders>
              <w:top w:val="nil"/>
              <w:left w:val="nil"/>
              <w:bottom w:val="nil"/>
              <w:right w:val="nil"/>
            </w:tcBorders>
            <w:shd w:val="clear" w:color="auto" w:fill="auto"/>
            <w:noWrap/>
            <w:vAlign w:val="bottom"/>
            <w:hideMark/>
          </w:tcPr>
          <w:p w:rsidR="00BA7786" w:rsidRPr="00B4142E" w:rsidRDefault="00BA7786" w:rsidP="00BA7786">
            <w:pPr>
              <w:spacing w:after="0" w:line="240" w:lineRule="auto"/>
              <w:jc w:val="right"/>
              <w:rPr>
                <w:rFonts w:ascii="Calibri" w:eastAsia="Times New Roman" w:hAnsi="Calibri" w:cs="Times New Roman"/>
                <w:color w:val="000000"/>
                <w:sz w:val="16"/>
                <w:szCs w:val="16"/>
                <w:lang w:eastAsia="es-ES"/>
              </w:rPr>
            </w:pPr>
            <w:r w:rsidRPr="00B4142E">
              <w:rPr>
                <w:rFonts w:ascii="Calibri" w:eastAsia="Times New Roman" w:hAnsi="Calibri" w:cs="Times New Roman"/>
                <w:color w:val="000000"/>
                <w:sz w:val="16"/>
                <w:szCs w:val="16"/>
                <w:lang w:eastAsia="es-ES"/>
              </w:rPr>
              <w:t>13.21%</w:t>
            </w:r>
          </w:p>
        </w:tc>
        <w:tc>
          <w:tcPr>
            <w:tcW w:w="1197" w:type="dxa"/>
            <w:tcBorders>
              <w:top w:val="nil"/>
              <w:left w:val="nil"/>
              <w:bottom w:val="nil"/>
              <w:right w:val="nil"/>
            </w:tcBorders>
            <w:shd w:val="clear" w:color="auto" w:fill="auto"/>
            <w:noWrap/>
            <w:vAlign w:val="bottom"/>
            <w:hideMark/>
          </w:tcPr>
          <w:p w:rsidR="00BA7786" w:rsidRPr="00B4142E" w:rsidRDefault="00BA7786" w:rsidP="00BA7786">
            <w:pPr>
              <w:spacing w:after="0" w:line="240" w:lineRule="auto"/>
              <w:jc w:val="right"/>
              <w:rPr>
                <w:rFonts w:ascii="Calibri" w:eastAsia="Times New Roman" w:hAnsi="Calibri" w:cs="Times New Roman"/>
                <w:color w:val="000000"/>
                <w:sz w:val="16"/>
                <w:szCs w:val="16"/>
                <w:lang w:eastAsia="es-ES"/>
              </w:rPr>
            </w:pPr>
            <w:r w:rsidRPr="00B4142E">
              <w:rPr>
                <w:rFonts w:ascii="Calibri" w:eastAsia="Times New Roman" w:hAnsi="Calibri" w:cs="Times New Roman"/>
                <w:color w:val="000000"/>
                <w:sz w:val="16"/>
                <w:szCs w:val="16"/>
                <w:lang w:eastAsia="es-ES"/>
              </w:rPr>
              <w:t>20.81%</w:t>
            </w:r>
          </w:p>
        </w:tc>
        <w:tc>
          <w:tcPr>
            <w:tcW w:w="1553" w:type="dxa"/>
            <w:tcBorders>
              <w:top w:val="nil"/>
              <w:left w:val="nil"/>
              <w:bottom w:val="nil"/>
              <w:right w:val="nil"/>
            </w:tcBorders>
            <w:shd w:val="clear" w:color="auto" w:fill="auto"/>
            <w:noWrap/>
            <w:vAlign w:val="bottom"/>
            <w:hideMark/>
          </w:tcPr>
          <w:p w:rsidR="00BA7786" w:rsidRPr="00B4142E" w:rsidRDefault="00BA7786" w:rsidP="00BA7786">
            <w:pPr>
              <w:spacing w:after="0" w:line="240" w:lineRule="auto"/>
              <w:jc w:val="right"/>
              <w:rPr>
                <w:rFonts w:ascii="Calibri" w:eastAsia="Times New Roman" w:hAnsi="Calibri" w:cs="Times New Roman"/>
                <w:color w:val="000000"/>
                <w:sz w:val="16"/>
                <w:szCs w:val="16"/>
                <w:lang w:eastAsia="es-ES"/>
              </w:rPr>
            </w:pPr>
            <w:r w:rsidRPr="00B4142E">
              <w:rPr>
                <w:rFonts w:ascii="Calibri" w:eastAsia="Times New Roman" w:hAnsi="Calibri" w:cs="Times New Roman"/>
                <w:color w:val="000000"/>
                <w:sz w:val="16"/>
                <w:szCs w:val="16"/>
                <w:lang w:eastAsia="es-ES"/>
              </w:rPr>
              <w:t>18.05%</w:t>
            </w:r>
          </w:p>
        </w:tc>
        <w:tc>
          <w:tcPr>
            <w:tcW w:w="1250" w:type="dxa"/>
            <w:tcBorders>
              <w:top w:val="nil"/>
              <w:left w:val="nil"/>
              <w:bottom w:val="nil"/>
              <w:right w:val="nil"/>
            </w:tcBorders>
            <w:shd w:val="clear" w:color="auto" w:fill="auto"/>
            <w:noWrap/>
            <w:vAlign w:val="bottom"/>
            <w:hideMark/>
          </w:tcPr>
          <w:p w:rsidR="00BA7786" w:rsidRPr="00B4142E" w:rsidRDefault="00BA7786" w:rsidP="00BA7786">
            <w:pPr>
              <w:spacing w:after="0" w:line="240" w:lineRule="auto"/>
              <w:jc w:val="right"/>
              <w:rPr>
                <w:rFonts w:ascii="Calibri" w:eastAsia="Times New Roman" w:hAnsi="Calibri" w:cs="Times New Roman"/>
                <w:color w:val="000000"/>
                <w:sz w:val="16"/>
                <w:szCs w:val="16"/>
                <w:lang w:eastAsia="es-ES"/>
              </w:rPr>
            </w:pPr>
            <w:r w:rsidRPr="00B4142E">
              <w:rPr>
                <w:rFonts w:ascii="Calibri" w:eastAsia="Times New Roman" w:hAnsi="Calibri" w:cs="Times New Roman"/>
                <w:color w:val="000000"/>
                <w:sz w:val="16"/>
                <w:szCs w:val="16"/>
                <w:lang w:eastAsia="es-ES"/>
              </w:rPr>
              <w:t>18.05%</w:t>
            </w:r>
          </w:p>
        </w:tc>
      </w:tr>
      <w:tr w:rsidR="00BA7786" w:rsidRPr="00B4142E" w:rsidTr="00B54FAC">
        <w:trPr>
          <w:trHeight w:val="300"/>
          <w:jc w:val="center"/>
        </w:trPr>
        <w:tc>
          <w:tcPr>
            <w:tcW w:w="1623" w:type="dxa"/>
            <w:tcBorders>
              <w:top w:val="nil"/>
              <w:left w:val="nil"/>
              <w:bottom w:val="nil"/>
              <w:right w:val="nil"/>
            </w:tcBorders>
            <w:shd w:val="clear" w:color="auto" w:fill="auto"/>
            <w:noWrap/>
            <w:vAlign w:val="bottom"/>
            <w:hideMark/>
          </w:tcPr>
          <w:p w:rsidR="00BA7786" w:rsidRPr="00B4142E" w:rsidRDefault="00BA7786" w:rsidP="00BA7786">
            <w:pPr>
              <w:spacing w:after="0" w:line="240" w:lineRule="auto"/>
              <w:rPr>
                <w:rFonts w:ascii="Calibri" w:eastAsia="Times New Roman" w:hAnsi="Calibri" w:cs="Times New Roman"/>
                <w:color w:val="000000"/>
                <w:sz w:val="16"/>
                <w:szCs w:val="16"/>
                <w:lang w:eastAsia="es-ES"/>
              </w:rPr>
            </w:pPr>
            <w:r w:rsidRPr="00B4142E">
              <w:rPr>
                <w:rFonts w:ascii="Calibri" w:eastAsia="Times New Roman" w:hAnsi="Calibri" w:cs="Times New Roman"/>
                <w:color w:val="000000"/>
                <w:sz w:val="16"/>
                <w:szCs w:val="16"/>
                <w:lang w:eastAsia="es-ES"/>
              </w:rPr>
              <w:t xml:space="preserve">% </w:t>
            </w:r>
            <w:proofErr w:type="spellStart"/>
            <w:r w:rsidRPr="00B4142E">
              <w:rPr>
                <w:rFonts w:ascii="Calibri" w:eastAsia="Times New Roman" w:hAnsi="Calibri" w:cs="Times New Roman"/>
                <w:color w:val="000000"/>
                <w:sz w:val="16"/>
                <w:szCs w:val="16"/>
                <w:lang w:eastAsia="es-ES"/>
              </w:rPr>
              <w:t>Recurrent</w:t>
            </w:r>
            <w:proofErr w:type="spellEnd"/>
          </w:p>
        </w:tc>
        <w:tc>
          <w:tcPr>
            <w:tcW w:w="799" w:type="dxa"/>
            <w:tcBorders>
              <w:top w:val="nil"/>
              <w:left w:val="nil"/>
              <w:bottom w:val="nil"/>
              <w:right w:val="nil"/>
            </w:tcBorders>
            <w:shd w:val="clear" w:color="auto" w:fill="auto"/>
            <w:noWrap/>
            <w:vAlign w:val="bottom"/>
            <w:hideMark/>
          </w:tcPr>
          <w:p w:rsidR="00BA7786" w:rsidRPr="00B4142E" w:rsidRDefault="00BA7786" w:rsidP="00BA7786">
            <w:pPr>
              <w:spacing w:after="0" w:line="240" w:lineRule="auto"/>
              <w:rPr>
                <w:rFonts w:ascii="Calibri" w:eastAsia="Times New Roman" w:hAnsi="Calibri" w:cs="Times New Roman"/>
                <w:color w:val="000000"/>
                <w:sz w:val="16"/>
                <w:szCs w:val="16"/>
                <w:lang w:eastAsia="es-ES"/>
              </w:rPr>
            </w:pPr>
          </w:p>
        </w:tc>
        <w:tc>
          <w:tcPr>
            <w:tcW w:w="1197" w:type="dxa"/>
            <w:tcBorders>
              <w:top w:val="nil"/>
              <w:left w:val="nil"/>
              <w:bottom w:val="nil"/>
              <w:right w:val="nil"/>
            </w:tcBorders>
            <w:shd w:val="clear" w:color="auto" w:fill="auto"/>
            <w:noWrap/>
            <w:vAlign w:val="bottom"/>
            <w:hideMark/>
          </w:tcPr>
          <w:p w:rsidR="00BA7786" w:rsidRPr="00B4142E" w:rsidRDefault="00BA7786" w:rsidP="00BA7786">
            <w:pPr>
              <w:spacing w:after="0" w:line="240" w:lineRule="auto"/>
              <w:rPr>
                <w:rFonts w:ascii="Calibri" w:eastAsia="Times New Roman" w:hAnsi="Calibri" w:cs="Times New Roman"/>
                <w:color w:val="000000"/>
                <w:sz w:val="16"/>
                <w:szCs w:val="16"/>
                <w:lang w:eastAsia="es-ES"/>
              </w:rPr>
            </w:pPr>
          </w:p>
        </w:tc>
        <w:tc>
          <w:tcPr>
            <w:tcW w:w="1197" w:type="dxa"/>
            <w:tcBorders>
              <w:top w:val="nil"/>
              <w:left w:val="nil"/>
              <w:bottom w:val="nil"/>
              <w:right w:val="nil"/>
            </w:tcBorders>
            <w:shd w:val="clear" w:color="auto" w:fill="auto"/>
            <w:noWrap/>
            <w:vAlign w:val="bottom"/>
            <w:hideMark/>
          </w:tcPr>
          <w:p w:rsidR="00BA7786" w:rsidRPr="00B4142E" w:rsidRDefault="00BA7786" w:rsidP="00BA7786">
            <w:pPr>
              <w:spacing w:after="0" w:line="240" w:lineRule="auto"/>
              <w:rPr>
                <w:rFonts w:ascii="Calibri" w:eastAsia="Times New Roman" w:hAnsi="Calibri" w:cs="Times New Roman"/>
                <w:color w:val="000000"/>
                <w:sz w:val="16"/>
                <w:szCs w:val="16"/>
                <w:lang w:eastAsia="es-ES"/>
              </w:rPr>
            </w:pPr>
          </w:p>
        </w:tc>
        <w:tc>
          <w:tcPr>
            <w:tcW w:w="1553" w:type="dxa"/>
            <w:tcBorders>
              <w:top w:val="nil"/>
              <w:left w:val="nil"/>
              <w:bottom w:val="nil"/>
              <w:right w:val="nil"/>
            </w:tcBorders>
            <w:shd w:val="clear" w:color="auto" w:fill="auto"/>
            <w:noWrap/>
            <w:vAlign w:val="bottom"/>
            <w:hideMark/>
          </w:tcPr>
          <w:p w:rsidR="00BA7786" w:rsidRPr="00B4142E" w:rsidRDefault="00BA7786" w:rsidP="00BA7786">
            <w:pPr>
              <w:spacing w:after="0" w:line="240" w:lineRule="auto"/>
              <w:rPr>
                <w:rFonts w:ascii="Calibri" w:eastAsia="Times New Roman" w:hAnsi="Calibri" w:cs="Times New Roman"/>
                <w:color w:val="000000"/>
                <w:sz w:val="16"/>
                <w:szCs w:val="16"/>
                <w:lang w:eastAsia="es-ES"/>
              </w:rPr>
            </w:pPr>
          </w:p>
        </w:tc>
        <w:tc>
          <w:tcPr>
            <w:tcW w:w="1250" w:type="dxa"/>
            <w:tcBorders>
              <w:top w:val="nil"/>
              <w:left w:val="nil"/>
              <w:bottom w:val="nil"/>
              <w:right w:val="nil"/>
            </w:tcBorders>
            <w:shd w:val="clear" w:color="auto" w:fill="auto"/>
            <w:noWrap/>
            <w:vAlign w:val="bottom"/>
            <w:hideMark/>
          </w:tcPr>
          <w:p w:rsidR="00BA7786" w:rsidRPr="00B4142E" w:rsidRDefault="00BA7786" w:rsidP="00BA7786">
            <w:pPr>
              <w:spacing w:after="0" w:line="240" w:lineRule="auto"/>
              <w:rPr>
                <w:rFonts w:ascii="Calibri" w:eastAsia="Times New Roman" w:hAnsi="Calibri" w:cs="Times New Roman"/>
                <w:color w:val="000000"/>
                <w:sz w:val="16"/>
                <w:szCs w:val="16"/>
                <w:lang w:eastAsia="es-ES"/>
              </w:rPr>
            </w:pPr>
          </w:p>
        </w:tc>
      </w:tr>
      <w:tr w:rsidR="00BA7786" w:rsidRPr="00B4142E" w:rsidTr="00B54FAC">
        <w:trPr>
          <w:trHeight w:val="300"/>
          <w:jc w:val="center"/>
        </w:trPr>
        <w:tc>
          <w:tcPr>
            <w:tcW w:w="1623" w:type="dxa"/>
            <w:tcBorders>
              <w:top w:val="nil"/>
              <w:left w:val="nil"/>
              <w:bottom w:val="nil"/>
              <w:right w:val="nil"/>
            </w:tcBorders>
            <w:shd w:val="clear" w:color="auto" w:fill="auto"/>
            <w:noWrap/>
            <w:vAlign w:val="bottom"/>
            <w:hideMark/>
          </w:tcPr>
          <w:p w:rsidR="00BA7786" w:rsidRPr="00B4142E" w:rsidRDefault="00BA7786" w:rsidP="00BA7786">
            <w:pPr>
              <w:spacing w:after="0" w:line="240" w:lineRule="auto"/>
              <w:rPr>
                <w:rFonts w:ascii="Calibri" w:eastAsia="Times New Roman" w:hAnsi="Calibri" w:cs="Times New Roman"/>
                <w:color w:val="000000"/>
                <w:sz w:val="16"/>
                <w:szCs w:val="16"/>
                <w:lang w:eastAsia="es-ES"/>
              </w:rPr>
            </w:pPr>
            <w:proofErr w:type="spellStart"/>
            <w:r w:rsidRPr="00B4142E">
              <w:rPr>
                <w:rFonts w:ascii="Calibri" w:eastAsia="Times New Roman" w:hAnsi="Calibri" w:cs="Times New Roman"/>
                <w:color w:val="000000"/>
                <w:sz w:val="16"/>
                <w:szCs w:val="16"/>
                <w:lang w:eastAsia="es-ES"/>
              </w:rPr>
              <w:t>Wages</w:t>
            </w:r>
            <w:proofErr w:type="spellEnd"/>
          </w:p>
        </w:tc>
        <w:tc>
          <w:tcPr>
            <w:tcW w:w="799" w:type="dxa"/>
            <w:tcBorders>
              <w:top w:val="nil"/>
              <w:left w:val="nil"/>
              <w:bottom w:val="nil"/>
              <w:right w:val="nil"/>
            </w:tcBorders>
            <w:shd w:val="clear" w:color="auto" w:fill="auto"/>
            <w:noWrap/>
            <w:vAlign w:val="bottom"/>
            <w:hideMark/>
          </w:tcPr>
          <w:p w:rsidR="00BA7786" w:rsidRPr="00B4142E" w:rsidRDefault="00BA7786" w:rsidP="00BA7786">
            <w:pPr>
              <w:spacing w:after="0" w:line="240" w:lineRule="auto"/>
              <w:jc w:val="right"/>
              <w:rPr>
                <w:rFonts w:ascii="Calibri" w:eastAsia="Times New Roman" w:hAnsi="Calibri" w:cs="Times New Roman"/>
                <w:color w:val="000000"/>
                <w:sz w:val="16"/>
                <w:szCs w:val="16"/>
                <w:lang w:eastAsia="es-ES"/>
              </w:rPr>
            </w:pPr>
            <w:r w:rsidRPr="00B4142E">
              <w:rPr>
                <w:rFonts w:ascii="Calibri" w:eastAsia="Times New Roman" w:hAnsi="Calibri" w:cs="Times New Roman"/>
                <w:color w:val="000000"/>
                <w:sz w:val="16"/>
                <w:szCs w:val="16"/>
                <w:lang w:eastAsia="es-ES"/>
              </w:rPr>
              <w:t>94.66%</w:t>
            </w:r>
          </w:p>
        </w:tc>
        <w:tc>
          <w:tcPr>
            <w:tcW w:w="1197" w:type="dxa"/>
            <w:tcBorders>
              <w:top w:val="nil"/>
              <w:left w:val="nil"/>
              <w:bottom w:val="nil"/>
              <w:right w:val="nil"/>
            </w:tcBorders>
            <w:shd w:val="clear" w:color="auto" w:fill="auto"/>
            <w:noWrap/>
            <w:vAlign w:val="bottom"/>
            <w:hideMark/>
          </w:tcPr>
          <w:p w:rsidR="00BA7786" w:rsidRPr="00B4142E" w:rsidRDefault="00BA7786" w:rsidP="00BA7786">
            <w:pPr>
              <w:spacing w:after="0" w:line="240" w:lineRule="auto"/>
              <w:jc w:val="right"/>
              <w:rPr>
                <w:rFonts w:ascii="Calibri" w:eastAsia="Times New Roman" w:hAnsi="Calibri" w:cs="Times New Roman"/>
                <w:color w:val="000000"/>
                <w:sz w:val="16"/>
                <w:szCs w:val="16"/>
                <w:lang w:eastAsia="es-ES"/>
              </w:rPr>
            </w:pPr>
            <w:r w:rsidRPr="00B4142E">
              <w:rPr>
                <w:rFonts w:ascii="Calibri" w:eastAsia="Times New Roman" w:hAnsi="Calibri" w:cs="Times New Roman"/>
                <w:color w:val="000000"/>
                <w:sz w:val="16"/>
                <w:szCs w:val="16"/>
                <w:lang w:eastAsia="es-ES"/>
              </w:rPr>
              <w:t>91.18%</w:t>
            </w:r>
          </w:p>
        </w:tc>
        <w:tc>
          <w:tcPr>
            <w:tcW w:w="1197" w:type="dxa"/>
            <w:tcBorders>
              <w:top w:val="nil"/>
              <w:left w:val="nil"/>
              <w:bottom w:val="nil"/>
              <w:right w:val="nil"/>
            </w:tcBorders>
            <w:shd w:val="clear" w:color="auto" w:fill="auto"/>
            <w:noWrap/>
            <w:vAlign w:val="bottom"/>
            <w:hideMark/>
          </w:tcPr>
          <w:p w:rsidR="00BA7786" w:rsidRPr="00B4142E" w:rsidRDefault="00BA7786" w:rsidP="00BA7786">
            <w:pPr>
              <w:spacing w:after="0" w:line="240" w:lineRule="auto"/>
              <w:jc w:val="right"/>
              <w:rPr>
                <w:rFonts w:ascii="Calibri" w:eastAsia="Times New Roman" w:hAnsi="Calibri" w:cs="Times New Roman"/>
                <w:color w:val="000000"/>
                <w:sz w:val="16"/>
                <w:szCs w:val="16"/>
                <w:lang w:eastAsia="es-ES"/>
              </w:rPr>
            </w:pPr>
            <w:r w:rsidRPr="00B4142E">
              <w:rPr>
                <w:rFonts w:ascii="Calibri" w:eastAsia="Times New Roman" w:hAnsi="Calibri" w:cs="Times New Roman"/>
                <w:color w:val="000000"/>
                <w:sz w:val="16"/>
                <w:szCs w:val="16"/>
                <w:lang w:eastAsia="es-ES"/>
              </w:rPr>
              <w:t>85.58%</w:t>
            </w:r>
          </w:p>
        </w:tc>
        <w:tc>
          <w:tcPr>
            <w:tcW w:w="1553" w:type="dxa"/>
            <w:tcBorders>
              <w:top w:val="nil"/>
              <w:left w:val="nil"/>
              <w:bottom w:val="nil"/>
              <w:right w:val="nil"/>
            </w:tcBorders>
            <w:shd w:val="clear" w:color="auto" w:fill="auto"/>
            <w:noWrap/>
            <w:vAlign w:val="bottom"/>
            <w:hideMark/>
          </w:tcPr>
          <w:p w:rsidR="00BA7786" w:rsidRPr="00B4142E" w:rsidRDefault="00BA7786" w:rsidP="00BA7786">
            <w:pPr>
              <w:spacing w:after="0" w:line="240" w:lineRule="auto"/>
              <w:jc w:val="right"/>
              <w:rPr>
                <w:rFonts w:ascii="Calibri" w:eastAsia="Times New Roman" w:hAnsi="Calibri" w:cs="Times New Roman"/>
                <w:color w:val="000000"/>
                <w:sz w:val="16"/>
                <w:szCs w:val="16"/>
                <w:lang w:eastAsia="es-ES"/>
              </w:rPr>
            </w:pPr>
            <w:r w:rsidRPr="00B4142E">
              <w:rPr>
                <w:rFonts w:ascii="Calibri" w:eastAsia="Times New Roman" w:hAnsi="Calibri" w:cs="Times New Roman"/>
                <w:color w:val="000000"/>
                <w:sz w:val="16"/>
                <w:szCs w:val="16"/>
                <w:lang w:eastAsia="es-ES"/>
              </w:rPr>
              <w:t>87.63%</w:t>
            </w:r>
          </w:p>
        </w:tc>
        <w:tc>
          <w:tcPr>
            <w:tcW w:w="1250" w:type="dxa"/>
            <w:tcBorders>
              <w:top w:val="nil"/>
              <w:left w:val="nil"/>
              <w:bottom w:val="nil"/>
              <w:right w:val="nil"/>
            </w:tcBorders>
            <w:shd w:val="clear" w:color="auto" w:fill="auto"/>
            <w:noWrap/>
            <w:vAlign w:val="bottom"/>
            <w:hideMark/>
          </w:tcPr>
          <w:p w:rsidR="00BA7786" w:rsidRPr="00B4142E" w:rsidRDefault="00BA7786" w:rsidP="00BA7786">
            <w:pPr>
              <w:spacing w:after="0" w:line="240" w:lineRule="auto"/>
              <w:jc w:val="right"/>
              <w:rPr>
                <w:rFonts w:ascii="Calibri" w:eastAsia="Times New Roman" w:hAnsi="Calibri" w:cs="Times New Roman"/>
                <w:color w:val="000000"/>
                <w:sz w:val="16"/>
                <w:szCs w:val="16"/>
                <w:lang w:eastAsia="es-ES"/>
              </w:rPr>
            </w:pPr>
            <w:r w:rsidRPr="00B4142E">
              <w:rPr>
                <w:rFonts w:ascii="Calibri" w:eastAsia="Times New Roman" w:hAnsi="Calibri" w:cs="Times New Roman"/>
                <w:color w:val="000000"/>
                <w:sz w:val="16"/>
                <w:szCs w:val="16"/>
                <w:lang w:eastAsia="es-ES"/>
              </w:rPr>
              <w:t>87.63%</w:t>
            </w:r>
          </w:p>
        </w:tc>
      </w:tr>
      <w:tr w:rsidR="00BA7786" w:rsidRPr="00B4142E" w:rsidTr="00B54FAC">
        <w:trPr>
          <w:trHeight w:val="300"/>
          <w:jc w:val="center"/>
        </w:trPr>
        <w:tc>
          <w:tcPr>
            <w:tcW w:w="1623" w:type="dxa"/>
            <w:tcBorders>
              <w:top w:val="nil"/>
              <w:left w:val="nil"/>
              <w:bottom w:val="nil"/>
              <w:right w:val="nil"/>
            </w:tcBorders>
            <w:shd w:val="clear" w:color="auto" w:fill="auto"/>
            <w:noWrap/>
            <w:vAlign w:val="bottom"/>
            <w:hideMark/>
          </w:tcPr>
          <w:p w:rsidR="00BA7786" w:rsidRPr="00B4142E" w:rsidRDefault="00BA7786" w:rsidP="00BA7786">
            <w:pPr>
              <w:spacing w:after="0" w:line="240" w:lineRule="auto"/>
              <w:rPr>
                <w:rFonts w:ascii="Calibri" w:eastAsia="Times New Roman" w:hAnsi="Calibri" w:cs="Times New Roman"/>
                <w:color w:val="000000"/>
                <w:sz w:val="16"/>
                <w:szCs w:val="16"/>
                <w:lang w:eastAsia="es-ES"/>
              </w:rPr>
            </w:pPr>
            <w:r w:rsidRPr="00B4142E">
              <w:rPr>
                <w:rFonts w:ascii="Calibri" w:eastAsia="Times New Roman" w:hAnsi="Calibri" w:cs="Times New Roman"/>
                <w:color w:val="000000"/>
                <w:sz w:val="16"/>
                <w:szCs w:val="16"/>
                <w:lang w:eastAsia="es-ES"/>
              </w:rPr>
              <w:t>Non-</w:t>
            </w:r>
            <w:proofErr w:type="spellStart"/>
            <w:r w:rsidRPr="00B4142E">
              <w:rPr>
                <w:rFonts w:ascii="Calibri" w:eastAsia="Times New Roman" w:hAnsi="Calibri" w:cs="Times New Roman"/>
                <w:color w:val="000000"/>
                <w:sz w:val="16"/>
                <w:szCs w:val="16"/>
                <w:lang w:eastAsia="es-ES"/>
              </w:rPr>
              <w:t>Wages</w:t>
            </w:r>
            <w:proofErr w:type="spellEnd"/>
          </w:p>
        </w:tc>
        <w:tc>
          <w:tcPr>
            <w:tcW w:w="799" w:type="dxa"/>
            <w:tcBorders>
              <w:top w:val="nil"/>
              <w:left w:val="nil"/>
              <w:bottom w:val="nil"/>
              <w:right w:val="nil"/>
            </w:tcBorders>
            <w:shd w:val="clear" w:color="auto" w:fill="auto"/>
            <w:noWrap/>
            <w:vAlign w:val="bottom"/>
            <w:hideMark/>
          </w:tcPr>
          <w:p w:rsidR="00BA7786" w:rsidRPr="00B4142E" w:rsidRDefault="00BA7786" w:rsidP="00BA7786">
            <w:pPr>
              <w:spacing w:after="0" w:line="240" w:lineRule="auto"/>
              <w:jc w:val="right"/>
              <w:rPr>
                <w:rFonts w:ascii="Calibri" w:eastAsia="Times New Roman" w:hAnsi="Calibri" w:cs="Times New Roman"/>
                <w:color w:val="000000"/>
                <w:sz w:val="16"/>
                <w:szCs w:val="16"/>
                <w:lang w:eastAsia="es-ES"/>
              </w:rPr>
            </w:pPr>
            <w:r w:rsidRPr="00B4142E">
              <w:rPr>
                <w:rFonts w:ascii="Calibri" w:eastAsia="Times New Roman" w:hAnsi="Calibri" w:cs="Times New Roman"/>
                <w:color w:val="000000"/>
                <w:sz w:val="16"/>
                <w:szCs w:val="16"/>
                <w:lang w:eastAsia="es-ES"/>
              </w:rPr>
              <w:t>5.34%</w:t>
            </w:r>
          </w:p>
        </w:tc>
        <w:tc>
          <w:tcPr>
            <w:tcW w:w="1197" w:type="dxa"/>
            <w:tcBorders>
              <w:top w:val="nil"/>
              <w:left w:val="nil"/>
              <w:bottom w:val="nil"/>
              <w:right w:val="nil"/>
            </w:tcBorders>
            <w:shd w:val="clear" w:color="auto" w:fill="auto"/>
            <w:noWrap/>
            <w:vAlign w:val="bottom"/>
            <w:hideMark/>
          </w:tcPr>
          <w:p w:rsidR="00BA7786" w:rsidRPr="00B4142E" w:rsidRDefault="00BA7786" w:rsidP="00BA7786">
            <w:pPr>
              <w:spacing w:after="0" w:line="240" w:lineRule="auto"/>
              <w:jc w:val="right"/>
              <w:rPr>
                <w:rFonts w:ascii="Calibri" w:eastAsia="Times New Roman" w:hAnsi="Calibri" w:cs="Times New Roman"/>
                <w:color w:val="000000"/>
                <w:sz w:val="16"/>
                <w:szCs w:val="16"/>
                <w:lang w:eastAsia="es-ES"/>
              </w:rPr>
            </w:pPr>
            <w:r w:rsidRPr="00B4142E">
              <w:rPr>
                <w:rFonts w:ascii="Calibri" w:eastAsia="Times New Roman" w:hAnsi="Calibri" w:cs="Times New Roman"/>
                <w:color w:val="000000"/>
                <w:sz w:val="16"/>
                <w:szCs w:val="16"/>
                <w:lang w:eastAsia="es-ES"/>
              </w:rPr>
              <w:t>8.82%</w:t>
            </w:r>
          </w:p>
        </w:tc>
        <w:tc>
          <w:tcPr>
            <w:tcW w:w="1197" w:type="dxa"/>
            <w:tcBorders>
              <w:top w:val="nil"/>
              <w:left w:val="nil"/>
              <w:bottom w:val="nil"/>
              <w:right w:val="nil"/>
            </w:tcBorders>
            <w:shd w:val="clear" w:color="auto" w:fill="auto"/>
            <w:noWrap/>
            <w:vAlign w:val="bottom"/>
            <w:hideMark/>
          </w:tcPr>
          <w:p w:rsidR="00BA7786" w:rsidRPr="00B4142E" w:rsidRDefault="00BA7786" w:rsidP="00BA7786">
            <w:pPr>
              <w:spacing w:after="0" w:line="240" w:lineRule="auto"/>
              <w:jc w:val="right"/>
              <w:rPr>
                <w:rFonts w:ascii="Calibri" w:eastAsia="Times New Roman" w:hAnsi="Calibri" w:cs="Times New Roman"/>
                <w:color w:val="000000"/>
                <w:sz w:val="16"/>
                <w:szCs w:val="16"/>
                <w:lang w:eastAsia="es-ES"/>
              </w:rPr>
            </w:pPr>
            <w:r w:rsidRPr="00B4142E">
              <w:rPr>
                <w:rFonts w:ascii="Calibri" w:eastAsia="Times New Roman" w:hAnsi="Calibri" w:cs="Times New Roman"/>
                <w:color w:val="000000"/>
                <w:sz w:val="16"/>
                <w:szCs w:val="16"/>
                <w:lang w:eastAsia="es-ES"/>
              </w:rPr>
              <w:t>14.42%</w:t>
            </w:r>
          </w:p>
        </w:tc>
        <w:tc>
          <w:tcPr>
            <w:tcW w:w="1553" w:type="dxa"/>
            <w:tcBorders>
              <w:top w:val="nil"/>
              <w:left w:val="nil"/>
              <w:bottom w:val="nil"/>
              <w:right w:val="nil"/>
            </w:tcBorders>
            <w:shd w:val="clear" w:color="auto" w:fill="auto"/>
            <w:noWrap/>
            <w:vAlign w:val="bottom"/>
            <w:hideMark/>
          </w:tcPr>
          <w:p w:rsidR="00BA7786" w:rsidRPr="00B4142E" w:rsidRDefault="00BA7786" w:rsidP="00BA7786">
            <w:pPr>
              <w:spacing w:after="0" w:line="240" w:lineRule="auto"/>
              <w:jc w:val="right"/>
              <w:rPr>
                <w:rFonts w:ascii="Calibri" w:eastAsia="Times New Roman" w:hAnsi="Calibri" w:cs="Times New Roman"/>
                <w:color w:val="000000"/>
                <w:sz w:val="16"/>
                <w:szCs w:val="16"/>
                <w:lang w:eastAsia="es-ES"/>
              </w:rPr>
            </w:pPr>
            <w:r w:rsidRPr="00B4142E">
              <w:rPr>
                <w:rFonts w:ascii="Calibri" w:eastAsia="Times New Roman" w:hAnsi="Calibri" w:cs="Times New Roman"/>
                <w:color w:val="000000"/>
                <w:sz w:val="16"/>
                <w:szCs w:val="16"/>
                <w:lang w:eastAsia="es-ES"/>
              </w:rPr>
              <w:t>12.37%</w:t>
            </w:r>
          </w:p>
        </w:tc>
        <w:tc>
          <w:tcPr>
            <w:tcW w:w="1250" w:type="dxa"/>
            <w:tcBorders>
              <w:top w:val="nil"/>
              <w:left w:val="nil"/>
              <w:bottom w:val="nil"/>
              <w:right w:val="nil"/>
            </w:tcBorders>
            <w:shd w:val="clear" w:color="auto" w:fill="auto"/>
            <w:noWrap/>
            <w:vAlign w:val="bottom"/>
            <w:hideMark/>
          </w:tcPr>
          <w:p w:rsidR="00BA7786" w:rsidRPr="00B4142E" w:rsidRDefault="00BA7786" w:rsidP="00BA7786">
            <w:pPr>
              <w:spacing w:after="0" w:line="240" w:lineRule="auto"/>
              <w:jc w:val="right"/>
              <w:rPr>
                <w:rFonts w:ascii="Calibri" w:eastAsia="Times New Roman" w:hAnsi="Calibri" w:cs="Times New Roman"/>
                <w:color w:val="000000"/>
                <w:sz w:val="16"/>
                <w:szCs w:val="16"/>
                <w:lang w:eastAsia="es-ES"/>
              </w:rPr>
            </w:pPr>
            <w:r w:rsidRPr="00B4142E">
              <w:rPr>
                <w:rFonts w:ascii="Calibri" w:eastAsia="Times New Roman" w:hAnsi="Calibri" w:cs="Times New Roman"/>
                <w:color w:val="000000"/>
                <w:sz w:val="16"/>
                <w:szCs w:val="16"/>
                <w:lang w:eastAsia="es-ES"/>
              </w:rPr>
              <w:t>12.37%</w:t>
            </w:r>
          </w:p>
        </w:tc>
      </w:tr>
      <w:tr w:rsidR="00BA7786" w:rsidRPr="00B4142E" w:rsidTr="00B54FAC">
        <w:trPr>
          <w:trHeight w:val="300"/>
          <w:jc w:val="center"/>
        </w:trPr>
        <w:tc>
          <w:tcPr>
            <w:tcW w:w="1623" w:type="dxa"/>
            <w:tcBorders>
              <w:top w:val="nil"/>
              <w:left w:val="nil"/>
              <w:bottom w:val="nil"/>
              <w:right w:val="nil"/>
            </w:tcBorders>
            <w:shd w:val="clear" w:color="000000" w:fill="CCCCFF"/>
            <w:noWrap/>
            <w:vAlign w:val="bottom"/>
            <w:hideMark/>
          </w:tcPr>
          <w:p w:rsidR="00BA7786" w:rsidRPr="00B4142E" w:rsidRDefault="00BA7786" w:rsidP="00BA7786">
            <w:pPr>
              <w:spacing w:after="0" w:line="240" w:lineRule="auto"/>
              <w:rPr>
                <w:rFonts w:ascii="Calibri" w:eastAsia="Times New Roman" w:hAnsi="Calibri" w:cs="Times New Roman"/>
                <w:b/>
                <w:bCs/>
                <w:color w:val="000000"/>
                <w:sz w:val="16"/>
                <w:szCs w:val="16"/>
                <w:lang w:eastAsia="es-ES"/>
              </w:rPr>
            </w:pPr>
            <w:proofErr w:type="spellStart"/>
            <w:r w:rsidRPr="00B4142E">
              <w:rPr>
                <w:rFonts w:ascii="Calibri" w:eastAsia="Times New Roman" w:hAnsi="Calibri" w:cs="Times New Roman"/>
                <w:b/>
                <w:bCs/>
                <w:color w:val="000000"/>
                <w:sz w:val="16"/>
                <w:szCs w:val="16"/>
                <w:lang w:eastAsia="es-ES"/>
              </w:rPr>
              <w:t>Secondary</w:t>
            </w:r>
            <w:proofErr w:type="spellEnd"/>
          </w:p>
        </w:tc>
        <w:tc>
          <w:tcPr>
            <w:tcW w:w="799" w:type="dxa"/>
            <w:tcBorders>
              <w:top w:val="nil"/>
              <w:left w:val="nil"/>
              <w:bottom w:val="nil"/>
              <w:right w:val="nil"/>
            </w:tcBorders>
            <w:shd w:val="clear" w:color="000000" w:fill="CCCCFF"/>
            <w:noWrap/>
            <w:vAlign w:val="bottom"/>
            <w:hideMark/>
          </w:tcPr>
          <w:p w:rsidR="00BA7786" w:rsidRPr="00B4142E" w:rsidRDefault="00BA7786" w:rsidP="00BA7786">
            <w:pPr>
              <w:spacing w:after="0" w:line="240" w:lineRule="auto"/>
              <w:rPr>
                <w:rFonts w:ascii="Calibri" w:eastAsia="Times New Roman" w:hAnsi="Calibri" w:cs="Times New Roman"/>
                <w:color w:val="000000"/>
                <w:sz w:val="16"/>
                <w:szCs w:val="16"/>
                <w:lang w:eastAsia="es-ES"/>
              </w:rPr>
            </w:pPr>
            <w:r w:rsidRPr="00B4142E">
              <w:rPr>
                <w:rFonts w:ascii="Calibri" w:eastAsia="Times New Roman" w:hAnsi="Calibri" w:cs="Times New Roman"/>
                <w:color w:val="000000"/>
                <w:sz w:val="16"/>
                <w:szCs w:val="16"/>
                <w:lang w:eastAsia="es-ES"/>
              </w:rPr>
              <w:t> </w:t>
            </w:r>
          </w:p>
        </w:tc>
        <w:tc>
          <w:tcPr>
            <w:tcW w:w="1197" w:type="dxa"/>
            <w:tcBorders>
              <w:top w:val="nil"/>
              <w:left w:val="nil"/>
              <w:bottom w:val="nil"/>
              <w:right w:val="nil"/>
            </w:tcBorders>
            <w:shd w:val="clear" w:color="000000" w:fill="CCCCFF"/>
            <w:noWrap/>
            <w:vAlign w:val="bottom"/>
            <w:hideMark/>
          </w:tcPr>
          <w:p w:rsidR="00BA7786" w:rsidRPr="00B4142E" w:rsidRDefault="00BA7786" w:rsidP="00BA7786">
            <w:pPr>
              <w:spacing w:after="0" w:line="240" w:lineRule="auto"/>
              <w:rPr>
                <w:rFonts w:ascii="Calibri" w:eastAsia="Times New Roman" w:hAnsi="Calibri" w:cs="Times New Roman"/>
                <w:color w:val="000000"/>
                <w:sz w:val="16"/>
                <w:szCs w:val="16"/>
                <w:lang w:eastAsia="es-ES"/>
              </w:rPr>
            </w:pPr>
            <w:r w:rsidRPr="00B4142E">
              <w:rPr>
                <w:rFonts w:ascii="Calibri" w:eastAsia="Times New Roman" w:hAnsi="Calibri" w:cs="Times New Roman"/>
                <w:color w:val="000000"/>
                <w:sz w:val="16"/>
                <w:szCs w:val="16"/>
                <w:lang w:eastAsia="es-ES"/>
              </w:rPr>
              <w:t> </w:t>
            </w:r>
          </w:p>
        </w:tc>
        <w:tc>
          <w:tcPr>
            <w:tcW w:w="1197" w:type="dxa"/>
            <w:tcBorders>
              <w:top w:val="nil"/>
              <w:left w:val="nil"/>
              <w:bottom w:val="nil"/>
              <w:right w:val="nil"/>
            </w:tcBorders>
            <w:shd w:val="clear" w:color="000000" w:fill="CCCCFF"/>
            <w:noWrap/>
            <w:vAlign w:val="bottom"/>
            <w:hideMark/>
          </w:tcPr>
          <w:p w:rsidR="00BA7786" w:rsidRPr="00B4142E" w:rsidRDefault="00BA7786" w:rsidP="00BA7786">
            <w:pPr>
              <w:spacing w:after="0" w:line="240" w:lineRule="auto"/>
              <w:rPr>
                <w:rFonts w:ascii="Calibri" w:eastAsia="Times New Roman" w:hAnsi="Calibri" w:cs="Times New Roman"/>
                <w:color w:val="000000"/>
                <w:sz w:val="16"/>
                <w:szCs w:val="16"/>
                <w:lang w:eastAsia="es-ES"/>
              </w:rPr>
            </w:pPr>
            <w:r w:rsidRPr="00B4142E">
              <w:rPr>
                <w:rFonts w:ascii="Calibri" w:eastAsia="Times New Roman" w:hAnsi="Calibri" w:cs="Times New Roman"/>
                <w:color w:val="000000"/>
                <w:sz w:val="16"/>
                <w:szCs w:val="16"/>
                <w:lang w:eastAsia="es-ES"/>
              </w:rPr>
              <w:t> </w:t>
            </w:r>
          </w:p>
        </w:tc>
        <w:tc>
          <w:tcPr>
            <w:tcW w:w="1553" w:type="dxa"/>
            <w:tcBorders>
              <w:top w:val="nil"/>
              <w:left w:val="nil"/>
              <w:bottom w:val="nil"/>
              <w:right w:val="nil"/>
            </w:tcBorders>
            <w:shd w:val="clear" w:color="000000" w:fill="CCCCFF"/>
            <w:noWrap/>
            <w:vAlign w:val="bottom"/>
            <w:hideMark/>
          </w:tcPr>
          <w:p w:rsidR="00BA7786" w:rsidRPr="00B4142E" w:rsidRDefault="00BA7786" w:rsidP="00BA7786">
            <w:pPr>
              <w:spacing w:after="0" w:line="240" w:lineRule="auto"/>
              <w:rPr>
                <w:rFonts w:ascii="Calibri" w:eastAsia="Times New Roman" w:hAnsi="Calibri" w:cs="Times New Roman"/>
                <w:color w:val="000000"/>
                <w:sz w:val="16"/>
                <w:szCs w:val="16"/>
                <w:lang w:eastAsia="es-ES"/>
              </w:rPr>
            </w:pPr>
            <w:r w:rsidRPr="00B4142E">
              <w:rPr>
                <w:rFonts w:ascii="Calibri" w:eastAsia="Times New Roman" w:hAnsi="Calibri" w:cs="Times New Roman"/>
                <w:color w:val="000000"/>
                <w:sz w:val="16"/>
                <w:szCs w:val="16"/>
                <w:lang w:eastAsia="es-ES"/>
              </w:rPr>
              <w:t> </w:t>
            </w:r>
          </w:p>
        </w:tc>
        <w:tc>
          <w:tcPr>
            <w:tcW w:w="1250" w:type="dxa"/>
            <w:tcBorders>
              <w:top w:val="nil"/>
              <w:left w:val="nil"/>
              <w:bottom w:val="nil"/>
              <w:right w:val="nil"/>
            </w:tcBorders>
            <w:shd w:val="clear" w:color="000000" w:fill="CCCCFF"/>
            <w:noWrap/>
            <w:vAlign w:val="bottom"/>
            <w:hideMark/>
          </w:tcPr>
          <w:p w:rsidR="00BA7786" w:rsidRPr="00B4142E" w:rsidRDefault="00BA7786" w:rsidP="00BA7786">
            <w:pPr>
              <w:spacing w:after="0" w:line="240" w:lineRule="auto"/>
              <w:rPr>
                <w:rFonts w:ascii="Calibri" w:eastAsia="Times New Roman" w:hAnsi="Calibri" w:cs="Times New Roman"/>
                <w:color w:val="000000"/>
                <w:sz w:val="16"/>
                <w:szCs w:val="16"/>
                <w:lang w:eastAsia="es-ES"/>
              </w:rPr>
            </w:pPr>
            <w:r w:rsidRPr="00B4142E">
              <w:rPr>
                <w:rFonts w:ascii="Calibri" w:eastAsia="Times New Roman" w:hAnsi="Calibri" w:cs="Times New Roman"/>
                <w:color w:val="000000"/>
                <w:sz w:val="16"/>
                <w:szCs w:val="16"/>
                <w:lang w:eastAsia="es-ES"/>
              </w:rPr>
              <w:t> </w:t>
            </w:r>
          </w:p>
        </w:tc>
      </w:tr>
      <w:tr w:rsidR="00BA7786" w:rsidRPr="00B4142E" w:rsidTr="00B54FAC">
        <w:trPr>
          <w:trHeight w:val="300"/>
          <w:jc w:val="center"/>
        </w:trPr>
        <w:tc>
          <w:tcPr>
            <w:tcW w:w="1623" w:type="dxa"/>
            <w:tcBorders>
              <w:top w:val="nil"/>
              <w:left w:val="nil"/>
              <w:bottom w:val="nil"/>
              <w:right w:val="nil"/>
            </w:tcBorders>
            <w:shd w:val="clear" w:color="auto" w:fill="auto"/>
            <w:noWrap/>
            <w:vAlign w:val="bottom"/>
            <w:hideMark/>
          </w:tcPr>
          <w:p w:rsidR="00BA7786" w:rsidRPr="00B4142E" w:rsidRDefault="00BA7786" w:rsidP="00BA7786">
            <w:pPr>
              <w:spacing w:after="0" w:line="240" w:lineRule="auto"/>
              <w:rPr>
                <w:rFonts w:ascii="Calibri" w:eastAsia="Times New Roman" w:hAnsi="Calibri" w:cs="Times New Roman"/>
                <w:color w:val="000000"/>
                <w:sz w:val="16"/>
                <w:szCs w:val="16"/>
                <w:lang w:eastAsia="es-ES"/>
              </w:rPr>
            </w:pPr>
            <w:r w:rsidRPr="00B4142E">
              <w:rPr>
                <w:rFonts w:ascii="Calibri" w:eastAsia="Times New Roman" w:hAnsi="Calibri" w:cs="Times New Roman"/>
                <w:color w:val="000000"/>
                <w:sz w:val="16"/>
                <w:szCs w:val="16"/>
                <w:lang w:eastAsia="es-ES"/>
              </w:rPr>
              <w:t>% Total</w:t>
            </w:r>
          </w:p>
        </w:tc>
        <w:tc>
          <w:tcPr>
            <w:tcW w:w="799" w:type="dxa"/>
            <w:tcBorders>
              <w:top w:val="nil"/>
              <w:left w:val="nil"/>
              <w:bottom w:val="nil"/>
              <w:right w:val="nil"/>
            </w:tcBorders>
            <w:shd w:val="clear" w:color="auto" w:fill="auto"/>
            <w:noWrap/>
            <w:vAlign w:val="bottom"/>
            <w:hideMark/>
          </w:tcPr>
          <w:p w:rsidR="00BA7786" w:rsidRPr="00B4142E" w:rsidRDefault="00BA7786" w:rsidP="00BA7786">
            <w:pPr>
              <w:spacing w:after="0" w:line="240" w:lineRule="auto"/>
              <w:rPr>
                <w:rFonts w:ascii="Calibri" w:eastAsia="Times New Roman" w:hAnsi="Calibri" w:cs="Times New Roman"/>
                <w:color w:val="000000"/>
                <w:sz w:val="16"/>
                <w:szCs w:val="16"/>
                <w:lang w:eastAsia="es-ES"/>
              </w:rPr>
            </w:pPr>
          </w:p>
        </w:tc>
        <w:tc>
          <w:tcPr>
            <w:tcW w:w="1197" w:type="dxa"/>
            <w:tcBorders>
              <w:top w:val="nil"/>
              <w:left w:val="nil"/>
              <w:bottom w:val="nil"/>
              <w:right w:val="nil"/>
            </w:tcBorders>
            <w:shd w:val="clear" w:color="auto" w:fill="auto"/>
            <w:noWrap/>
            <w:vAlign w:val="bottom"/>
            <w:hideMark/>
          </w:tcPr>
          <w:p w:rsidR="00BA7786" w:rsidRPr="00B4142E" w:rsidRDefault="00BA7786" w:rsidP="00BA7786">
            <w:pPr>
              <w:spacing w:after="0" w:line="240" w:lineRule="auto"/>
              <w:rPr>
                <w:rFonts w:ascii="Calibri" w:eastAsia="Times New Roman" w:hAnsi="Calibri" w:cs="Times New Roman"/>
                <w:color w:val="000000"/>
                <w:sz w:val="16"/>
                <w:szCs w:val="16"/>
                <w:lang w:eastAsia="es-ES"/>
              </w:rPr>
            </w:pPr>
          </w:p>
        </w:tc>
        <w:tc>
          <w:tcPr>
            <w:tcW w:w="1197" w:type="dxa"/>
            <w:tcBorders>
              <w:top w:val="nil"/>
              <w:left w:val="nil"/>
              <w:bottom w:val="nil"/>
              <w:right w:val="nil"/>
            </w:tcBorders>
            <w:shd w:val="clear" w:color="auto" w:fill="auto"/>
            <w:noWrap/>
            <w:vAlign w:val="bottom"/>
            <w:hideMark/>
          </w:tcPr>
          <w:p w:rsidR="00BA7786" w:rsidRPr="00B4142E" w:rsidRDefault="00BA7786" w:rsidP="00BA7786">
            <w:pPr>
              <w:spacing w:after="0" w:line="240" w:lineRule="auto"/>
              <w:rPr>
                <w:rFonts w:ascii="Calibri" w:eastAsia="Times New Roman" w:hAnsi="Calibri" w:cs="Times New Roman"/>
                <w:color w:val="000000"/>
                <w:sz w:val="16"/>
                <w:szCs w:val="16"/>
                <w:lang w:eastAsia="es-ES"/>
              </w:rPr>
            </w:pPr>
          </w:p>
        </w:tc>
        <w:tc>
          <w:tcPr>
            <w:tcW w:w="1553" w:type="dxa"/>
            <w:tcBorders>
              <w:top w:val="nil"/>
              <w:left w:val="nil"/>
              <w:bottom w:val="nil"/>
              <w:right w:val="nil"/>
            </w:tcBorders>
            <w:shd w:val="clear" w:color="auto" w:fill="auto"/>
            <w:noWrap/>
            <w:vAlign w:val="bottom"/>
            <w:hideMark/>
          </w:tcPr>
          <w:p w:rsidR="00BA7786" w:rsidRPr="00B4142E" w:rsidRDefault="00BA7786" w:rsidP="00BA7786">
            <w:pPr>
              <w:spacing w:after="0" w:line="240" w:lineRule="auto"/>
              <w:rPr>
                <w:rFonts w:ascii="Calibri" w:eastAsia="Times New Roman" w:hAnsi="Calibri" w:cs="Times New Roman"/>
                <w:color w:val="000000"/>
                <w:sz w:val="16"/>
                <w:szCs w:val="16"/>
                <w:lang w:eastAsia="es-ES"/>
              </w:rPr>
            </w:pPr>
          </w:p>
        </w:tc>
        <w:tc>
          <w:tcPr>
            <w:tcW w:w="1250" w:type="dxa"/>
            <w:tcBorders>
              <w:top w:val="nil"/>
              <w:left w:val="nil"/>
              <w:bottom w:val="nil"/>
              <w:right w:val="nil"/>
            </w:tcBorders>
            <w:shd w:val="clear" w:color="auto" w:fill="auto"/>
            <w:noWrap/>
            <w:vAlign w:val="bottom"/>
            <w:hideMark/>
          </w:tcPr>
          <w:p w:rsidR="00BA7786" w:rsidRPr="00B4142E" w:rsidRDefault="00BA7786" w:rsidP="00BA7786">
            <w:pPr>
              <w:spacing w:after="0" w:line="240" w:lineRule="auto"/>
              <w:rPr>
                <w:rFonts w:ascii="Calibri" w:eastAsia="Times New Roman" w:hAnsi="Calibri" w:cs="Times New Roman"/>
                <w:color w:val="000000"/>
                <w:sz w:val="16"/>
                <w:szCs w:val="16"/>
                <w:lang w:eastAsia="es-ES"/>
              </w:rPr>
            </w:pPr>
          </w:p>
        </w:tc>
      </w:tr>
      <w:tr w:rsidR="00BA7786" w:rsidRPr="00B4142E" w:rsidTr="00B54FAC">
        <w:trPr>
          <w:trHeight w:val="300"/>
          <w:jc w:val="center"/>
        </w:trPr>
        <w:tc>
          <w:tcPr>
            <w:tcW w:w="1623" w:type="dxa"/>
            <w:tcBorders>
              <w:top w:val="nil"/>
              <w:left w:val="nil"/>
              <w:bottom w:val="nil"/>
              <w:right w:val="nil"/>
            </w:tcBorders>
            <w:shd w:val="clear" w:color="auto" w:fill="auto"/>
            <w:noWrap/>
            <w:vAlign w:val="bottom"/>
            <w:hideMark/>
          </w:tcPr>
          <w:p w:rsidR="00BA7786" w:rsidRPr="00B4142E" w:rsidRDefault="00BA7786" w:rsidP="00BA7786">
            <w:pPr>
              <w:spacing w:after="0" w:line="240" w:lineRule="auto"/>
              <w:rPr>
                <w:rFonts w:ascii="Calibri" w:eastAsia="Times New Roman" w:hAnsi="Calibri" w:cs="Times New Roman"/>
                <w:color w:val="000000"/>
                <w:sz w:val="16"/>
                <w:szCs w:val="16"/>
                <w:lang w:eastAsia="es-ES"/>
              </w:rPr>
            </w:pPr>
            <w:proofErr w:type="spellStart"/>
            <w:r w:rsidRPr="00B4142E">
              <w:rPr>
                <w:rFonts w:ascii="Calibri" w:eastAsia="Times New Roman" w:hAnsi="Calibri" w:cs="Times New Roman"/>
                <w:color w:val="000000"/>
                <w:sz w:val="16"/>
                <w:szCs w:val="16"/>
                <w:lang w:eastAsia="es-ES"/>
              </w:rPr>
              <w:t>Recurrent</w:t>
            </w:r>
            <w:proofErr w:type="spellEnd"/>
          </w:p>
        </w:tc>
        <w:tc>
          <w:tcPr>
            <w:tcW w:w="799" w:type="dxa"/>
            <w:tcBorders>
              <w:top w:val="nil"/>
              <w:left w:val="nil"/>
              <w:bottom w:val="nil"/>
              <w:right w:val="nil"/>
            </w:tcBorders>
            <w:shd w:val="clear" w:color="auto" w:fill="auto"/>
            <w:noWrap/>
            <w:vAlign w:val="bottom"/>
            <w:hideMark/>
          </w:tcPr>
          <w:p w:rsidR="00BA7786" w:rsidRPr="00B4142E" w:rsidRDefault="00BA7786" w:rsidP="00BA7786">
            <w:pPr>
              <w:spacing w:after="0" w:line="240" w:lineRule="auto"/>
              <w:jc w:val="right"/>
              <w:rPr>
                <w:rFonts w:ascii="Calibri" w:eastAsia="Times New Roman" w:hAnsi="Calibri" w:cs="Times New Roman"/>
                <w:color w:val="000000"/>
                <w:sz w:val="16"/>
                <w:szCs w:val="16"/>
                <w:lang w:eastAsia="es-ES"/>
              </w:rPr>
            </w:pPr>
            <w:r w:rsidRPr="00B4142E">
              <w:rPr>
                <w:rFonts w:ascii="Calibri" w:eastAsia="Times New Roman" w:hAnsi="Calibri" w:cs="Times New Roman"/>
                <w:color w:val="000000"/>
                <w:sz w:val="16"/>
                <w:szCs w:val="16"/>
                <w:lang w:eastAsia="es-ES"/>
              </w:rPr>
              <w:t>90.45%</w:t>
            </w:r>
          </w:p>
        </w:tc>
        <w:tc>
          <w:tcPr>
            <w:tcW w:w="1197" w:type="dxa"/>
            <w:tcBorders>
              <w:top w:val="nil"/>
              <w:left w:val="nil"/>
              <w:bottom w:val="nil"/>
              <w:right w:val="nil"/>
            </w:tcBorders>
            <w:shd w:val="clear" w:color="auto" w:fill="auto"/>
            <w:noWrap/>
            <w:vAlign w:val="bottom"/>
            <w:hideMark/>
          </w:tcPr>
          <w:p w:rsidR="00BA7786" w:rsidRPr="00B4142E" w:rsidRDefault="00BA7786" w:rsidP="00BA7786">
            <w:pPr>
              <w:spacing w:after="0" w:line="240" w:lineRule="auto"/>
              <w:jc w:val="right"/>
              <w:rPr>
                <w:rFonts w:ascii="Calibri" w:eastAsia="Times New Roman" w:hAnsi="Calibri" w:cs="Times New Roman"/>
                <w:color w:val="000000"/>
                <w:sz w:val="16"/>
                <w:szCs w:val="16"/>
                <w:lang w:eastAsia="es-ES"/>
              </w:rPr>
            </w:pPr>
            <w:r w:rsidRPr="00B4142E">
              <w:rPr>
                <w:rFonts w:ascii="Calibri" w:eastAsia="Times New Roman" w:hAnsi="Calibri" w:cs="Times New Roman"/>
                <w:color w:val="000000"/>
                <w:sz w:val="16"/>
                <w:szCs w:val="16"/>
                <w:lang w:eastAsia="es-ES"/>
              </w:rPr>
              <w:t>91.22%</w:t>
            </w:r>
          </w:p>
        </w:tc>
        <w:tc>
          <w:tcPr>
            <w:tcW w:w="1197" w:type="dxa"/>
            <w:tcBorders>
              <w:top w:val="nil"/>
              <w:left w:val="nil"/>
              <w:bottom w:val="nil"/>
              <w:right w:val="nil"/>
            </w:tcBorders>
            <w:shd w:val="clear" w:color="auto" w:fill="auto"/>
            <w:noWrap/>
            <w:vAlign w:val="bottom"/>
            <w:hideMark/>
          </w:tcPr>
          <w:p w:rsidR="00BA7786" w:rsidRPr="00B4142E" w:rsidRDefault="00BA7786" w:rsidP="00BA7786">
            <w:pPr>
              <w:spacing w:after="0" w:line="240" w:lineRule="auto"/>
              <w:jc w:val="right"/>
              <w:rPr>
                <w:rFonts w:ascii="Calibri" w:eastAsia="Times New Roman" w:hAnsi="Calibri" w:cs="Times New Roman"/>
                <w:color w:val="000000"/>
                <w:sz w:val="16"/>
                <w:szCs w:val="16"/>
                <w:lang w:eastAsia="es-ES"/>
              </w:rPr>
            </w:pPr>
            <w:r w:rsidRPr="00B4142E">
              <w:rPr>
                <w:rFonts w:ascii="Calibri" w:eastAsia="Times New Roman" w:hAnsi="Calibri" w:cs="Times New Roman"/>
                <w:color w:val="000000"/>
                <w:sz w:val="16"/>
                <w:szCs w:val="16"/>
                <w:lang w:eastAsia="es-ES"/>
              </w:rPr>
              <w:t>81.53%</w:t>
            </w:r>
          </w:p>
        </w:tc>
        <w:tc>
          <w:tcPr>
            <w:tcW w:w="1553" w:type="dxa"/>
            <w:tcBorders>
              <w:top w:val="nil"/>
              <w:left w:val="nil"/>
              <w:bottom w:val="nil"/>
              <w:right w:val="nil"/>
            </w:tcBorders>
            <w:shd w:val="clear" w:color="auto" w:fill="auto"/>
            <w:noWrap/>
            <w:vAlign w:val="bottom"/>
            <w:hideMark/>
          </w:tcPr>
          <w:p w:rsidR="00BA7786" w:rsidRPr="00B4142E" w:rsidRDefault="00BA7786" w:rsidP="00BA7786">
            <w:pPr>
              <w:spacing w:after="0" w:line="240" w:lineRule="auto"/>
              <w:jc w:val="right"/>
              <w:rPr>
                <w:rFonts w:ascii="Calibri" w:eastAsia="Times New Roman" w:hAnsi="Calibri" w:cs="Times New Roman"/>
                <w:color w:val="000000"/>
                <w:sz w:val="16"/>
                <w:szCs w:val="16"/>
                <w:lang w:eastAsia="es-ES"/>
              </w:rPr>
            </w:pPr>
            <w:r w:rsidRPr="00B4142E">
              <w:rPr>
                <w:rFonts w:ascii="Calibri" w:eastAsia="Times New Roman" w:hAnsi="Calibri" w:cs="Times New Roman"/>
                <w:color w:val="000000"/>
                <w:sz w:val="16"/>
                <w:szCs w:val="16"/>
                <w:lang w:eastAsia="es-ES"/>
              </w:rPr>
              <w:t>85.71%</w:t>
            </w:r>
          </w:p>
        </w:tc>
        <w:tc>
          <w:tcPr>
            <w:tcW w:w="1250" w:type="dxa"/>
            <w:tcBorders>
              <w:top w:val="nil"/>
              <w:left w:val="nil"/>
              <w:bottom w:val="nil"/>
              <w:right w:val="nil"/>
            </w:tcBorders>
            <w:shd w:val="clear" w:color="auto" w:fill="auto"/>
            <w:noWrap/>
            <w:vAlign w:val="bottom"/>
            <w:hideMark/>
          </w:tcPr>
          <w:p w:rsidR="00BA7786" w:rsidRPr="00B4142E" w:rsidRDefault="00BA7786" w:rsidP="00BA7786">
            <w:pPr>
              <w:spacing w:after="0" w:line="240" w:lineRule="auto"/>
              <w:jc w:val="right"/>
              <w:rPr>
                <w:rFonts w:ascii="Calibri" w:eastAsia="Times New Roman" w:hAnsi="Calibri" w:cs="Times New Roman"/>
                <w:color w:val="000000"/>
                <w:sz w:val="16"/>
                <w:szCs w:val="16"/>
                <w:lang w:eastAsia="es-ES"/>
              </w:rPr>
            </w:pPr>
            <w:r w:rsidRPr="00B4142E">
              <w:rPr>
                <w:rFonts w:ascii="Calibri" w:eastAsia="Times New Roman" w:hAnsi="Calibri" w:cs="Times New Roman"/>
                <w:color w:val="000000"/>
                <w:sz w:val="16"/>
                <w:szCs w:val="16"/>
                <w:lang w:eastAsia="es-ES"/>
              </w:rPr>
              <w:t>85.71%</w:t>
            </w:r>
          </w:p>
        </w:tc>
      </w:tr>
      <w:tr w:rsidR="00BA7786" w:rsidRPr="00B4142E" w:rsidTr="00B54FAC">
        <w:trPr>
          <w:trHeight w:val="300"/>
          <w:jc w:val="center"/>
        </w:trPr>
        <w:tc>
          <w:tcPr>
            <w:tcW w:w="1623" w:type="dxa"/>
            <w:tcBorders>
              <w:top w:val="nil"/>
              <w:left w:val="nil"/>
              <w:bottom w:val="nil"/>
              <w:right w:val="nil"/>
            </w:tcBorders>
            <w:shd w:val="clear" w:color="auto" w:fill="auto"/>
            <w:noWrap/>
            <w:vAlign w:val="bottom"/>
            <w:hideMark/>
          </w:tcPr>
          <w:p w:rsidR="00BA7786" w:rsidRPr="00B4142E" w:rsidRDefault="00BA7786" w:rsidP="00BA7786">
            <w:pPr>
              <w:spacing w:after="0" w:line="240" w:lineRule="auto"/>
              <w:rPr>
                <w:rFonts w:ascii="Calibri" w:eastAsia="Times New Roman" w:hAnsi="Calibri" w:cs="Times New Roman"/>
                <w:color w:val="000000"/>
                <w:sz w:val="16"/>
                <w:szCs w:val="16"/>
                <w:lang w:eastAsia="es-ES"/>
              </w:rPr>
            </w:pPr>
            <w:r w:rsidRPr="00B4142E">
              <w:rPr>
                <w:rFonts w:ascii="Calibri" w:eastAsia="Times New Roman" w:hAnsi="Calibri" w:cs="Times New Roman"/>
                <w:color w:val="000000"/>
                <w:sz w:val="16"/>
                <w:szCs w:val="16"/>
                <w:lang w:eastAsia="es-ES"/>
              </w:rPr>
              <w:t>Capital</w:t>
            </w:r>
          </w:p>
        </w:tc>
        <w:tc>
          <w:tcPr>
            <w:tcW w:w="799" w:type="dxa"/>
            <w:tcBorders>
              <w:top w:val="nil"/>
              <w:left w:val="nil"/>
              <w:bottom w:val="nil"/>
              <w:right w:val="nil"/>
            </w:tcBorders>
            <w:shd w:val="clear" w:color="auto" w:fill="auto"/>
            <w:noWrap/>
            <w:vAlign w:val="bottom"/>
            <w:hideMark/>
          </w:tcPr>
          <w:p w:rsidR="00BA7786" w:rsidRPr="00B4142E" w:rsidRDefault="00BA7786" w:rsidP="00BA7786">
            <w:pPr>
              <w:spacing w:after="0" w:line="240" w:lineRule="auto"/>
              <w:jc w:val="right"/>
              <w:rPr>
                <w:rFonts w:ascii="Calibri" w:eastAsia="Times New Roman" w:hAnsi="Calibri" w:cs="Times New Roman"/>
                <w:color w:val="000000"/>
                <w:sz w:val="16"/>
                <w:szCs w:val="16"/>
                <w:lang w:eastAsia="es-ES"/>
              </w:rPr>
            </w:pPr>
            <w:r w:rsidRPr="00B4142E">
              <w:rPr>
                <w:rFonts w:ascii="Calibri" w:eastAsia="Times New Roman" w:hAnsi="Calibri" w:cs="Times New Roman"/>
                <w:color w:val="000000"/>
                <w:sz w:val="16"/>
                <w:szCs w:val="16"/>
                <w:lang w:eastAsia="es-ES"/>
              </w:rPr>
              <w:t>9.55%</w:t>
            </w:r>
          </w:p>
        </w:tc>
        <w:tc>
          <w:tcPr>
            <w:tcW w:w="1197" w:type="dxa"/>
            <w:tcBorders>
              <w:top w:val="nil"/>
              <w:left w:val="nil"/>
              <w:bottom w:val="nil"/>
              <w:right w:val="nil"/>
            </w:tcBorders>
            <w:shd w:val="clear" w:color="auto" w:fill="auto"/>
            <w:noWrap/>
            <w:vAlign w:val="bottom"/>
            <w:hideMark/>
          </w:tcPr>
          <w:p w:rsidR="00BA7786" w:rsidRPr="00B4142E" w:rsidRDefault="00BA7786" w:rsidP="00BA7786">
            <w:pPr>
              <w:spacing w:after="0" w:line="240" w:lineRule="auto"/>
              <w:jc w:val="right"/>
              <w:rPr>
                <w:rFonts w:ascii="Calibri" w:eastAsia="Times New Roman" w:hAnsi="Calibri" w:cs="Times New Roman"/>
                <w:color w:val="000000"/>
                <w:sz w:val="16"/>
                <w:szCs w:val="16"/>
                <w:lang w:eastAsia="es-ES"/>
              </w:rPr>
            </w:pPr>
            <w:r w:rsidRPr="00B4142E">
              <w:rPr>
                <w:rFonts w:ascii="Calibri" w:eastAsia="Times New Roman" w:hAnsi="Calibri" w:cs="Times New Roman"/>
                <w:color w:val="000000"/>
                <w:sz w:val="16"/>
                <w:szCs w:val="16"/>
                <w:lang w:eastAsia="es-ES"/>
              </w:rPr>
              <w:t>8.78%</w:t>
            </w:r>
          </w:p>
        </w:tc>
        <w:tc>
          <w:tcPr>
            <w:tcW w:w="1197" w:type="dxa"/>
            <w:tcBorders>
              <w:top w:val="nil"/>
              <w:left w:val="nil"/>
              <w:bottom w:val="nil"/>
              <w:right w:val="nil"/>
            </w:tcBorders>
            <w:shd w:val="clear" w:color="auto" w:fill="auto"/>
            <w:noWrap/>
            <w:vAlign w:val="bottom"/>
            <w:hideMark/>
          </w:tcPr>
          <w:p w:rsidR="00BA7786" w:rsidRPr="00B4142E" w:rsidRDefault="00BA7786" w:rsidP="00BA7786">
            <w:pPr>
              <w:spacing w:after="0" w:line="240" w:lineRule="auto"/>
              <w:jc w:val="right"/>
              <w:rPr>
                <w:rFonts w:ascii="Calibri" w:eastAsia="Times New Roman" w:hAnsi="Calibri" w:cs="Times New Roman"/>
                <w:color w:val="000000"/>
                <w:sz w:val="16"/>
                <w:szCs w:val="16"/>
                <w:lang w:eastAsia="es-ES"/>
              </w:rPr>
            </w:pPr>
            <w:r w:rsidRPr="00B4142E">
              <w:rPr>
                <w:rFonts w:ascii="Calibri" w:eastAsia="Times New Roman" w:hAnsi="Calibri" w:cs="Times New Roman"/>
                <w:color w:val="000000"/>
                <w:sz w:val="16"/>
                <w:szCs w:val="16"/>
                <w:lang w:eastAsia="es-ES"/>
              </w:rPr>
              <w:t>18.47%</w:t>
            </w:r>
          </w:p>
        </w:tc>
        <w:tc>
          <w:tcPr>
            <w:tcW w:w="1553" w:type="dxa"/>
            <w:tcBorders>
              <w:top w:val="nil"/>
              <w:left w:val="nil"/>
              <w:bottom w:val="nil"/>
              <w:right w:val="nil"/>
            </w:tcBorders>
            <w:shd w:val="clear" w:color="auto" w:fill="auto"/>
            <w:noWrap/>
            <w:vAlign w:val="bottom"/>
            <w:hideMark/>
          </w:tcPr>
          <w:p w:rsidR="00BA7786" w:rsidRPr="00B4142E" w:rsidRDefault="00BA7786" w:rsidP="00BA7786">
            <w:pPr>
              <w:spacing w:after="0" w:line="240" w:lineRule="auto"/>
              <w:jc w:val="right"/>
              <w:rPr>
                <w:rFonts w:ascii="Calibri" w:eastAsia="Times New Roman" w:hAnsi="Calibri" w:cs="Times New Roman"/>
                <w:color w:val="000000"/>
                <w:sz w:val="16"/>
                <w:szCs w:val="16"/>
                <w:lang w:eastAsia="es-ES"/>
              </w:rPr>
            </w:pPr>
            <w:r w:rsidRPr="00B4142E">
              <w:rPr>
                <w:rFonts w:ascii="Calibri" w:eastAsia="Times New Roman" w:hAnsi="Calibri" w:cs="Times New Roman"/>
                <w:color w:val="000000"/>
                <w:sz w:val="16"/>
                <w:szCs w:val="16"/>
                <w:lang w:eastAsia="es-ES"/>
              </w:rPr>
              <w:t>14.29%</w:t>
            </w:r>
          </w:p>
        </w:tc>
        <w:tc>
          <w:tcPr>
            <w:tcW w:w="1250" w:type="dxa"/>
            <w:tcBorders>
              <w:top w:val="nil"/>
              <w:left w:val="nil"/>
              <w:bottom w:val="nil"/>
              <w:right w:val="nil"/>
            </w:tcBorders>
            <w:shd w:val="clear" w:color="auto" w:fill="auto"/>
            <w:noWrap/>
            <w:vAlign w:val="bottom"/>
            <w:hideMark/>
          </w:tcPr>
          <w:p w:rsidR="00BA7786" w:rsidRPr="00B4142E" w:rsidRDefault="00BA7786" w:rsidP="00BA7786">
            <w:pPr>
              <w:spacing w:after="0" w:line="240" w:lineRule="auto"/>
              <w:jc w:val="right"/>
              <w:rPr>
                <w:rFonts w:ascii="Calibri" w:eastAsia="Times New Roman" w:hAnsi="Calibri" w:cs="Times New Roman"/>
                <w:color w:val="000000"/>
                <w:sz w:val="16"/>
                <w:szCs w:val="16"/>
                <w:lang w:eastAsia="es-ES"/>
              </w:rPr>
            </w:pPr>
            <w:r w:rsidRPr="00B4142E">
              <w:rPr>
                <w:rFonts w:ascii="Calibri" w:eastAsia="Times New Roman" w:hAnsi="Calibri" w:cs="Times New Roman"/>
                <w:color w:val="000000"/>
                <w:sz w:val="16"/>
                <w:szCs w:val="16"/>
                <w:lang w:eastAsia="es-ES"/>
              </w:rPr>
              <w:t>14.29%</w:t>
            </w:r>
          </w:p>
        </w:tc>
      </w:tr>
      <w:tr w:rsidR="00BA7786" w:rsidRPr="00B4142E" w:rsidTr="00B54FAC">
        <w:trPr>
          <w:trHeight w:val="300"/>
          <w:jc w:val="center"/>
        </w:trPr>
        <w:tc>
          <w:tcPr>
            <w:tcW w:w="1623" w:type="dxa"/>
            <w:tcBorders>
              <w:top w:val="nil"/>
              <w:left w:val="nil"/>
              <w:bottom w:val="nil"/>
              <w:right w:val="nil"/>
            </w:tcBorders>
            <w:shd w:val="clear" w:color="auto" w:fill="auto"/>
            <w:noWrap/>
            <w:vAlign w:val="bottom"/>
            <w:hideMark/>
          </w:tcPr>
          <w:p w:rsidR="00BA7786" w:rsidRPr="00B4142E" w:rsidRDefault="00BA7786" w:rsidP="00BA7786">
            <w:pPr>
              <w:spacing w:after="0" w:line="240" w:lineRule="auto"/>
              <w:rPr>
                <w:rFonts w:ascii="Calibri" w:eastAsia="Times New Roman" w:hAnsi="Calibri" w:cs="Times New Roman"/>
                <w:color w:val="000000"/>
                <w:sz w:val="16"/>
                <w:szCs w:val="16"/>
                <w:lang w:eastAsia="es-ES"/>
              </w:rPr>
            </w:pPr>
            <w:r w:rsidRPr="00B4142E">
              <w:rPr>
                <w:rFonts w:ascii="Calibri" w:eastAsia="Times New Roman" w:hAnsi="Calibri" w:cs="Times New Roman"/>
                <w:color w:val="000000"/>
                <w:sz w:val="16"/>
                <w:szCs w:val="16"/>
                <w:lang w:eastAsia="es-ES"/>
              </w:rPr>
              <w:t xml:space="preserve">% </w:t>
            </w:r>
            <w:proofErr w:type="spellStart"/>
            <w:r w:rsidRPr="00B4142E">
              <w:rPr>
                <w:rFonts w:ascii="Calibri" w:eastAsia="Times New Roman" w:hAnsi="Calibri" w:cs="Times New Roman"/>
                <w:color w:val="000000"/>
                <w:sz w:val="16"/>
                <w:szCs w:val="16"/>
                <w:lang w:eastAsia="es-ES"/>
              </w:rPr>
              <w:t>Recurrent</w:t>
            </w:r>
            <w:proofErr w:type="spellEnd"/>
          </w:p>
        </w:tc>
        <w:tc>
          <w:tcPr>
            <w:tcW w:w="799" w:type="dxa"/>
            <w:tcBorders>
              <w:top w:val="nil"/>
              <w:left w:val="nil"/>
              <w:bottom w:val="nil"/>
              <w:right w:val="nil"/>
            </w:tcBorders>
            <w:shd w:val="clear" w:color="auto" w:fill="auto"/>
            <w:noWrap/>
            <w:vAlign w:val="bottom"/>
            <w:hideMark/>
          </w:tcPr>
          <w:p w:rsidR="00BA7786" w:rsidRPr="00B4142E" w:rsidRDefault="00BA7786" w:rsidP="00BA7786">
            <w:pPr>
              <w:spacing w:after="0" w:line="240" w:lineRule="auto"/>
              <w:rPr>
                <w:rFonts w:ascii="Calibri" w:eastAsia="Times New Roman" w:hAnsi="Calibri" w:cs="Times New Roman"/>
                <w:color w:val="000000"/>
                <w:sz w:val="16"/>
                <w:szCs w:val="16"/>
                <w:lang w:eastAsia="es-ES"/>
              </w:rPr>
            </w:pPr>
          </w:p>
        </w:tc>
        <w:tc>
          <w:tcPr>
            <w:tcW w:w="1197" w:type="dxa"/>
            <w:tcBorders>
              <w:top w:val="nil"/>
              <w:left w:val="nil"/>
              <w:bottom w:val="nil"/>
              <w:right w:val="nil"/>
            </w:tcBorders>
            <w:shd w:val="clear" w:color="auto" w:fill="auto"/>
            <w:noWrap/>
            <w:vAlign w:val="bottom"/>
            <w:hideMark/>
          </w:tcPr>
          <w:p w:rsidR="00BA7786" w:rsidRPr="00B4142E" w:rsidRDefault="00BA7786" w:rsidP="00BA7786">
            <w:pPr>
              <w:spacing w:after="0" w:line="240" w:lineRule="auto"/>
              <w:rPr>
                <w:rFonts w:ascii="Calibri" w:eastAsia="Times New Roman" w:hAnsi="Calibri" w:cs="Times New Roman"/>
                <w:color w:val="000000"/>
                <w:sz w:val="16"/>
                <w:szCs w:val="16"/>
                <w:lang w:eastAsia="es-ES"/>
              </w:rPr>
            </w:pPr>
          </w:p>
        </w:tc>
        <w:tc>
          <w:tcPr>
            <w:tcW w:w="1197" w:type="dxa"/>
            <w:tcBorders>
              <w:top w:val="nil"/>
              <w:left w:val="nil"/>
              <w:bottom w:val="nil"/>
              <w:right w:val="nil"/>
            </w:tcBorders>
            <w:shd w:val="clear" w:color="auto" w:fill="auto"/>
            <w:noWrap/>
            <w:vAlign w:val="bottom"/>
            <w:hideMark/>
          </w:tcPr>
          <w:p w:rsidR="00BA7786" w:rsidRPr="00B4142E" w:rsidRDefault="00BA7786" w:rsidP="00BA7786">
            <w:pPr>
              <w:spacing w:after="0" w:line="240" w:lineRule="auto"/>
              <w:rPr>
                <w:rFonts w:ascii="Calibri" w:eastAsia="Times New Roman" w:hAnsi="Calibri" w:cs="Times New Roman"/>
                <w:color w:val="000000"/>
                <w:sz w:val="16"/>
                <w:szCs w:val="16"/>
                <w:lang w:eastAsia="es-ES"/>
              </w:rPr>
            </w:pPr>
          </w:p>
        </w:tc>
        <w:tc>
          <w:tcPr>
            <w:tcW w:w="1553" w:type="dxa"/>
            <w:tcBorders>
              <w:top w:val="nil"/>
              <w:left w:val="nil"/>
              <w:bottom w:val="nil"/>
              <w:right w:val="nil"/>
            </w:tcBorders>
            <w:shd w:val="clear" w:color="auto" w:fill="auto"/>
            <w:noWrap/>
            <w:vAlign w:val="bottom"/>
            <w:hideMark/>
          </w:tcPr>
          <w:p w:rsidR="00BA7786" w:rsidRPr="00B4142E" w:rsidRDefault="00BA7786" w:rsidP="00BA7786">
            <w:pPr>
              <w:spacing w:after="0" w:line="240" w:lineRule="auto"/>
              <w:rPr>
                <w:rFonts w:ascii="Calibri" w:eastAsia="Times New Roman" w:hAnsi="Calibri" w:cs="Times New Roman"/>
                <w:color w:val="000000"/>
                <w:sz w:val="16"/>
                <w:szCs w:val="16"/>
                <w:lang w:eastAsia="es-ES"/>
              </w:rPr>
            </w:pPr>
          </w:p>
        </w:tc>
        <w:tc>
          <w:tcPr>
            <w:tcW w:w="1250" w:type="dxa"/>
            <w:tcBorders>
              <w:top w:val="nil"/>
              <w:left w:val="nil"/>
              <w:bottom w:val="nil"/>
              <w:right w:val="nil"/>
            </w:tcBorders>
            <w:shd w:val="clear" w:color="auto" w:fill="auto"/>
            <w:noWrap/>
            <w:vAlign w:val="bottom"/>
            <w:hideMark/>
          </w:tcPr>
          <w:p w:rsidR="00BA7786" w:rsidRPr="00B4142E" w:rsidRDefault="00BA7786" w:rsidP="00BA7786">
            <w:pPr>
              <w:spacing w:after="0" w:line="240" w:lineRule="auto"/>
              <w:rPr>
                <w:rFonts w:ascii="Calibri" w:eastAsia="Times New Roman" w:hAnsi="Calibri" w:cs="Times New Roman"/>
                <w:color w:val="000000"/>
                <w:sz w:val="16"/>
                <w:szCs w:val="16"/>
                <w:lang w:eastAsia="es-ES"/>
              </w:rPr>
            </w:pPr>
          </w:p>
        </w:tc>
      </w:tr>
      <w:tr w:rsidR="00BA7786" w:rsidRPr="00B4142E" w:rsidTr="00B54FAC">
        <w:trPr>
          <w:trHeight w:val="300"/>
          <w:jc w:val="center"/>
        </w:trPr>
        <w:tc>
          <w:tcPr>
            <w:tcW w:w="1623" w:type="dxa"/>
            <w:tcBorders>
              <w:top w:val="nil"/>
              <w:left w:val="nil"/>
              <w:bottom w:val="nil"/>
              <w:right w:val="nil"/>
            </w:tcBorders>
            <w:shd w:val="clear" w:color="auto" w:fill="auto"/>
            <w:noWrap/>
            <w:vAlign w:val="bottom"/>
            <w:hideMark/>
          </w:tcPr>
          <w:p w:rsidR="00BA7786" w:rsidRPr="00B4142E" w:rsidRDefault="00BA7786" w:rsidP="00BA7786">
            <w:pPr>
              <w:spacing w:after="0" w:line="240" w:lineRule="auto"/>
              <w:rPr>
                <w:rFonts w:ascii="Calibri" w:eastAsia="Times New Roman" w:hAnsi="Calibri" w:cs="Times New Roman"/>
                <w:color w:val="000000"/>
                <w:sz w:val="16"/>
                <w:szCs w:val="16"/>
                <w:lang w:eastAsia="es-ES"/>
              </w:rPr>
            </w:pPr>
            <w:proofErr w:type="spellStart"/>
            <w:r w:rsidRPr="00B4142E">
              <w:rPr>
                <w:rFonts w:ascii="Calibri" w:eastAsia="Times New Roman" w:hAnsi="Calibri" w:cs="Times New Roman"/>
                <w:color w:val="000000"/>
                <w:sz w:val="16"/>
                <w:szCs w:val="16"/>
                <w:lang w:eastAsia="es-ES"/>
              </w:rPr>
              <w:t>Wages</w:t>
            </w:r>
            <w:proofErr w:type="spellEnd"/>
          </w:p>
        </w:tc>
        <w:tc>
          <w:tcPr>
            <w:tcW w:w="799" w:type="dxa"/>
            <w:tcBorders>
              <w:top w:val="nil"/>
              <w:left w:val="nil"/>
              <w:bottom w:val="nil"/>
              <w:right w:val="nil"/>
            </w:tcBorders>
            <w:shd w:val="clear" w:color="auto" w:fill="auto"/>
            <w:noWrap/>
            <w:vAlign w:val="bottom"/>
            <w:hideMark/>
          </w:tcPr>
          <w:p w:rsidR="00BA7786" w:rsidRPr="00B4142E" w:rsidRDefault="00BA7786" w:rsidP="00BA7786">
            <w:pPr>
              <w:spacing w:after="0" w:line="240" w:lineRule="auto"/>
              <w:jc w:val="right"/>
              <w:rPr>
                <w:rFonts w:ascii="Calibri" w:eastAsia="Times New Roman" w:hAnsi="Calibri" w:cs="Times New Roman"/>
                <w:color w:val="000000"/>
                <w:sz w:val="16"/>
                <w:szCs w:val="16"/>
                <w:lang w:eastAsia="es-ES"/>
              </w:rPr>
            </w:pPr>
            <w:r w:rsidRPr="00B4142E">
              <w:rPr>
                <w:rFonts w:ascii="Calibri" w:eastAsia="Times New Roman" w:hAnsi="Calibri" w:cs="Times New Roman"/>
                <w:color w:val="000000"/>
                <w:sz w:val="16"/>
                <w:szCs w:val="16"/>
                <w:lang w:eastAsia="es-ES"/>
              </w:rPr>
              <w:t>96.70%</w:t>
            </w:r>
          </w:p>
        </w:tc>
        <w:tc>
          <w:tcPr>
            <w:tcW w:w="1197" w:type="dxa"/>
            <w:tcBorders>
              <w:top w:val="nil"/>
              <w:left w:val="nil"/>
              <w:bottom w:val="nil"/>
              <w:right w:val="nil"/>
            </w:tcBorders>
            <w:shd w:val="clear" w:color="auto" w:fill="auto"/>
            <w:noWrap/>
            <w:vAlign w:val="bottom"/>
            <w:hideMark/>
          </w:tcPr>
          <w:p w:rsidR="00BA7786" w:rsidRPr="00B4142E" w:rsidRDefault="00BA7786" w:rsidP="00BA7786">
            <w:pPr>
              <w:spacing w:after="0" w:line="240" w:lineRule="auto"/>
              <w:jc w:val="right"/>
              <w:rPr>
                <w:rFonts w:ascii="Calibri" w:eastAsia="Times New Roman" w:hAnsi="Calibri" w:cs="Times New Roman"/>
                <w:color w:val="000000"/>
                <w:sz w:val="16"/>
                <w:szCs w:val="16"/>
                <w:lang w:eastAsia="es-ES"/>
              </w:rPr>
            </w:pPr>
            <w:r w:rsidRPr="00B4142E">
              <w:rPr>
                <w:rFonts w:ascii="Calibri" w:eastAsia="Times New Roman" w:hAnsi="Calibri" w:cs="Times New Roman"/>
                <w:color w:val="000000"/>
                <w:sz w:val="16"/>
                <w:szCs w:val="16"/>
                <w:lang w:eastAsia="es-ES"/>
              </w:rPr>
              <w:t>90.75%</w:t>
            </w:r>
          </w:p>
        </w:tc>
        <w:tc>
          <w:tcPr>
            <w:tcW w:w="1197" w:type="dxa"/>
            <w:tcBorders>
              <w:top w:val="nil"/>
              <w:left w:val="nil"/>
              <w:bottom w:val="nil"/>
              <w:right w:val="nil"/>
            </w:tcBorders>
            <w:shd w:val="clear" w:color="auto" w:fill="auto"/>
            <w:noWrap/>
            <w:vAlign w:val="bottom"/>
            <w:hideMark/>
          </w:tcPr>
          <w:p w:rsidR="00BA7786" w:rsidRPr="00B4142E" w:rsidRDefault="00BA7786" w:rsidP="00BA7786">
            <w:pPr>
              <w:spacing w:after="0" w:line="240" w:lineRule="auto"/>
              <w:jc w:val="right"/>
              <w:rPr>
                <w:rFonts w:ascii="Calibri" w:eastAsia="Times New Roman" w:hAnsi="Calibri" w:cs="Times New Roman"/>
                <w:color w:val="000000"/>
                <w:sz w:val="16"/>
                <w:szCs w:val="16"/>
                <w:lang w:eastAsia="es-ES"/>
              </w:rPr>
            </w:pPr>
            <w:r w:rsidRPr="00B4142E">
              <w:rPr>
                <w:rFonts w:ascii="Calibri" w:eastAsia="Times New Roman" w:hAnsi="Calibri" w:cs="Times New Roman"/>
                <w:color w:val="000000"/>
                <w:sz w:val="16"/>
                <w:szCs w:val="16"/>
                <w:lang w:eastAsia="es-ES"/>
              </w:rPr>
              <w:t>93.57%</w:t>
            </w:r>
          </w:p>
        </w:tc>
        <w:tc>
          <w:tcPr>
            <w:tcW w:w="1553" w:type="dxa"/>
            <w:tcBorders>
              <w:top w:val="nil"/>
              <w:left w:val="nil"/>
              <w:bottom w:val="nil"/>
              <w:right w:val="nil"/>
            </w:tcBorders>
            <w:shd w:val="clear" w:color="auto" w:fill="auto"/>
            <w:noWrap/>
            <w:vAlign w:val="bottom"/>
            <w:hideMark/>
          </w:tcPr>
          <w:p w:rsidR="00BA7786" w:rsidRPr="00B4142E" w:rsidRDefault="00BA7786" w:rsidP="00BA7786">
            <w:pPr>
              <w:spacing w:after="0" w:line="240" w:lineRule="auto"/>
              <w:jc w:val="right"/>
              <w:rPr>
                <w:rFonts w:ascii="Calibri" w:eastAsia="Times New Roman" w:hAnsi="Calibri" w:cs="Times New Roman"/>
                <w:color w:val="000000"/>
                <w:sz w:val="16"/>
                <w:szCs w:val="16"/>
                <w:lang w:eastAsia="es-ES"/>
              </w:rPr>
            </w:pPr>
            <w:r w:rsidRPr="00B4142E">
              <w:rPr>
                <w:rFonts w:ascii="Calibri" w:eastAsia="Times New Roman" w:hAnsi="Calibri" w:cs="Times New Roman"/>
                <w:color w:val="000000"/>
                <w:sz w:val="16"/>
                <w:szCs w:val="16"/>
                <w:lang w:eastAsia="es-ES"/>
              </w:rPr>
              <w:t>90.09%</w:t>
            </w:r>
          </w:p>
        </w:tc>
        <w:tc>
          <w:tcPr>
            <w:tcW w:w="1250" w:type="dxa"/>
            <w:tcBorders>
              <w:top w:val="nil"/>
              <w:left w:val="nil"/>
              <w:bottom w:val="nil"/>
              <w:right w:val="nil"/>
            </w:tcBorders>
            <w:shd w:val="clear" w:color="auto" w:fill="auto"/>
            <w:noWrap/>
            <w:vAlign w:val="bottom"/>
            <w:hideMark/>
          </w:tcPr>
          <w:p w:rsidR="00BA7786" w:rsidRPr="00B4142E" w:rsidRDefault="00BA7786" w:rsidP="00BA7786">
            <w:pPr>
              <w:spacing w:after="0" w:line="240" w:lineRule="auto"/>
              <w:jc w:val="right"/>
              <w:rPr>
                <w:rFonts w:ascii="Calibri" w:eastAsia="Times New Roman" w:hAnsi="Calibri" w:cs="Times New Roman"/>
                <w:color w:val="000000"/>
                <w:sz w:val="16"/>
                <w:szCs w:val="16"/>
                <w:lang w:eastAsia="es-ES"/>
              </w:rPr>
            </w:pPr>
            <w:r w:rsidRPr="00B4142E">
              <w:rPr>
                <w:rFonts w:ascii="Calibri" w:eastAsia="Times New Roman" w:hAnsi="Calibri" w:cs="Times New Roman"/>
                <w:color w:val="000000"/>
                <w:sz w:val="16"/>
                <w:szCs w:val="16"/>
                <w:lang w:eastAsia="es-ES"/>
              </w:rPr>
              <w:t>90.09%</w:t>
            </w:r>
          </w:p>
        </w:tc>
      </w:tr>
      <w:tr w:rsidR="00BA7786" w:rsidRPr="00B4142E" w:rsidTr="00B54FAC">
        <w:trPr>
          <w:trHeight w:val="300"/>
          <w:jc w:val="center"/>
        </w:trPr>
        <w:tc>
          <w:tcPr>
            <w:tcW w:w="1623" w:type="dxa"/>
            <w:tcBorders>
              <w:top w:val="nil"/>
              <w:left w:val="nil"/>
              <w:bottom w:val="nil"/>
              <w:right w:val="nil"/>
            </w:tcBorders>
            <w:shd w:val="clear" w:color="auto" w:fill="auto"/>
            <w:noWrap/>
            <w:vAlign w:val="bottom"/>
            <w:hideMark/>
          </w:tcPr>
          <w:p w:rsidR="00BA7786" w:rsidRPr="00B4142E" w:rsidRDefault="00BA7786" w:rsidP="00BA7786">
            <w:pPr>
              <w:spacing w:after="0" w:line="240" w:lineRule="auto"/>
              <w:rPr>
                <w:rFonts w:ascii="Calibri" w:eastAsia="Times New Roman" w:hAnsi="Calibri" w:cs="Times New Roman"/>
                <w:color w:val="000000"/>
                <w:sz w:val="16"/>
                <w:szCs w:val="16"/>
                <w:lang w:eastAsia="es-ES"/>
              </w:rPr>
            </w:pPr>
            <w:r w:rsidRPr="00B4142E">
              <w:rPr>
                <w:rFonts w:ascii="Calibri" w:eastAsia="Times New Roman" w:hAnsi="Calibri" w:cs="Times New Roman"/>
                <w:color w:val="000000"/>
                <w:sz w:val="16"/>
                <w:szCs w:val="16"/>
                <w:lang w:eastAsia="es-ES"/>
              </w:rPr>
              <w:t>Non-</w:t>
            </w:r>
            <w:proofErr w:type="spellStart"/>
            <w:r w:rsidRPr="00B4142E">
              <w:rPr>
                <w:rFonts w:ascii="Calibri" w:eastAsia="Times New Roman" w:hAnsi="Calibri" w:cs="Times New Roman"/>
                <w:color w:val="000000"/>
                <w:sz w:val="16"/>
                <w:szCs w:val="16"/>
                <w:lang w:eastAsia="es-ES"/>
              </w:rPr>
              <w:t>Wages</w:t>
            </w:r>
            <w:proofErr w:type="spellEnd"/>
          </w:p>
        </w:tc>
        <w:tc>
          <w:tcPr>
            <w:tcW w:w="799" w:type="dxa"/>
            <w:tcBorders>
              <w:top w:val="nil"/>
              <w:left w:val="nil"/>
              <w:bottom w:val="nil"/>
              <w:right w:val="nil"/>
            </w:tcBorders>
            <w:shd w:val="clear" w:color="auto" w:fill="auto"/>
            <w:noWrap/>
            <w:vAlign w:val="bottom"/>
            <w:hideMark/>
          </w:tcPr>
          <w:p w:rsidR="00BA7786" w:rsidRPr="00B4142E" w:rsidRDefault="00BA7786" w:rsidP="00BA7786">
            <w:pPr>
              <w:spacing w:after="0" w:line="240" w:lineRule="auto"/>
              <w:jc w:val="right"/>
              <w:rPr>
                <w:rFonts w:ascii="Calibri" w:eastAsia="Times New Roman" w:hAnsi="Calibri" w:cs="Times New Roman"/>
                <w:color w:val="000000"/>
                <w:sz w:val="16"/>
                <w:szCs w:val="16"/>
                <w:lang w:eastAsia="es-ES"/>
              </w:rPr>
            </w:pPr>
            <w:r w:rsidRPr="00B4142E">
              <w:rPr>
                <w:rFonts w:ascii="Calibri" w:eastAsia="Times New Roman" w:hAnsi="Calibri" w:cs="Times New Roman"/>
                <w:color w:val="000000"/>
                <w:sz w:val="16"/>
                <w:szCs w:val="16"/>
                <w:lang w:eastAsia="es-ES"/>
              </w:rPr>
              <w:t>3.30%</w:t>
            </w:r>
          </w:p>
        </w:tc>
        <w:tc>
          <w:tcPr>
            <w:tcW w:w="1197" w:type="dxa"/>
            <w:tcBorders>
              <w:top w:val="nil"/>
              <w:left w:val="nil"/>
              <w:bottom w:val="nil"/>
              <w:right w:val="nil"/>
            </w:tcBorders>
            <w:shd w:val="clear" w:color="auto" w:fill="auto"/>
            <w:noWrap/>
            <w:vAlign w:val="bottom"/>
            <w:hideMark/>
          </w:tcPr>
          <w:p w:rsidR="00BA7786" w:rsidRPr="00B4142E" w:rsidRDefault="00BA7786" w:rsidP="00BA7786">
            <w:pPr>
              <w:spacing w:after="0" w:line="240" w:lineRule="auto"/>
              <w:jc w:val="right"/>
              <w:rPr>
                <w:rFonts w:ascii="Calibri" w:eastAsia="Times New Roman" w:hAnsi="Calibri" w:cs="Times New Roman"/>
                <w:color w:val="000000"/>
                <w:sz w:val="16"/>
                <w:szCs w:val="16"/>
                <w:lang w:eastAsia="es-ES"/>
              </w:rPr>
            </w:pPr>
            <w:r w:rsidRPr="00B4142E">
              <w:rPr>
                <w:rFonts w:ascii="Calibri" w:eastAsia="Times New Roman" w:hAnsi="Calibri" w:cs="Times New Roman"/>
                <w:color w:val="000000"/>
                <w:sz w:val="16"/>
                <w:szCs w:val="16"/>
                <w:lang w:eastAsia="es-ES"/>
              </w:rPr>
              <w:t>9.25%</w:t>
            </w:r>
          </w:p>
        </w:tc>
        <w:tc>
          <w:tcPr>
            <w:tcW w:w="1197" w:type="dxa"/>
            <w:tcBorders>
              <w:top w:val="nil"/>
              <w:left w:val="nil"/>
              <w:bottom w:val="nil"/>
              <w:right w:val="nil"/>
            </w:tcBorders>
            <w:shd w:val="clear" w:color="auto" w:fill="auto"/>
            <w:noWrap/>
            <w:vAlign w:val="bottom"/>
            <w:hideMark/>
          </w:tcPr>
          <w:p w:rsidR="00BA7786" w:rsidRPr="00B4142E" w:rsidRDefault="00BA7786" w:rsidP="00BA7786">
            <w:pPr>
              <w:spacing w:after="0" w:line="240" w:lineRule="auto"/>
              <w:jc w:val="right"/>
              <w:rPr>
                <w:rFonts w:ascii="Calibri" w:eastAsia="Times New Roman" w:hAnsi="Calibri" w:cs="Times New Roman"/>
                <w:color w:val="000000"/>
                <w:sz w:val="16"/>
                <w:szCs w:val="16"/>
                <w:lang w:eastAsia="es-ES"/>
              </w:rPr>
            </w:pPr>
            <w:r w:rsidRPr="00B4142E">
              <w:rPr>
                <w:rFonts w:ascii="Calibri" w:eastAsia="Times New Roman" w:hAnsi="Calibri" w:cs="Times New Roman"/>
                <w:color w:val="000000"/>
                <w:sz w:val="16"/>
                <w:szCs w:val="16"/>
                <w:lang w:eastAsia="es-ES"/>
              </w:rPr>
              <w:t>6.43%</w:t>
            </w:r>
          </w:p>
        </w:tc>
        <w:tc>
          <w:tcPr>
            <w:tcW w:w="1553" w:type="dxa"/>
            <w:tcBorders>
              <w:top w:val="nil"/>
              <w:left w:val="nil"/>
              <w:bottom w:val="nil"/>
              <w:right w:val="nil"/>
            </w:tcBorders>
            <w:shd w:val="clear" w:color="auto" w:fill="auto"/>
            <w:noWrap/>
            <w:vAlign w:val="bottom"/>
            <w:hideMark/>
          </w:tcPr>
          <w:p w:rsidR="00BA7786" w:rsidRPr="00B4142E" w:rsidRDefault="00BA7786" w:rsidP="00BA7786">
            <w:pPr>
              <w:spacing w:after="0" w:line="240" w:lineRule="auto"/>
              <w:jc w:val="right"/>
              <w:rPr>
                <w:rFonts w:ascii="Calibri" w:eastAsia="Times New Roman" w:hAnsi="Calibri" w:cs="Times New Roman"/>
                <w:color w:val="000000"/>
                <w:sz w:val="16"/>
                <w:szCs w:val="16"/>
                <w:lang w:eastAsia="es-ES"/>
              </w:rPr>
            </w:pPr>
            <w:r w:rsidRPr="00B4142E">
              <w:rPr>
                <w:rFonts w:ascii="Calibri" w:eastAsia="Times New Roman" w:hAnsi="Calibri" w:cs="Times New Roman"/>
                <w:color w:val="000000"/>
                <w:sz w:val="16"/>
                <w:szCs w:val="16"/>
                <w:lang w:eastAsia="es-ES"/>
              </w:rPr>
              <w:t>9.91%</w:t>
            </w:r>
          </w:p>
        </w:tc>
        <w:tc>
          <w:tcPr>
            <w:tcW w:w="1250" w:type="dxa"/>
            <w:tcBorders>
              <w:top w:val="nil"/>
              <w:left w:val="nil"/>
              <w:bottom w:val="nil"/>
              <w:right w:val="nil"/>
            </w:tcBorders>
            <w:shd w:val="clear" w:color="auto" w:fill="auto"/>
            <w:noWrap/>
            <w:vAlign w:val="bottom"/>
            <w:hideMark/>
          </w:tcPr>
          <w:p w:rsidR="00BA7786" w:rsidRPr="00B4142E" w:rsidRDefault="00BA7786" w:rsidP="00BA7786">
            <w:pPr>
              <w:spacing w:after="0" w:line="240" w:lineRule="auto"/>
              <w:jc w:val="right"/>
              <w:rPr>
                <w:rFonts w:ascii="Calibri" w:eastAsia="Times New Roman" w:hAnsi="Calibri" w:cs="Times New Roman"/>
                <w:color w:val="000000"/>
                <w:sz w:val="16"/>
                <w:szCs w:val="16"/>
                <w:lang w:eastAsia="es-ES"/>
              </w:rPr>
            </w:pPr>
            <w:r w:rsidRPr="00B4142E">
              <w:rPr>
                <w:rFonts w:ascii="Calibri" w:eastAsia="Times New Roman" w:hAnsi="Calibri" w:cs="Times New Roman"/>
                <w:color w:val="000000"/>
                <w:sz w:val="16"/>
                <w:szCs w:val="16"/>
                <w:lang w:eastAsia="es-ES"/>
              </w:rPr>
              <w:t>9.91%</w:t>
            </w:r>
          </w:p>
        </w:tc>
      </w:tr>
      <w:tr w:rsidR="00BA7786" w:rsidRPr="00B4142E" w:rsidTr="00B4142E">
        <w:trPr>
          <w:trHeight w:val="236"/>
          <w:jc w:val="center"/>
        </w:trPr>
        <w:tc>
          <w:tcPr>
            <w:tcW w:w="1623" w:type="dxa"/>
            <w:tcBorders>
              <w:top w:val="nil"/>
              <w:left w:val="nil"/>
              <w:bottom w:val="nil"/>
              <w:right w:val="nil"/>
            </w:tcBorders>
            <w:shd w:val="clear" w:color="000000" w:fill="CCCCFF"/>
            <w:noWrap/>
            <w:vAlign w:val="bottom"/>
            <w:hideMark/>
          </w:tcPr>
          <w:p w:rsidR="00BA7786" w:rsidRPr="00B4142E" w:rsidRDefault="00BA7786" w:rsidP="00BA7786">
            <w:pPr>
              <w:spacing w:after="0" w:line="240" w:lineRule="auto"/>
              <w:rPr>
                <w:rFonts w:ascii="Calibri" w:eastAsia="Times New Roman" w:hAnsi="Calibri" w:cs="Times New Roman"/>
                <w:b/>
                <w:bCs/>
                <w:color w:val="000000"/>
                <w:sz w:val="16"/>
                <w:szCs w:val="16"/>
                <w:lang w:eastAsia="es-ES"/>
              </w:rPr>
            </w:pPr>
            <w:proofErr w:type="spellStart"/>
            <w:r w:rsidRPr="00B4142E">
              <w:rPr>
                <w:rFonts w:ascii="Calibri" w:eastAsia="Times New Roman" w:hAnsi="Calibri" w:cs="Times New Roman"/>
                <w:b/>
                <w:bCs/>
                <w:color w:val="000000"/>
                <w:sz w:val="16"/>
                <w:szCs w:val="16"/>
                <w:lang w:eastAsia="es-ES"/>
              </w:rPr>
              <w:t>University</w:t>
            </w:r>
            <w:proofErr w:type="spellEnd"/>
          </w:p>
        </w:tc>
        <w:tc>
          <w:tcPr>
            <w:tcW w:w="799" w:type="dxa"/>
            <w:tcBorders>
              <w:top w:val="nil"/>
              <w:left w:val="nil"/>
              <w:bottom w:val="nil"/>
              <w:right w:val="nil"/>
            </w:tcBorders>
            <w:shd w:val="clear" w:color="000000" w:fill="CCCCFF"/>
            <w:noWrap/>
            <w:vAlign w:val="bottom"/>
            <w:hideMark/>
          </w:tcPr>
          <w:p w:rsidR="00BA7786" w:rsidRPr="00B4142E" w:rsidRDefault="00BA7786" w:rsidP="00BA7786">
            <w:pPr>
              <w:spacing w:after="0" w:line="240" w:lineRule="auto"/>
              <w:rPr>
                <w:rFonts w:ascii="Calibri" w:eastAsia="Times New Roman" w:hAnsi="Calibri" w:cs="Times New Roman"/>
                <w:b/>
                <w:bCs/>
                <w:color w:val="000000"/>
                <w:sz w:val="16"/>
                <w:szCs w:val="16"/>
                <w:lang w:eastAsia="es-ES"/>
              </w:rPr>
            </w:pPr>
            <w:r w:rsidRPr="00B4142E">
              <w:rPr>
                <w:rFonts w:ascii="Calibri" w:eastAsia="Times New Roman" w:hAnsi="Calibri" w:cs="Times New Roman"/>
                <w:b/>
                <w:bCs/>
                <w:color w:val="000000"/>
                <w:sz w:val="16"/>
                <w:szCs w:val="16"/>
                <w:lang w:eastAsia="es-ES"/>
              </w:rPr>
              <w:t> </w:t>
            </w:r>
          </w:p>
        </w:tc>
        <w:tc>
          <w:tcPr>
            <w:tcW w:w="1197" w:type="dxa"/>
            <w:tcBorders>
              <w:top w:val="nil"/>
              <w:left w:val="nil"/>
              <w:bottom w:val="nil"/>
              <w:right w:val="nil"/>
            </w:tcBorders>
            <w:shd w:val="clear" w:color="000000" w:fill="CCCCFF"/>
            <w:noWrap/>
            <w:vAlign w:val="bottom"/>
            <w:hideMark/>
          </w:tcPr>
          <w:p w:rsidR="00BA7786" w:rsidRPr="00B4142E" w:rsidRDefault="00BA7786" w:rsidP="00BA7786">
            <w:pPr>
              <w:spacing w:after="0" w:line="240" w:lineRule="auto"/>
              <w:rPr>
                <w:rFonts w:ascii="Calibri" w:eastAsia="Times New Roman" w:hAnsi="Calibri" w:cs="Times New Roman"/>
                <w:b/>
                <w:bCs/>
                <w:color w:val="000000"/>
                <w:sz w:val="16"/>
                <w:szCs w:val="16"/>
                <w:lang w:eastAsia="es-ES"/>
              </w:rPr>
            </w:pPr>
            <w:r w:rsidRPr="00B4142E">
              <w:rPr>
                <w:rFonts w:ascii="Calibri" w:eastAsia="Times New Roman" w:hAnsi="Calibri" w:cs="Times New Roman"/>
                <w:b/>
                <w:bCs/>
                <w:color w:val="000000"/>
                <w:sz w:val="16"/>
                <w:szCs w:val="16"/>
                <w:lang w:eastAsia="es-ES"/>
              </w:rPr>
              <w:t> </w:t>
            </w:r>
          </w:p>
        </w:tc>
        <w:tc>
          <w:tcPr>
            <w:tcW w:w="1197" w:type="dxa"/>
            <w:tcBorders>
              <w:top w:val="nil"/>
              <w:left w:val="nil"/>
              <w:bottom w:val="nil"/>
              <w:right w:val="nil"/>
            </w:tcBorders>
            <w:shd w:val="clear" w:color="000000" w:fill="CCCCFF"/>
            <w:noWrap/>
            <w:vAlign w:val="bottom"/>
            <w:hideMark/>
          </w:tcPr>
          <w:p w:rsidR="00BA7786" w:rsidRPr="00B4142E" w:rsidRDefault="00BA7786" w:rsidP="00BA7786">
            <w:pPr>
              <w:spacing w:after="0" w:line="240" w:lineRule="auto"/>
              <w:rPr>
                <w:rFonts w:ascii="Calibri" w:eastAsia="Times New Roman" w:hAnsi="Calibri" w:cs="Times New Roman"/>
                <w:b/>
                <w:bCs/>
                <w:color w:val="000000"/>
                <w:sz w:val="16"/>
                <w:szCs w:val="16"/>
                <w:lang w:eastAsia="es-ES"/>
              </w:rPr>
            </w:pPr>
            <w:r w:rsidRPr="00B4142E">
              <w:rPr>
                <w:rFonts w:ascii="Calibri" w:eastAsia="Times New Roman" w:hAnsi="Calibri" w:cs="Times New Roman"/>
                <w:b/>
                <w:bCs/>
                <w:color w:val="000000"/>
                <w:sz w:val="16"/>
                <w:szCs w:val="16"/>
                <w:lang w:eastAsia="es-ES"/>
              </w:rPr>
              <w:t> </w:t>
            </w:r>
          </w:p>
        </w:tc>
        <w:tc>
          <w:tcPr>
            <w:tcW w:w="1553" w:type="dxa"/>
            <w:tcBorders>
              <w:top w:val="nil"/>
              <w:left w:val="nil"/>
              <w:bottom w:val="nil"/>
              <w:right w:val="nil"/>
            </w:tcBorders>
            <w:shd w:val="clear" w:color="000000" w:fill="CCCCFF"/>
            <w:noWrap/>
            <w:vAlign w:val="bottom"/>
            <w:hideMark/>
          </w:tcPr>
          <w:p w:rsidR="00BA7786" w:rsidRPr="00B4142E" w:rsidRDefault="00BA7786" w:rsidP="00BA7786">
            <w:pPr>
              <w:spacing w:after="0" w:line="240" w:lineRule="auto"/>
              <w:rPr>
                <w:rFonts w:ascii="Calibri" w:eastAsia="Times New Roman" w:hAnsi="Calibri" w:cs="Times New Roman"/>
                <w:b/>
                <w:bCs/>
                <w:color w:val="000000"/>
                <w:sz w:val="16"/>
                <w:szCs w:val="16"/>
                <w:lang w:eastAsia="es-ES"/>
              </w:rPr>
            </w:pPr>
            <w:r w:rsidRPr="00B4142E">
              <w:rPr>
                <w:rFonts w:ascii="Calibri" w:eastAsia="Times New Roman" w:hAnsi="Calibri" w:cs="Times New Roman"/>
                <w:b/>
                <w:bCs/>
                <w:color w:val="000000"/>
                <w:sz w:val="16"/>
                <w:szCs w:val="16"/>
                <w:lang w:eastAsia="es-ES"/>
              </w:rPr>
              <w:t> </w:t>
            </w:r>
          </w:p>
        </w:tc>
        <w:tc>
          <w:tcPr>
            <w:tcW w:w="1250" w:type="dxa"/>
            <w:tcBorders>
              <w:top w:val="nil"/>
              <w:left w:val="nil"/>
              <w:bottom w:val="nil"/>
              <w:right w:val="nil"/>
            </w:tcBorders>
            <w:shd w:val="clear" w:color="000000" w:fill="CCCCFF"/>
            <w:noWrap/>
            <w:vAlign w:val="bottom"/>
            <w:hideMark/>
          </w:tcPr>
          <w:p w:rsidR="00BA7786" w:rsidRPr="00B4142E" w:rsidRDefault="00BA7786" w:rsidP="00BA7786">
            <w:pPr>
              <w:spacing w:after="0" w:line="240" w:lineRule="auto"/>
              <w:rPr>
                <w:rFonts w:ascii="Calibri" w:eastAsia="Times New Roman" w:hAnsi="Calibri" w:cs="Times New Roman"/>
                <w:b/>
                <w:bCs/>
                <w:color w:val="000000"/>
                <w:sz w:val="16"/>
                <w:szCs w:val="16"/>
                <w:lang w:eastAsia="es-ES"/>
              </w:rPr>
            </w:pPr>
            <w:r w:rsidRPr="00B4142E">
              <w:rPr>
                <w:rFonts w:ascii="Calibri" w:eastAsia="Times New Roman" w:hAnsi="Calibri" w:cs="Times New Roman"/>
                <w:b/>
                <w:bCs/>
                <w:color w:val="000000"/>
                <w:sz w:val="16"/>
                <w:szCs w:val="16"/>
                <w:lang w:eastAsia="es-ES"/>
              </w:rPr>
              <w:t> </w:t>
            </w:r>
          </w:p>
        </w:tc>
      </w:tr>
      <w:tr w:rsidR="00BA7786" w:rsidRPr="00B4142E" w:rsidTr="00B54FAC">
        <w:trPr>
          <w:trHeight w:val="300"/>
          <w:jc w:val="center"/>
        </w:trPr>
        <w:tc>
          <w:tcPr>
            <w:tcW w:w="1623" w:type="dxa"/>
            <w:tcBorders>
              <w:top w:val="nil"/>
              <w:left w:val="nil"/>
              <w:bottom w:val="nil"/>
              <w:right w:val="nil"/>
            </w:tcBorders>
            <w:shd w:val="clear" w:color="auto" w:fill="auto"/>
            <w:noWrap/>
            <w:vAlign w:val="bottom"/>
            <w:hideMark/>
          </w:tcPr>
          <w:p w:rsidR="00BA7786" w:rsidRPr="00B4142E" w:rsidRDefault="00BA7786" w:rsidP="00BA7786">
            <w:pPr>
              <w:spacing w:after="0" w:line="240" w:lineRule="auto"/>
              <w:rPr>
                <w:rFonts w:ascii="Calibri" w:eastAsia="Times New Roman" w:hAnsi="Calibri" w:cs="Times New Roman"/>
                <w:color w:val="000000"/>
                <w:sz w:val="16"/>
                <w:szCs w:val="16"/>
                <w:lang w:eastAsia="es-ES"/>
              </w:rPr>
            </w:pPr>
            <w:r w:rsidRPr="00B4142E">
              <w:rPr>
                <w:rFonts w:ascii="Calibri" w:eastAsia="Times New Roman" w:hAnsi="Calibri" w:cs="Times New Roman"/>
                <w:color w:val="000000"/>
                <w:sz w:val="16"/>
                <w:szCs w:val="16"/>
                <w:lang w:eastAsia="es-ES"/>
              </w:rPr>
              <w:t>% Total</w:t>
            </w:r>
          </w:p>
        </w:tc>
        <w:tc>
          <w:tcPr>
            <w:tcW w:w="799" w:type="dxa"/>
            <w:tcBorders>
              <w:top w:val="nil"/>
              <w:left w:val="nil"/>
              <w:bottom w:val="nil"/>
              <w:right w:val="nil"/>
            </w:tcBorders>
            <w:shd w:val="clear" w:color="auto" w:fill="auto"/>
            <w:noWrap/>
            <w:vAlign w:val="bottom"/>
            <w:hideMark/>
          </w:tcPr>
          <w:p w:rsidR="00BA7786" w:rsidRPr="00B4142E" w:rsidRDefault="00BA7786" w:rsidP="00BA7786">
            <w:pPr>
              <w:spacing w:after="0" w:line="240" w:lineRule="auto"/>
              <w:rPr>
                <w:rFonts w:ascii="Calibri" w:eastAsia="Times New Roman" w:hAnsi="Calibri" w:cs="Times New Roman"/>
                <w:color w:val="000000"/>
                <w:sz w:val="16"/>
                <w:szCs w:val="16"/>
                <w:lang w:eastAsia="es-ES"/>
              </w:rPr>
            </w:pPr>
          </w:p>
        </w:tc>
        <w:tc>
          <w:tcPr>
            <w:tcW w:w="1197" w:type="dxa"/>
            <w:tcBorders>
              <w:top w:val="nil"/>
              <w:left w:val="nil"/>
              <w:bottom w:val="nil"/>
              <w:right w:val="nil"/>
            </w:tcBorders>
            <w:shd w:val="clear" w:color="auto" w:fill="auto"/>
            <w:noWrap/>
            <w:vAlign w:val="bottom"/>
            <w:hideMark/>
          </w:tcPr>
          <w:p w:rsidR="00BA7786" w:rsidRPr="00B4142E" w:rsidRDefault="00BA7786" w:rsidP="00BA7786">
            <w:pPr>
              <w:spacing w:after="0" w:line="240" w:lineRule="auto"/>
              <w:rPr>
                <w:rFonts w:ascii="Calibri" w:eastAsia="Times New Roman" w:hAnsi="Calibri" w:cs="Times New Roman"/>
                <w:color w:val="000000"/>
                <w:sz w:val="16"/>
                <w:szCs w:val="16"/>
                <w:lang w:eastAsia="es-ES"/>
              </w:rPr>
            </w:pPr>
          </w:p>
        </w:tc>
        <w:tc>
          <w:tcPr>
            <w:tcW w:w="1197" w:type="dxa"/>
            <w:tcBorders>
              <w:top w:val="nil"/>
              <w:left w:val="nil"/>
              <w:bottom w:val="nil"/>
              <w:right w:val="nil"/>
            </w:tcBorders>
            <w:shd w:val="clear" w:color="auto" w:fill="auto"/>
            <w:noWrap/>
            <w:vAlign w:val="bottom"/>
            <w:hideMark/>
          </w:tcPr>
          <w:p w:rsidR="00BA7786" w:rsidRPr="00B4142E" w:rsidRDefault="00BA7786" w:rsidP="00BA7786">
            <w:pPr>
              <w:spacing w:after="0" w:line="240" w:lineRule="auto"/>
              <w:rPr>
                <w:rFonts w:ascii="Calibri" w:eastAsia="Times New Roman" w:hAnsi="Calibri" w:cs="Times New Roman"/>
                <w:color w:val="000000"/>
                <w:sz w:val="16"/>
                <w:szCs w:val="16"/>
                <w:lang w:eastAsia="es-ES"/>
              </w:rPr>
            </w:pPr>
          </w:p>
        </w:tc>
        <w:tc>
          <w:tcPr>
            <w:tcW w:w="1553" w:type="dxa"/>
            <w:tcBorders>
              <w:top w:val="nil"/>
              <w:left w:val="nil"/>
              <w:bottom w:val="nil"/>
              <w:right w:val="nil"/>
            </w:tcBorders>
            <w:shd w:val="clear" w:color="auto" w:fill="auto"/>
            <w:noWrap/>
            <w:vAlign w:val="bottom"/>
            <w:hideMark/>
          </w:tcPr>
          <w:p w:rsidR="00BA7786" w:rsidRPr="00B4142E" w:rsidRDefault="00BA7786" w:rsidP="00BA7786">
            <w:pPr>
              <w:spacing w:after="0" w:line="240" w:lineRule="auto"/>
              <w:rPr>
                <w:rFonts w:ascii="Calibri" w:eastAsia="Times New Roman" w:hAnsi="Calibri" w:cs="Times New Roman"/>
                <w:color w:val="000000"/>
                <w:sz w:val="16"/>
                <w:szCs w:val="16"/>
                <w:lang w:eastAsia="es-ES"/>
              </w:rPr>
            </w:pPr>
          </w:p>
        </w:tc>
        <w:tc>
          <w:tcPr>
            <w:tcW w:w="1250" w:type="dxa"/>
            <w:tcBorders>
              <w:top w:val="nil"/>
              <w:left w:val="nil"/>
              <w:bottom w:val="nil"/>
              <w:right w:val="nil"/>
            </w:tcBorders>
            <w:shd w:val="clear" w:color="auto" w:fill="auto"/>
            <w:noWrap/>
            <w:vAlign w:val="bottom"/>
            <w:hideMark/>
          </w:tcPr>
          <w:p w:rsidR="00BA7786" w:rsidRPr="00B4142E" w:rsidRDefault="00BA7786" w:rsidP="00BA7786">
            <w:pPr>
              <w:spacing w:after="0" w:line="240" w:lineRule="auto"/>
              <w:rPr>
                <w:rFonts w:ascii="Calibri" w:eastAsia="Times New Roman" w:hAnsi="Calibri" w:cs="Times New Roman"/>
                <w:color w:val="000000"/>
                <w:sz w:val="16"/>
                <w:szCs w:val="16"/>
                <w:lang w:eastAsia="es-ES"/>
              </w:rPr>
            </w:pPr>
          </w:p>
        </w:tc>
      </w:tr>
      <w:tr w:rsidR="00BA7786" w:rsidRPr="00B4142E" w:rsidTr="00B54FAC">
        <w:trPr>
          <w:trHeight w:val="300"/>
          <w:jc w:val="center"/>
        </w:trPr>
        <w:tc>
          <w:tcPr>
            <w:tcW w:w="1623" w:type="dxa"/>
            <w:tcBorders>
              <w:top w:val="nil"/>
              <w:left w:val="nil"/>
              <w:bottom w:val="nil"/>
              <w:right w:val="nil"/>
            </w:tcBorders>
            <w:shd w:val="clear" w:color="auto" w:fill="auto"/>
            <w:noWrap/>
            <w:vAlign w:val="bottom"/>
            <w:hideMark/>
          </w:tcPr>
          <w:p w:rsidR="00BA7786" w:rsidRPr="00B4142E" w:rsidRDefault="00BA7786" w:rsidP="00BA7786">
            <w:pPr>
              <w:spacing w:after="0" w:line="240" w:lineRule="auto"/>
              <w:rPr>
                <w:rFonts w:ascii="Calibri" w:eastAsia="Times New Roman" w:hAnsi="Calibri" w:cs="Times New Roman"/>
                <w:color w:val="000000"/>
                <w:sz w:val="16"/>
                <w:szCs w:val="16"/>
                <w:lang w:eastAsia="es-ES"/>
              </w:rPr>
            </w:pPr>
            <w:proofErr w:type="spellStart"/>
            <w:r w:rsidRPr="00B4142E">
              <w:rPr>
                <w:rFonts w:ascii="Calibri" w:eastAsia="Times New Roman" w:hAnsi="Calibri" w:cs="Times New Roman"/>
                <w:color w:val="000000"/>
                <w:sz w:val="16"/>
                <w:szCs w:val="16"/>
                <w:lang w:eastAsia="es-ES"/>
              </w:rPr>
              <w:t>Recurrent</w:t>
            </w:r>
            <w:proofErr w:type="spellEnd"/>
          </w:p>
        </w:tc>
        <w:tc>
          <w:tcPr>
            <w:tcW w:w="799" w:type="dxa"/>
            <w:tcBorders>
              <w:top w:val="nil"/>
              <w:left w:val="nil"/>
              <w:bottom w:val="nil"/>
              <w:right w:val="nil"/>
            </w:tcBorders>
            <w:shd w:val="clear" w:color="auto" w:fill="auto"/>
            <w:noWrap/>
            <w:vAlign w:val="bottom"/>
            <w:hideMark/>
          </w:tcPr>
          <w:p w:rsidR="00BA7786" w:rsidRPr="00B4142E" w:rsidRDefault="00BA7786" w:rsidP="00BA7786">
            <w:pPr>
              <w:spacing w:after="0" w:line="240" w:lineRule="auto"/>
              <w:jc w:val="right"/>
              <w:rPr>
                <w:rFonts w:ascii="Calibri" w:eastAsia="Times New Roman" w:hAnsi="Calibri" w:cs="Times New Roman"/>
                <w:color w:val="000000"/>
                <w:sz w:val="16"/>
                <w:szCs w:val="16"/>
                <w:lang w:eastAsia="es-ES"/>
              </w:rPr>
            </w:pPr>
            <w:r w:rsidRPr="00B4142E">
              <w:rPr>
                <w:rFonts w:ascii="Calibri" w:eastAsia="Times New Roman" w:hAnsi="Calibri" w:cs="Times New Roman"/>
                <w:color w:val="000000"/>
                <w:sz w:val="16"/>
                <w:szCs w:val="16"/>
                <w:lang w:eastAsia="es-ES"/>
              </w:rPr>
              <w:t>81.07%</w:t>
            </w:r>
          </w:p>
        </w:tc>
        <w:tc>
          <w:tcPr>
            <w:tcW w:w="1197" w:type="dxa"/>
            <w:tcBorders>
              <w:top w:val="nil"/>
              <w:left w:val="nil"/>
              <w:bottom w:val="nil"/>
              <w:right w:val="nil"/>
            </w:tcBorders>
            <w:shd w:val="clear" w:color="auto" w:fill="auto"/>
            <w:noWrap/>
            <w:vAlign w:val="bottom"/>
            <w:hideMark/>
          </w:tcPr>
          <w:p w:rsidR="00BA7786" w:rsidRPr="00B4142E" w:rsidRDefault="00BA7786" w:rsidP="00BA7786">
            <w:pPr>
              <w:spacing w:after="0" w:line="240" w:lineRule="auto"/>
              <w:jc w:val="right"/>
              <w:rPr>
                <w:rFonts w:ascii="Calibri" w:eastAsia="Times New Roman" w:hAnsi="Calibri" w:cs="Times New Roman"/>
                <w:color w:val="000000"/>
                <w:sz w:val="16"/>
                <w:szCs w:val="16"/>
                <w:lang w:eastAsia="es-ES"/>
              </w:rPr>
            </w:pPr>
            <w:r w:rsidRPr="00B4142E">
              <w:rPr>
                <w:rFonts w:ascii="Calibri" w:eastAsia="Times New Roman" w:hAnsi="Calibri" w:cs="Times New Roman"/>
                <w:color w:val="000000"/>
                <w:sz w:val="16"/>
                <w:szCs w:val="16"/>
                <w:lang w:eastAsia="es-ES"/>
              </w:rPr>
              <w:t>77.21%</w:t>
            </w:r>
          </w:p>
        </w:tc>
        <w:tc>
          <w:tcPr>
            <w:tcW w:w="1197" w:type="dxa"/>
            <w:tcBorders>
              <w:top w:val="nil"/>
              <w:left w:val="nil"/>
              <w:bottom w:val="nil"/>
              <w:right w:val="nil"/>
            </w:tcBorders>
            <w:shd w:val="clear" w:color="auto" w:fill="auto"/>
            <w:noWrap/>
            <w:vAlign w:val="bottom"/>
            <w:hideMark/>
          </w:tcPr>
          <w:p w:rsidR="00BA7786" w:rsidRPr="00B4142E" w:rsidRDefault="00BA7786" w:rsidP="00BA7786">
            <w:pPr>
              <w:spacing w:after="0" w:line="240" w:lineRule="auto"/>
              <w:jc w:val="right"/>
              <w:rPr>
                <w:rFonts w:ascii="Calibri" w:eastAsia="Times New Roman" w:hAnsi="Calibri" w:cs="Times New Roman"/>
                <w:color w:val="000000"/>
                <w:sz w:val="16"/>
                <w:szCs w:val="16"/>
                <w:lang w:eastAsia="es-ES"/>
              </w:rPr>
            </w:pPr>
            <w:r w:rsidRPr="00B4142E">
              <w:rPr>
                <w:rFonts w:ascii="Calibri" w:eastAsia="Times New Roman" w:hAnsi="Calibri" w:cs="Times New Roman"/>
                <w:color w:val="000000"/>
                <w:sz w:val="16"/>
                <w:szCs w:val="16"/>
                <w:lang w:eastAsia="es-ES"/>
              </w:rPr>
              <w:t>74.06%</w:t>
            </w:r>
          </w:p>
        </w:tc>
        <w:tc>
          <w:tcPr>
            <w:tcW w:w="1553" w:type="dxa"/>
            <w:tcBorders>
              <w:top w:val="nil"/>
              <w:left w:val="nil"/>
              <w:bottom w:val="nil"/>
              <w:right w:val="nil"/>
            </w:tcBorders>
            <w:shd w:val="clear" w:color="auto" w:fill="auto"/>
            <w:noWrap/>
            <w:vAlign w:val="bottom"/>
            <w:hideMark/>
          </w:tcPr>
          <w:p w:rsidR="00BA7786" w:rsidRPr="00B4142E" w:rsidRDefault="00BA7786" w:rsidP="00BA7786">
            <w:pPr>
              <w:spacing w:after="0" w:line="240" w:lineRule="auto"/>
              <w:jc w:val="right"/>
              <w:rPr>
                <w:rFonts w:ascii="Calibri" w:eastAsia="Times New Roman" w:hAnsi="Calibri" w:cs="Times New Roman"/>
                <w:color w:val="000000"/>
                <w:sz w:val="16"/>
                <w:szCs w:val="16"/>
                <w:lang w:eastAsia="es-ES"/>
              </w:rPr>
            </w:pPr>
            <w:r w:rsidRPr="00B4142E">
              <w:rPr>
                <w:rFonts w:ascii="Calibri" w:eastAsia="Times New Roman" w:hAnsi="Calibri" w:cs="Times New Roman"/>
                <w:color w:val="000000"/>
                <w:sz w:val="16"/>
                <w:szCs w:val="16"/>
                <w:lang w:eastAsia="es-ES"/>
              </w:rPr>
              <w:t>89.17%</w:t>
            </w:r>
          </w:p>
        </w:tc>
        <w:tc>
          <w:tcPr>
            <w:tcW w:w="1250" w:type="dxa"/>
            <w:tcBorders>
              <w:top w:val="nil"/>
              <w:left w:val="nil"/>
              <w:bottom w:val="nil"/>
              <w:right w:val="nil"/>
            </w:tcBorders>
            <w:shd w:val="clear" w:color="auto" w:fill="auto"/>
            <w:noWrap/>
            <w:vAlign w:val="bottom"/>
            <w:hideMark/>
          </w:tcPr>
          <w:p w:rsidR="00BA7786" w:rsidRPr="00B4142E" w:rsidRDefault="00BA7786" w:rsidP="00BA7786">
            <w:pPr>
              <w:spacing w:after="0" w:line="240" w:lineRule="auto"/>
              <w:jc w:val="right"/>
              <w:rPr>
                <w:rFonts w:ascii="Calibri" w:eastAsia="Times New Roman" w:hAnsi="Calibri" w:cs="Times New Roman"/>
                <w:color w:val="000000"/>
                <w:sz w:val="16"/>
                <w:szCs w:val="16"/>
                <w:lang w:eastAsia="es-ES"/>
              </w:rPr>
            </w:pPr>
            <w:r w:rsidRPr="00B4142E">
              <w:rPr>
                <w:rFonts w:ascii="Calibri" w:eastAsia="Times New Roman" w:hAnsi="Calibri" w:cs="Times New Roman"/>
                <w:color w:val="000000"/>
                <w:sz w:val="16"/>
                <w:szCs w:val="16"/>
                <w:lang w:eastAsia="es-ES"/>
              </w:rPr>
              <w:t>89.17%</w:t>
            </w:r>
          </w:p>
        </w:tc>
      </w:tr>
      <w:tr w:rsidR="00BA7786" w:rsidRPr="00B4142E" w:rsidTr="00B54FAC">
        <w:trPr>
          <w:trHeight w:val="300"/>
          <w:jc w:val="center"/>
        </w:trPr>
        <w:tc>
          <w:tcPr>
            <w:tcW w:w="1623" w:type="dxa"/>
            <w:tcBorders>
              <w:top w:val="nil"/>
              <w:left w:val="nil"/>
              <w:bottom w:val="nil"/>
              <w:right w:val="nil"/>
            </w:tcBorders>
            <w:shd w:val="clear" w:color="auto" w:fill="auto"/>
            <w:noWrap/>
            <w:vAlign w:val="bottom"/>
            <w:hideMark/>
          </w:tcPr>
          <w:p w:rsidR="00BA7786" w:rsidRPr="00B4142E" w:rsidRDefault="00BA7786" w:rsidP="00BA7786">
            <w:pPr>
              <w:spacing w:after="0" w:line="240" w:lineRule="auto"/>
              <w:rPr>
                <w:rFonts w:ascii="Calibri" w:eastAsia="Times New Roman" w:hAnsi="Calibri" w:cs="Times New Roman"/>
                <w:color w:val="000000"/>
                <w:sz w:val="16"/>
                <w:szCs w:val="16"/>
                <w:lang w:eastAsia="es-ES"/>
              </w:rPr>
            </w:pPr>
            <w:r w:rsidRPr="00B4142E">
              <w:rPr>
                <w:rFonts w:ascii="Calibri" w:eastAsia="Times New Roman" w:hAnsi="Calibri" w:cs="Times New Roman"/>
                <w:color w:val="000000"/>
                <w:sz w:val="16"/>
                <w:szCs w:val="16"/>
                <w:lang w:eastAsia="es-ES"/>
              </w:rPr>
              <w:t>Capital</w:t>
            </w:r>
          </w:p>
        </w:tc>
        <w:tc>
          <w:tcPr>
            <w:tcW w:w="799" w:type="dxa"/>
            <w:tcBorders>
              <w:top w:val="nil"/>
              <w:left w:val="nil"/>
              <w:bottom w:val="nil"/>
              <w:right w:val="nil"/>
            </w:tcBorders>
            <w:shd w:val="clear" w:color="auto" w:fill="auto"/>
            <w:noWrap/>
            <w:vAlign w:val="bottom"/>
            <w:hideMark/>
          </w:tcPr>
          <w:p w:rsidR="00BA7786" w:rsidRPr="00B4142E" w:rsidRDefault="00BA7786" w:rsidP="00BA7786">
            <w:pPr>
              <w:spacing w:after="0" w:line="240" w:lineRule="auto"/>
              <w:jc w:val="right"/>
              <w:rPr>
                <w:rFonts w:ascii="Calibri" w:eastAsia="Times New Roman" w:hAnsi="Calibri" w:cs="Times New Roman"/>
                <w:color w:val="000000"/>
                <w:sz w:val="16"/>
                <w:szCs w:val="16"/>
                <w:lang w:eastAsia="es-ES"/>
              </w:rPr>
            </w:pPr>
            <w:r w:rsidRPr="00B4142E">
              <w:rPr>
                <w:rFonts w:ascii="Calibri" w:eastAsia="Times New Roman" w:hAnsi="Calibri" w:cs="Times New Roman"/>
                <w:color w:val="000000"/>
                <w:sz w:val="16"/>
                <w:szCs w:val="16"/>
                <w:lang w:eastAsia="es-ES"/>
              </w:rPr>
              <w:t>18.93%</w:t>
            </w:r>
          </w:p>
        </w:tc>
        <w:tc>
          <w:tcPr>
            <w:tcW w:w="1197" w:type="dxa"/>
            <w:tcBorders>
              <w:top w:val="nil"/>
              <w:left w:val="nil"/>
              <w:bottom w:val="nil"/>
              <w:right w:val="nil"/>
            </w:tcBorders>
            <w:shd w:val="clear" w:color="auto" w:fill="auto"/>
            <w:noWrap/>
            <w:vAlign w:val="bottom"/>
            <w:hideMark/>
          </w:tcPr>
          <w:p w:rsidR="00BA7786" w:rsidRPr="00B4142E" w:rsidRDefault="00BA7786" w:rsidP="00BA7786">
            <w:pPr>
              <w:spacing w:after="0" w:line="240" w:lineRule="auto"/>
              <w:jc w:val="right"/>
              <w:rPr>
                <w:rFonts w:ascii="Calibri" w:eastAsia="Times New Roman" w:hAnsi="Calibri" w:cs="Times New Roman"/>
                <w:color w:val="000000"/>
                <w:sz w:val="16"/>
                <w:szCs w:val="16"/>
                <w:lang w:eastAsia="es-ES"/>
              </w:rPr>
            </w:pPr>
            <w:r w:rsidRPr="00B4142E">
              <w:rPr>
                <w:rFonts w:ascii="Calibri" w:eastAsia="Times New Roman" w:hAnsi="Calibri" w:cs="Times New Roman"/>
                <w:color w:val="000000"/>
                <w:sz w:val="16"/>
                <w:szCs w:val="16"/>
                <w:lang w:eastAsia="es-ES"/>
              </w:rPr>
              <w:t>22.79%</w:t>
            </w:r>
          </w:p>
        </w:tc>
        <w:tc>
          <w:tcPr>
            <w:tcW w:w="1197" w:type="dxa"/>
            <w:tcBorders>
              <w:top w:val="nil"/>
              <w:left w:val="nil"/>
              <w:bottom w:val="nil"/>
              <w:right w:val="nil"/>
            </w:tcBorders>
            <w:shd w:val="clear" w:color="auto" w:fill="auto"/>
            <w:noWrap/>
            <w:vAlign w:val="bottom"/>
            <w:hideMark/>
          </w:tcPr>
          <w:p w:rsidR="00BA7786" w:rsidRPr="00B4142E" w:rsidRDefault="00BA7786" w:rsidP="00BA7786">
            <w:pPr>
              <w:spacing w:after="0" w:line="240" w:lineRule="auto"/>
              <w:jc w:val="right"/>
              <w:rPr>
                <w:rFonts w:ascii="Calibri" w:eastAsia="Times New Roman" w:hAnsi="Calibri" w:cs="Times New Roman"/>
                <w:color w:val="000000"/>
                <w:sz w:val="16"/>
                <w:szCs w:val="16"/>
                <w:lang w:eastAsia="es-ES"/>
              </w:rPr>
            </w:pPr>
            <w:r w:rsidRPr="00B4142E">
              <w:rPr>
                <w:rFonts w:ascii="Calibri" w:eastAsia="Times New Roman" w:hAnsi="Calibri" w:cs="Times New Roman"/>
                <w:color w:val="000000"/>
                <w:sz w:val="16"/>
                <w:szCs w:val="16"/>
                <w:lang w:eastAsia="es-ES"/>
              </w:rPr>
              <w:t>25.94%</w:t>
            </w:r>
          </w:p>
        </w:tc>
        <w:tc>
          <w:tcPr>
            <w:tcW w:w="1553" w:type="dxa"/>
            <w:tcBorders>
              <w:top w:val="nil"/>
              <w:left w:val="nil"/>
              <w:bottom w:val="nil"/>
              <w:right w:val="nil"/>
            </w:tcBorders>
            <w:shd w:val="clear" w:color="auto" w:fill="auto"/>
            <w:noWrap/>
            <w:vAlign w:val="bottom"/>
            <w:hideMark/>
          </w:tcPr>
          <w:p w:rsidR="00BA7786" w:rsidRPr="00B4142E" w:rsidRDefault="00BA7786" w:rsidP="00BA7786">
            <w:pPr>
              <w:spacing w:after="0" w:line="240" w:lineRule="auto"/>
              <w:jc w:val="right"/>
              <w:rPr>
                <w:rFonts w:ascii="Calibri" w:eastAsia="Times New Roman" w:hAnsi="Calibri" w:cs="Times New Roman"/>
                <w:color w:val="000000"/>
                <w:sz w:val="16"/>
                <w:szCs w:val="16"/>
                <w:lang w:eastAsia="es-ES"/>
              </w:rPr>
            </w:pPr>
            <w:r w:rsidRPr="00B4142E">
              <w:rPr>
                <w:rFonts w:ascii="Calibri" w:eastAsia="Times New Roman" w:hAnsi="Calibri" w:cs="Times New Roman"/>
                <w:color w:val="000000"/>
                <w:sz w:val="16"/>
                <w:szCs w:val="16"/>
                <w:lang w:eastAsia="es-ES"/>
              </w:rPr>
              <w:t>10.83%</w:t>
            </w:r>
          </w:p>
        </w:tc>
        <w:tc>
          <w:tcPr>
            <w:tcW w:w="1250" w:type="dxa"/>
            <w:tcBorders>
              <w:top w:val="nil"/>
              <w:left w:val="nil"/>
              <w:bottom w:val="nil"/>
              <w:right w:val="nil"/>
            </w:tcBorders>
            <w:shd w:val="clear" w:color="auto" w:fill="auto"/>
            <w:noWrap/>
            <w:vAlign w:val="bottom"/>
            <w:hideMark/>
          </w:tcPr>
          <w:p w:rsidR="00BA7786" w:rsidRPr="00B4142E" w:rsidRDefault="00BA7786" w:rsidP="00BA7786">
            <w:pPr>
              <w:spacing w:after="0" w:line="240" w:lineRule="auto"/>
              <w:jc w:val="right"/>
              <w:rPr>
                <w:rFonts w:ascii="Calibri" w:eastAsia="Times New Roman" w:hAnsi="Calibri" w:cs="Times New Roman"/>
                <w:color w:val="000000"/>
                <w:sz w:val="16"/>
                <w:szCs w:val="16"/>
                <w:lang w:eastAsia="es-ES"/>
              </w:rPr>
            </w:pPr>
            <w:r w:rsidRPr="00B4142E">
              <w:rPr>
                <w:rFonts w:ascii="Calibri" w:eastAsia="Times New Roman" w:hAnsi="Calibri" w:cs="Times New Roman"/>
                <w:color w:val="000000"/>
                <w:sz w:val="16"/>
                <w:szCs w:val="16"/>
                <w:lang w:eastAsia="es-ES"/>
              </w:rPr>
              <w:t>10.83%</w:t>
            </w:r>
          </w:p>
        </w:tc>
      </w:tr>
      <w:tr w:rsidR="00BA7786" w:rsidRPr="00B4142E" w:rsidTr="00B54FAC">
        <w:trPr>
          <w:trHeight w:val="300"/>
          <w:jc w:val="center"/>
        </w:trPr>
        <w:tc>
          <w:tcPr>
            <w:tcW w:w="1623" w:type="dxa"/>
            <w:tcBorders>
              <w:top w:val="nil"/>
              <w:left w:val="nil"/>
              <w:bottom w:val="nil"/>
              <w:right w:val="nil"/>
            </w:tcBorders>
            <w:shd w:val="clear" w:color="auto" w:fill="auto"/>
            <w:noWrap/>
            <w:vAlign w:val="bottom"/>
            <w:hideMark/>
          </w:tcPr>
          <w:p w:rsidR="00BA7786" w:rsidRPr="00B4142E" w:rsidRDefault="00BA7786" w:rsidP="00BA7786">
            <w:pPr>
              <w:spacing w:after="0" w:line="240" w:lineRule="auto"/>
              <w:rPr>
                <w:rFonts w:ascii="Calibri" w:eastAsia="Times New Roman" w:hAnsi="Calibri" w:cs="Times New Roman"/>
                <w:color w:val="000000"/>
                <w:sz w:val="16"/>
                <w:szCs w:val="16"/>
                <w:lang w:eastAsia="es-ES"/>
              </w:rPr>
            </w:pPr>
            <w:r w:rsidRPr="00B4142E">
              <w:rPr>
                <w:rFonts w:ascii="Calibri" w:eastAsia="Times New Roman" w:hAnsi="Calibri" w:cs="Times New Roman"/>
                <w:color w:val="000000"/>
                <w:sz w:val="16"/>
                <w:szCs w:val="16"/>
                <w:lang w:eastAsia="es-ES"/>
              </w:rPr>
              <w:t xml:space="preserve">% </w:t>
            </w:r>
            <w:proofErr w:type="spellStart"/>
            <w:r w:rsidRPr="00B4142E">
              <w:rPr>
                <w:rFonts w:ascii="Calibri" w:eastAsia="Times New Roman" w:hAnsi="Calibri" w:cs="Times New Roman"/>
                <w:color w:val="000000"/>
                <w:sz w:val="16"/>
                <w:szCs w:val="16"/>
                <w:lang w:eastAsia="es-ES"/>
              </w:rPr>
              <w:t>Recurrent</w:t>
            </w:r>
            <w:proofErr w:type="spellEnd"/>
          </w:p>
        </w:tc>
        <w:tc>
          <w:tcPr>
            <w:tcW w:w="799" w:type="dxa"/>
            <w:tcBorders>
              <w:top w:val="nil"/>
              <w:left w:val="nil"/>
              <w:bottom w:val="nil"/>
              <w:right w:val="nil"/>
            </w:tcBorders>
            <w:shd w:val="clear" w:color="auto" w:fill="auto"/>
            <w:noWrap/>
            <w:vAlign w:val="bottom"/>
            <w:hideMark/>
          </w:tcPr>
          <w:p w:rsidR="00BA7786" w:rsidRPr="00B4142E" w:rsidRDefault="00BA7786" w:rsidP="00BA7786">
            <w:pPr>
              <w:spacing w:after="0" w:line="240" w:lineRule="auto"/>
              <w:rPr>
                <w:rFonts w:ascii="Calibri" w:eastAsia="Times New Roman" w:hAnsi="Calibri" w:cs="Times New Roman"/>
                <w:color w:val="000000"/>
                <w:sz w:val="16"/>
                <w:szCs w:val="16"/>
                <w:lang w:eastAsia="es-ES"/>
              </w:rPr>
            </w:pPr>
          </w:p>
        </w:tc>
        <w:tc>
          <w:tcPr>
            <w:tcW w:w="1197" w:type="dxa"/>
            <w:tcBorders>
              <w:top w:val="nil"/>
              <w:left w:val="nil"/>
              <w:bottom w:val="nil"/>
              <w:right w:val="nil"/>
            </w:tcBorders>
            <w:shd w:val="clear" w:color="auto" w:fill="auto"/>
            <w:noWrap/>
            <w:vAlign w:val="bottom"/>
            <w:hideMark/>
          </w:tcPr>
          <w:p w:rsidR="00BA7786" w:rsidRPr="00B4142E" w:rsidRDefault="00BA7786" w:rsidP="00BA7786">
            <w:pPr>
              <w:spacing w:after="0" w:line="240" w:lineRule="auto"/>
              <w:rPr>
                <w:rFonts w:ascii="Calibri" w:eastAsia="Times New Roman" w:hAnsi="Calibri" w:cs="Times New Roman"/>
                <w:color w:val="000000"/>
                <w:sz w:val="16"/>
                <w:szCs w:val="16"/>
                <w:lang w:eastAsia="es-ES"/>
              </w:rPr>
            </w:pPr>
          </w:p>
        </w:tc>
        <w:tc>
          <w:tcPr>
            <w:tcW w:w="1197" w:type="dxa"/>
            <w:tcBorders>
              <w:top w:val="nil"/>
              <w:left w:val="nil"/>
              <w:bottom w:val="nil"/>
              <w:right w:val="nil"/>
            </w:tcBorders>
            <w:shd w:val="clear" w:color="auto" w:fill="auto"/>
            <w:noWrap/>
            <w:vAlign w:val="bottom"/>
            <w:hideMark/>
          </w:tcPr>
          <w:p w:rsidR="00BA7786" w:rsidRPr="00B4142E" w:rsidRDefault="00BA7786" w:rsidP="00BA7786">
            <w:pPr>
              <w:spacing w:after="0" w:line="240" w:lineRule="auto"/>
              <w:rPr>
                <w:rFonts w:ascii="Calibri" w:eastAsia="Times New Roman" w:hAnsi="Calibri" w:cs="Times New Roman"/>
                <w:color w:val="000000"/>
                <w:sz w:val="16"/>
                <w:szCs w:val="16"/>
                <w:lang w:eastAsia="es-ES"/>
              </w:rPr>
            </w:pPr>
          </w:p>
        </w:tc>
        <w:tc>
          <w:tcPr>
            <w:tcW w:w="1553" w:type="dxa"/>
            <w:tcBorders>
              <w:top w:val="nil"/>
              <w:left w:val="nil"/>
              <w:bottom w:val="nil"/>
              <w:right w:val="nil"/>
            </w:tcBorders>
            <w:shd w:val="clear" w:color="auto" w:fill="auto"/>
            <w:noWrap/>
            <w:vAlign w:val="bottom"/>
            <w:hideMark/>
          </w:tcPr>
          <w:p w:rsidR="00BA7786" w:rsidRPr="00B4142E" w:rsidRDefault="00BA7786" w:rsidP="00BA7786">
            <w:pPr>
              <w:spacing w:after="0" w:line="240" w:lineRule="auto"/>
              <w:rPr>
                <w:rFonts w:ascii="Calibri" w:eastAsia="Times New Roman" w:hAnsi="Calibri" w:cs="Times New Roman"/>
                <w:color w:val="000000"/>
                <w:sz w:val="16"/>
                <w:szCs w:val="16"/>
                <w:lang w:eastAsia="es-ES"/>
              </w:rPr>
            </w:pPr>
          </w:p>
        </w:tc>
        <w:tc>
          <w:tcPr>
            <w:tcW w:w="1250" w:type="dxa"/>
            <w:tcBorders>
              <w:top w:val="nil"/>
              <w:left w:val="nil"/>
              <w:bottom w:val="nil"/>
              <w:right w:val="nil"/>
            </w:tcBorders>
            <w:shd w:val="clear" w:color="auto" w:fill="auto"/>
            <w:noWrap/>
            <w:vAlign w:val="bottom"/>
            <w:hideMark/>
          </w:tcPr>
          <w:p w:rsidR="00BA7786" w:rsidRPr="00B4142E" w:rsidRDefault="00BA7786" w:rsidP="00BA7786">
            <w:pPr>
              <w:spacing w:after="0" w:line="240" w:lineRule="auto"/>
              <w:rPr>
                <w:rFonts w:ascii="Calibri" w:eastAsia="Times New Roman" w:hAnsi="Calibri" w:cs="Times New Roman"/>
                <w:color w:val="000000"/>
                <w:sz w:val="16"/>
                <w:szCs w:val="16"/>
                <w:lang w:eastAsia="es-ES"/>
              </w:rPr>
            </w:pPr>
          </w:p>
        </w:tc>
      </w:tr>
      <w:tr w:rsidR="00BA7786" w:rsidRPr="00B4142E" w:rsidTr="00B54FAC">
        <w:trPr>
          <w:trHeight w:val="300"/>
          <w:jc w:val="center"/>
        </w:trPr>
        <w:tc>
          <w:tcPr>
            <w:tcW w:w="1623" w:type="dxa"/>
            <w:tcBorders>
              <w:top w:val="nil"/>
              <w:left w:val="nil"/>
              <w:bottom w:val="nil"/>
              <w:right w:val="nil"/>
            </w:tcBorders>
            <w:shd w:val="clear" w:color="auto" w:fill="auto"/>
            <w:noWrap/>
            <w:vAlign w:val="bottom"/>
            <w:hideMark/>
          </w:tcPr>
          <w:p w:rsidR="00BA7786" w:rsidRPr="00B4142E" w:rsidRDefault="00BA7786" w:rsidP="00BA7786">
            <w:pPr>
              <w:spacing w:after="0" w:line="240" w:lineRule="auto"/>
              <w:rPr>
                <w:rFonts w:ascii="Calibri" w:eastAsia="Times New Roman" w:hAnsi="Calibri" w:cs="Times New Roman"/>
                <w:color w:val="000000"/>
                <w:sz w:val="16"/>
                <w:szCs w:val="16"/>
                <w:lang w:eastAsia="es-ES"/>
              </w:rPr>
            </w:pPr>
            <w:proofErr w:type="spellStart"/>
            <w:r w:rsidRPr="00B4142E">
              <w:rPr>
                <w:rFonts w:ascii="Calibri" w:eastAsia="Times New Roman" w:hAnsi="Calibri" w:cs="Times New Roman"/>
                <w:color w:val="000000"/>
                <w:sz w:val="16"/>
                <w:szCs w:val="16"/>
                <w:lang w:eastAsia="es-ES"/>
              </w:rPr>
              <w:t>Wages</w:t>
            </w:r>
            <w:proofErr w:type="spellEnd"/>
          </w:p>
        </w:tc>
        <w:tc>
          <w:tcPr>
            <w:tcW w:w="799" w:type="dxa"/>
            <w:tcBorders>
              <w:top w:val="nil"/>
              <w:left w:val="nil"/>
              <w:bottom w:val="nil"/>
              <w:right w:val="nil"/>
            </w:tcBorders>
            <w:shd w:val="clear" w:color="auto" w:fill="auto"/>
            <w:noWrap/>
            <w:vAlign w:val="bottom"/>
            <w:hideMark/>
          </w:tcPr>
          <w:p w:rsidR="00BA7786" w:rsidRPr="00B4142E" w:rsidRDefault="00BA7786" w:rsidP="00BA7786">
            <w:pPr>
              <w:spacing w:after="0" w:line="240" w:lineRule="auto"/>
              <w:jc w:val="right"/>
              <w:rPr>
                <w:rFonts w:ascii="Calibri" w:eastAsia="Times New Roman" w:hAnsi="Calibri" w:cs="Times New Roman"/>
                <w:color w:val="000000"/>
                <w:sz w:val="16"/>
                <w:szCs w:val="16"/>
                <w:lang w:eastAsia="es-ES"/>
              </w:rPr>
            </w:pPr>
            <w:r w:rsidRPr="00B4142E">
              <w:rPr>
                <w:rFonts w:ascii="Calibri" w:eastAsia="Times New Roman" w:hAnsi="Calibri" w:cs="Times New Roman"/>
                <w:color w:val="000000"/>
                <w:sz w:val="16"/>
                <w:szCs w:val="16"/>
                <w:lang w:eastAsia="es-ES"/>
              </w:rPr>
              <w:t>67.12%</w:t>
            </w:r>
          </w:p>
        </w:tc>
        <w:tc>
          <w:tcPr>
            <w:tcW w:w="1197" w:type="dxa"/>
            <w:tcBorders>
              <w:top w:val="nil"/>
              <w:left w:val="nil"/>
              <w:bottom w:val="nil"/>
              <w:right w:val="nil"/>
            </w:tcBorders>
            <w:shd w:val="clear" w:color="auto" w:fill="auto"/>
            <w:noWrap/>
            <w:vAlign w:val="bottom"/>
            <w:hideMark/>
          </w:tcPr>
          <w:p w:rsidR="00BA7786" w:rsidRPr="00B4142E" w:rsidRDefault="00BA7786" w:rsidP="00BA7786">
            <w:pPr>
              <w:spacing w:after="0" w:line="240" w:lineRule="auto"/>
              <w:jc w:val="right"/>
              <w:rPr>
                <w:rFonts w:ascii="Calibri" w:eastAsia="Times New Roman" w:hAnsi="Calibri" w:cs="Times New Roman"/>
                <w:color w:val="000000"/>
                <w:sz w:val="16"/>
                <w:szCs w:val="16"/>
                <w:lang w:eastAsia="es-ES"/>
              </w:rPr>
            </w:pPr>
            <w:r w:rsidRPr="00B4142E">
              <w:rPr>
                <w:rFonts w:ascii="Calibri" w:eastAsia="Times New Roman" w:hAnsi="Calibri" w:cs="Times New Roman"/>
                <w:color w:val="000000"/>
                <w:sz w:val="16"/>
                <w:szCs w:val="16"/>
                <w:lang w:eastAsia="es-ES"/>
              </w:rPr>
              <w:t>65.60%</w:t>
            </w:r>
          </w:p>
        </w:tc>
        <w:tc>
          <w:tcPr>
            <w:tcW w:w="1197" w:type="dxa"/>
            <w:tcBorders>
              <w:top w:val="nil"/>
              <w:left w:val="nil"/>
              <w:bottom w:val="nil"/>
              <w:right w:val="nil"/>
            </w:tcBorders>
            <w:shd w:val="clear" w:color="auto" w:fill="auto"/>
            <w:noWrap/>
            <w:vAlign w:val="bottom"/>
            <w:hideMark/>
          </w:tcPr>
          <w:p w:rsidR="00BA7786" w:rsidRPr="00B4142E" w:rsidRDefault="00BA7786" w:rsidP="00BA7786">
            <w:pPr>
              <w:spacing w:after="0" w:line="240" w:lineRule="auto"/>
              <w:jc w:val="right"/>
              <w:rPr>
                <w:rFonts w:ascii="Calibri" w:eastAsia="Times New Roman" w:hAnsi="Calibri" w:cs="Times New Roman"/>
                <w:color w:val="000000"/>
                <w:sz w:val="16"/>
                <w:szCs w:val="16"/>
                <w:lang w:eastAsia="es-ES"/>
              </w:rPr>
            </w:pPr>
            <w:r w:rsidRPr="00B4142E">
              <w:rPr>
                <w:rFonts w:ascii="Calibri" w:eastAsia="Times New Roman" w:hAnsi="Calibri" w:cs="Times New Roman"/>
                <w:color w:val="000000"/>
                <w:sz w:val="16"/>
                <w:szCs w:val="16"/>
                <w:lang w:eastAsia="es-ES"/>
              </w:rPr>
              <w:t>67.38%</w:t>
            </w:r>
          </w:p>
        </w:tc>
        <w:tc>
          <w:tcPr>
            <w:tcW w:w="1553" w:type="dxa"/>
            <w:tcBorders>
              <w:top w:val="nil"/>
              <w:left w:val="nil"/>
              <w:bottom w:val="nil"/>
              <w:right w:val="nil"/>
            </w:tcBorders>
            <w:shd w:val="clear" w:color="auto" w:fill="auto"/>
            <w:noWrap/>
            <w:vAlign w:val="bottom"/>
            <w:hideMark/>
          </w:tcPr>
          <w:p w:rsidR="00BA7786" w:rsidRPr="00B4142E" w:rsidRDefault="00BA7786" w:rsidP="00BA7786">
            <w:pPr>
              <w:spacing w:after="0" w:line="240" w:lineRule="auto"/>
              <w:jc w:val="right"/>
              <w:rPr>
                <w:rFonts w:ascii="Calibri" w:eastAsia="Times New Roman" w:hAnsi="Calibri" w:cs="Times New Roman"/>
                <w:color w:val="000000"/>
                <w:sz w:val="16"/>
                <w:szCs w:val="16"/>
                <w:lang w:eastAsia="es-ES"/>
              </w:rPr>
            </w:pPr>
            <w:r w:rsidRPr="00B4142E">
              <w:rPr>
                <w:rFonts w:ascii="Calibri" w:eastAsia="Times New Roman" w:hAnsi="Calibri" w:cs="Times New Roman"/>
                <w:color w:val="000000"/>
                <w:sz w:val="16"/>
                <w:szCs w:val="16"/>
                <w:lang w:eastAsia="es-ES"/>
              </w:rPr>
              <w:t>67.18%</w:t>
            </w:r>
          </w:p>
        </w:tc>
        <w:tc>
          <w:tcPr>
            <w:tcW w:w="1250" w:type="dxa"/>
            <w:tcBorders>
              <w:top w:val="nil"/>
              <w:left w:val="nil"/>
              <w:bottom w:val="nil"/>
              <w:right w:val="nil"/>
            </w:tcBorders>
            <w:shd w:val="clear" w:color="auto" w:fill="auto"/>
            <w:noWrap/>
            <w:vAlign w:val="bottom"/>
            <w:hideMark/>
          </w:tcPr>
          <w:p w:rsidR="00BA7786" w:rsidRPr="00B4142E" w:rsidRDefault="00BA7786" w:rsidP="00BA7786">
            <w:pPr>
              <w:spacing w:after="0" w:line="240" w:lineRule="auto"/>
              <w:jc w:val="right"/>
              <w:rPr>
                <w:rFonts w:ascii="Calibri" w:eastAsia="Times New Roman" w:hAnsi="Calibri" w:cs="Times New Roman"/>
                <w:color w:val="000000"/>
                <w:sz w:val="16"/>
                <w:szCs w:val="16"/>
                <w:lang w:eastAsia="es-ES"/>
              </w:rPr>
            </w:pPr>
            <w:r w:rsidRPr="00B4142E">
              <w:rPr>
                <w:rFonts w:ascii="Calibri" w:eastAsia="Times New Roman" w:hAnsi="Calibri" w:cs="Times New Roman"/>
                <w:color w:val="000000"/>
                <w:sz w:val="16"/>
                <w:szCs w:val="16"/>
                <w:lang w:eastAsia="es-ES"/>
              </w:rPr>
              <w:t>67.18%</w:t>
            </w:r>
          </w:p>
        </w:tc>
      </w:tr>
      <w:tr w:rsidR="00BA7786" w:rsidRPr="00B4142E" w:rsidTr="00B54FAC">
        <w:trPr>
          <w:trHeight w:val="300"/>
          <w:jc w:val="center"/>
        </w:trPr>
        <w:tc>
          <w:tcPr>
            <w:tcW w:w="1623" w:type="dxa"/>
            <w:tcBorders>
              <w:top w:val="nil"/>
              <w:left w:val="nil"/>
              <w:bottom w:val="nil"/>
              <w:right w:val="nil"/>
            </w:tcBorders>
            <w:shd w:val="clear" w:color="auto" w:fill="auto"/>
            <w:noWrap/>
            <w:vAlign w:val="bottom"/>
            <w:hideMark/>
          </w:tcPr>
          <w:p w:rsidR="00BA7786" w:rsidRPr="00B4142E" w:rsidRDefault="00BA7786" w:rsidP="00BA7786">
            <w:pPr>
              <w:spacing w:after="0" w:line="240" w:lineRule="auto"/>
              <w:rPr>
                <w:rFonts w:ascii="Calibri" w:eastAsia="Times New Roman" w:hAnsi="Calibri" w:cs="Times New Roman"/>
                <w:color w:val="000000"/>
                <w:sz w:val="16"/>
                <w:szCs w:val="16"/>
                <w:lang w:eastAsia="es-ES"/>
              </w:rPr>
            </w:pPr>
            <w:r w:rsidRPr="00B4142E">
              <w:rPr>
                <w:rFonts w:ascii="Calibri" w:eastAsia="Times New Roman" w:hAnsi="Calibri" w:cs="Times New Roman"/>
                <w:color w:val="000000"/>
                <w:sz w:val="16"/>
                <w:szCs w:val="16"/>
                <w:lang w:eastAsia="es-ES"/>
              </w:rPr>
              <w:t>Non-</w:t>
            </w:r>
            <w:proofErr w:type="spellStart"/>
            <w:r w:rsidRPr="00B4142E">
              <w:rPr>
                <w:rFonts w:ascii="Calibri" w:eastAsia="Times New Roman" w:hAnsi="Calibri" w:cs="Times New Roman"/>
                <w:color w:val="000000"/>
                <w:sz w:val="16"/>
                <w:szCs w:val="16"/>
                <w:lang w:eastAsia="es-ES"/>
              </w:rPr>
              <w:t>Wages</w:t>
            </w:r>
            <w:proofErr w:type="spellEnd"/>
          </w:p>
        </w:tc>
        <w:tc>
          <w:tcPr>
            <w:tcW w:w="799" w:type="dxa"/>
            <w:tcBorders>
              <w:top w:val="nil"/>
              <w:left w:val="nil"/>
              <w:bottom w:val="nil"/>
              <w:right w:val="nil"/>
            </w:tcBorders>
            <w:shd w:val="clear" w:color="auto" w:fill="auto"/>
            <w:noWrap/>
            <w:vAlign w:val="bottom"/>
            <w:hideMark/>
          </w:tcPr>
          <w:p w:rsidR="00BA7786" w:rsidRPr="00B4142E" w:rsidRDefault="00BA7786" w:rsidP="00BA7786">
            <w:pPr>
              <w:spacing w:after="0" w:line="240" w:lineRule="auto"/>
              <w:jc w:val="right"/>
              <w:rPr>
                <w:rFonts w:ascii="Calibri" w:eastAsia="Times New Roman" w:hAnsi="Calibri" w:cs="Times New Roman"/>
                <w:color w:val="000000"/>
                <w:sz w:val="16"/>
                <w:szCs w:val="16"/>
                <w:lang w:eastAsia="es-ES"/>
              </w:rPr>
            </w:pPr>
            <w:r w:rsidRPr="00B4142E">
              <w:rPr>
                <w:rFonts w:ascii="Calibri" w:eastAsia="Times New Roman" w:hAnsi="Calibri" w:cs="Times New Roman"/>
                <w:color w:val="000000"/>
                <w:sz w:val="16"/>
                <w:szCs w:val="16"/>
                <w:lang w:eastAsia="es-ES"/>
              </w:rPr>
              <w:t>32.88%</w:t>
            </w:r>
          </w:p>
        </w:tc>
        <w:tc>
          <w:tcPr>
            <w:tcW w:w="1197" w:type="dxa"/>
            <w:tcBorders>
              <w:top w:val="nil"/>
              <w:left w:val="nil"/>
              <w:bottom w:val="nil"/>
              <w:right w:val="nil"/>
            </w:tcBorders>
            <w:shd w:val="clear" w:color="auto" w:fill="auto"/>
            <w:noWrap/>
            <w:vAlign w:val="bottom"/>
            <w:hideMark/>
          </w:tcPr>
          <w:p w:rsidR="00BA7786" w:rsidRPr="00B4142E" w:rsidRDefault="00BA7786" w:rsidP="00BA7786">
            <w:pPr>
              <w:spacing w:after="0" w:line="240" w:lineRule="auto"/>
              <w:jc w:val="right"/>
              <w:rPr>
                <w:rFonts w:ascii="Calibri" w:eastAsia="Times New Roman" w:hAnsi="Calibri" w:cs="Times New Roman"/>
                <w:color w:val="000000"/>
                <w:sz w:val="16"/>
                <w:szCs w:val="16"/>
                <w:lang w:eastAsia="es-ES"/>
              </w:rPr>
            </w:pPr>
            <w:r w:rsidRPr="00B4142E">
              <w:rPr>
                <w:rFonts w:ascii="Calibri" w:eastAsia="Times New Roman" w:hAnsi="Calibri" w:cs="Times New Roman"/>
                <w:color w:val="000000"/>
                <w:sz w:val="16"/>
                <w:szCs w:val="16"/>
                <w:lang w:eastAsia="es-ES"/>
              </w:rPr>
              <w:t>34.40%</w:t>
            </w:r>
          </w:p>
        </w:tc>
        <w:tc>
          <w:tcPr>
            <w:tcW w:w="1197" w:type="dxa"/>
            <w:tcBorders>
              <w:top w:val="nil"/>
              <w:left w:val="nil"/>
              <w:bottom w:val="nil"/>
              <w:right w:val="nil"/>
            </w:tcBorders>
            <w:shd w:val="clear" w:color="auto" w:fill="auto"/>
            <w:noWrap/>
            <w:vAlign w:val="bottom"/>
            <w:hideMark/>
          </w:tcPr>
          <w:p w:rsidR="00BA7786" w:rsidRPr="00B4142E" w:rsidRDefault="00BA7786" w:rsidP="00BA7786">
            <w:pPr>
              <w:spacing w:after="0" w:line="240" w:lineRule="auto"/>
              <w:jc w:val="right"/>
              <w:rPr>
                <w:rFonts w:ascii="Calibri" w:eastAsia="Times New Roman" w:hAnsi="Calibri" w:cs="Times New Roman"/>
                <w:color w:val="000000"/>
                <w:sz w:val="16"/>
                <w:szCs w:val="16"/>
                <w:lang w:eastAsia="es-ES"/>
              </w:rPr>
            </w:pPr>
            <w:r w:rsidRPr="00B4142E">
              <w:rPr>
                <w:rFonts w:ascii="Calibri" w:eastAsia="Times New Roman" w:hAnsi="Calibri" w:cs="Times New Roman"/>
                <w:color w:val="000000"/>
                <w:sz w:val="16"/>
                <w:szCs w:val="16"/>
                <w:lang w:eastAsia="es-ES"/>
              </w:rPr>
              <w:t>32.62%</w:t>
            </w:r>
          </w:p>
        </w:tc>
        <w:tc>
          <w:tcPr>
            <w:tcW w:w="1553" w:type="dxa"/>
            <w:tcBorders>
              <w:top w:val="nil"/>
              <w:left w:val="nil"/>
              <w:bottom w:val="nil"/>
              <w:right w:val="nil"/>
            </w:tcBorders>
            <w:shd w:val="clear" w:color="auto" w:fill="auto"/>
            <w:noWrap/>
            <w:vAlign w:val="bottom"/>
            <w:hideMark/>
          </w:tcPr>
          <w:p w:rsidR="00BA7786" w:rsidRPr="00B4142E" w:rsidRDefault="00BA7786" w:rsidP="00BA7786">
            <w:pPr>
              <w:spacing w:after="0" w:line="240" w:lineRule="auto"/>
              <w:jc w:val="right"/>
              <w:rPr>
                <w:rFonts w:ascii="Calibri" w:eastAsia="Times New Roman" w:hAnsi="Calibri" w:cs="Times New Roman"/>
                <w:color w:val="000000"/>
                <w:sz w:val="16"/>
                <w:szCs w:val="16"/>
                <w:lang w:eastAsia="es-ES"/>
              </w:rPr>
            </w:pPr>
            <w:r w:rsidRPr="00B4142E">
              <w:rPr>
                <w:rFonts w:ascii="Calibri" w:eastAsia="Times New Roman" w:hAnsi="Calibri" w:cs="Times New Roman"/>
                <w:color w:val="000000"/>
                <w:sz w:val="16"/>
                <w:szCs w:val="16"/>
                <w:lang w:eastAsia="es-ES"/>
              </w:rPr>
              <w:t>32.82%</w:t>
            </w:r>
          </w:p>
        </w:tc>
        <w:tc>
          <w:tcPr>
            <w:tcW w:w="1250" w:type="dxa"/>
            <w:tcBorders>
              <w:top w:val="nil"/>
              <w:left w:val="nil"/>
              <w:bottom w:val="nil"/>
              <w:right w:val="nil"/>
            </w:tcBorders>
            <w:shd w:val="clear" w:color="auto" w:fill="auto"/>
            <w:noWrap/>
            <w:vAlign w:val="bottom"/>
            <w:hideMark/>
          </w:tcPr>
          <w:p w:rsidR="00BA7786" w:rsidRPr="00B4142E" w:rsidRDefault="00BA7786" w:rsidP="00BA7786">
            <w:pPr>
              <w:spacing w:after="0" w:line="240" w:lineRule="auto"/>
              <w:jc w:val="right"/>
              <w:rPr>
                <w:rFonts w:ascii="Calibri" w:eastAsia="Times New Roman" w:hAnsi="Calibri" w:cs="Times New Roman"/>
                <w:color w:val="000000"/>
                <w:sz w:val="16"/>
                <w:szCs w:val="16"/>
                <w:lang w:eastAsia="es-ES"/>
              </w:rPr>
            </w:pPr>
            <w:r w:rsidRPr="00B4142E">
              <w:rPr>
                <w:rFonts w:ascii="Calibri" w:eastAsia="Times New Roman" w:hAnsi="Calibri" w:cs="Times New Roman"/>
                <w:color w:val="000000"/>
                <w:sz w:val="16"/>
                <w:szCs w:val="16"/>
                <w:lang w:eastAsia="es-ES"/>
              </w:rPr>
              <w:t>32.82%</w:t>
            </w:r>
          </w:p>
        </w:tc>
      </w:tr>
      <w:tr w:rsidR="00BA7786" w:rsidRPr="00B4142E" w:rsidTr="00B4142E">
        <w:trPr>
          <w:trHeight w:val="191"/>
          <w:jc w:val="center"/>
        </w:trPr>
        <w:tc>
          <w:tcPr>
            <w:tcW w:w="2422" w:type="dxa"/>
            <w:gridSpan w:val="2"/>
            <w:tcBorders>
              <w:top w:val="nil"/>
              <w:left w:val="nil"/>
              <w:bottom w:val="nil"/>
              <w:right w:val="nil"/>
            </w:tcBorders>
            <w:shd w:val="clear" w:color="000000" w:fill="CCCCFF"/>
            <w:noWrap/>
            <w:vAlign w:val="bottom"/>
            <w:hideMark/>
          </w:tcPr>
          <w:p w:rsidR="00BA7786" w:rsidRPr="00B4142E" w:rsidRDefault="00BA7786" w:rsidP="00BA7786">
            <w:pPr>
              <w:spacing w:after="0" w:line="240" w:lineRule="auto"/>
              <w:rPr>
                <w:rFonts w:ascii="Calibri" w:eastAsia="Times New Roman" w:hAnsi="Calibri" w:cs="Times New Roman"/>
                <w:b/>
                <w:bCs/>
                <w:color w:val="000000"/>
                <w:sz w:val="16"/>
                <w:szCs w:val="16"/>
                <w:lang w:eastAsia="es-ES"/>
              </w:rPr>
            </w:pPr>
            <w:proofErr w:type="spellStart"/>
            <w:r w:rsidRPr="00B4142E">
              <w:rPr>
                <w:rFonts w:ascii="Calibri" w:eastAsia="Times New Roman" w:hAnsi="Calibri" w:cs="Times New Roman"/>
                <w:b/>
                <w:bCs/>
                <w:color w:val="000000"/>
                <w:sz w:val="16"/>
                <w:szCs w:val="16"/>
                <w:lang w:eastAsia="es-ES"/>
              </w:rPr>
              <w:t>Other</w:t>
            </w:r>
            <w:proofErr w:type="spellEnd"/>
            <w:r w:rsidRPr="00B4142E">
              <w:rPr>
                <w:rFonts w:ascii="Calibri" w:eastAsia="Times New Roman" w:hAnsi="Calibri" w:cs="Times New Roman"/>
                <w:b/>
                <w:bCs/>
                <w:color w:val="000000"/>
                <w:sz w:val="16"/>
                <w:szCs w:val="16"/>
                <w:lang w:eastAsia="es-ES"/>
              </w:rPr>
              <w:t xml:space="preserve"> </w:t>
            </w:r>
            <w:proofErr w:type="spellStart"/>
            <w:r w:rsidRPr="00B4142E">
              <w:rPr>
                <w:rFonts w:ascii="Calibri" w:eastAsia="Times New Roman" w:hAnsi="Calibri" w:cs="Times New Roman"/>
                <w:b/>
                <w:bCs/>
                <w:color w:val="000000"/>
                <w:sz w:val="16"/>
                <w:szCs w:val="16"/>
                <w:lang w:eastAsia="es-ES"/>
              </w:rPr>
              <w:t>Education</w:t>
            </w:r>
            <w:proofErr w:type="spellEnd"/>
          </w:p>
        </w:tc>
        <w:tc>
          <w:tcPr>
            <w:tcW w:w="1197" w:type="dxa"/>
            <w:tcBorders>
              <w:top w:val="nil"/>
              <w:left w:val="nil"/>
              <w:bottom w:val="nil"/>
              <w:right w:val="nil"/>
            </w:tcBorders>
            <w:shd w:val="clear" w:color="000000" w:fill="CCCCFF"/>
            <w:noWrap/>
            <w:vAlign w:val="bottom"/>
            <w:hideMark/>
          </w:tcPr>
          <w:p w:rsidR="00BA7786" w:rsidRPr="00B4142E" w:rsidRDefault="00BA7786" w:rsidP="00BA7786">
            <w:pPr>
              <w:spacing w:after="0" w:line="240" w:lineRule="auto"/>
              <w:rPr>
                <w:rFonts w:ascii="Calibri" w:eastAsia="Times New Roman" w:hAnsi="Calibri" w:cs="Times New Roman"/>
                <w:b/>
                <w:bCs/>
                <w:color w:val="000000"/>
                <w:sz w:val="16"/>
                <w:szCs w:val="16"/>
                <w:lang w:eastAsia="es-ES"/>
              </w:rPr>
            </w:pPr>
            <w:r w:rsidRPr="00B4142E">
              <w:rPr>
                <w:rFonts w:ascii="Calibri" w:eastAsia="Times New Roman" w:hAnsi="Calibri" w:cs="Times New Roman"/>
                <w:b/>
                <w:bCs/>
                <w:color w:val="000000"/>
                <w:sz w:val="16"/>
                <w:szCs w:val="16"/>
                <w:lang w:eastAsia="es-ES"/>
              </w:rPr>
              <w:t> </w:t>
            </w:r>
          </w:p>
        </w:tc>
        <w:tc>
          <w:tcPr>
            <w:tcW w:w="1197" w:type="dxa"/>
            <w:tcBorders>
              <w:top w:val="nil"/>
              <w:left w:val="nil"/>
              <w:bottom w:val="nil"/>
              <w:right w:val="nil"/>
            </w:tcBorders>
            <w:shd w:val="clear" w:color="000000" w:fill="CCCCFF"/>
            <w:noWrap/>
            <w:vAlign w:val="bottom"/>
            <w:hideMark/>
          </w:tcPr>
          <w:p w:rsidR="00BA7786" w:rsidRPr="00B4142E" w:rsidRDefault="00BA7786" w:rsidP="00BA7786">
            <w:pPr>
              <w:spacing w:after="0" w:line="240" w:lineRule="auto"/>
              <w:rPr>
                <w:rFonts w:ascii="Calibri" w:eastAsia="Times New Roman" w:hAnsi="Calibri" w:cs="Times New Roman"/>
                <w:b/>
                <w:bCs/>
                <w:color w:val="000000"/>
                <w:sz w:val="16"/>
                <w:szCs w:val="16"/>
                <w:lang w:eastAsia="es-ES"/>
              </w:rPr>
            </w:pPr>
            <w:r w:rsidRPr="00B4142E">
              <w:rPr>
                <w:rFonts w:ascii="Calibri" w:eastAsia="Times New Roman" w:hAnsi="Calibri" w:cs="Times New Roman"/>
                <w:b/>
                <w:bCs/>
                <w:color w:val="000000"/>
                <w:sz w:val="16"/>
                <w:szCs w:val="16"/>
                <w:lang w:eastAsia="es-ES"/>
              </w:rPr>
              <w:t> </w:t>
            </w:r>
          </w:p>
        </w:tc>
        <w:tc>
          <w:tcPr>
            <w:tcW w:w="1553" w:type="dxa"/>
            <w:tcBorders>
              <w:top w:val="nil"/>
              <w:left w:val="nil"/>
              <w:bottom w:val="nil"/>
              <w:right w:val="nil"/>
            </w:tcBorders>
            <w:shd w:val="clear" w:color="000000" w:fill="CCCCFF"/>
            <w:noWrap/>
            <w:vAlign w:val="bottom"/>
            <w:hideMark/>
          </w:tcPr>
          <w:p w:rsidR="00BA7786" w:rsidRPr="00B4142E" w:rsidRDefault="00BA7786" w:rsidP="00BA7786">
            <w:pPr>
              <w:spacing w:after="0" w:line="240" w:lineRule="auto"/>
              <w:rPr>
                <w:rFonts w:ascii="Calibri" w:eastAsia="Times New Roman" w:hAnsi="Calibri" w:cs="Times New Roman"/>
                <w:b/>
                <w:bCs/>
                <w:color w:val="000000"/>
                <w:sz w:val="16"/>
                <w:szCs w:val="16"/>
                <w:lang w:eastAsia="es-ES"/>
              </w:rPr>
            </w:pPr>
            <w:r w:rsidRPr="00B4142E">
              <w:rPr>
                <w:rFonts w:ascii="Calibri" w:eastAsia="Times New Roman" w:hAnsi="Calibri" w:cs="Times New Roman"/>
                <w:b/>
                <w:bCs/>
                <w:color w:val="000000"/>
                <w:sz w:val="16"/>
                <w:szCs w:val="16"/>
                <w:lang w:eastAsia="es-ES"/>
              </w:rPr>
              <w:t> </w:t>
            </w:r>
          </w:p>
        </w:tc>
        <w:tc>
          <w:tcPr>
            <w:tcW w:w="1250" w:type="dxa"/>
            <w:tcBorders>
              <w:top w:val="nil"/>
              <w:left w:val="nil"/>
              <w:bottom w:val="nil"/>
              <w:right w:val="nil"/>
            </w:tcBorders>
            <w:shd w:val="clear" w:color="000000" w:fill="CCCCFF"/>
            <w:noWrap/>
            <w:vAlign w:val="bottom"/>
            <w:hideMark/>
          </w:tcPr>
          <w:p w:rsidR="00BA7786" w:rsidRPr="00B4142E" w:rsidRDefault="00BA7786" w:rsidP="00BA7786">
            <w:pPr>
              <w:spacing w:after="0" w:line="240" w:lineRule="auto"/>
              <w:rPr>
                <w:rFonts w:ascii="Calibri" w:eastAsia="Times New Roman" w:hAnsi="Calibri" w:cs="Times New Roman"/>
                <w:b/>
                <w:bCs/>
                <w:color w:val="000000"/>
                <w:sz w:val="16"/>
                <w:szCs w:val="16"/>
                <w:lang w:eastAsia="es-ES"/>
              </w:rPr>
            </w:pPr>
            <w:r w:rsidRPr="00B4142E">
              <w:rPr>
                <w:rFonts w:ascii="Calibri" w:eastAsia="Times New Roman" w:hAnsi="Calibri" w:cs="Times New Roman"/>
                <w:b/>
                <w:bCs/>
                <w:color w:val="000000"/>
                <w:sz w:val="16"/>
                <w:szCs w:val="16"/>
                <w:lang w:eastAsia="es-ES"/>
              </w:rPr>
              <w:t> </w:t>
            </w:r>
          </w:p>
        </w:tc>
      </w:tr>
      <w:tr w:rsidR="00BA7786" w:rsidRPr="00B4142E" w:rsidTr="00B54FAC">
        <w:trPr>
          <w:trHeight w:val="300"/>
          <w:jc w:val="center"/>
        </w:trPr>
        <w:tc>
          <w:tcPr>
            <w:tcW w:w="1623" w:type="dxa"/>
            <w:tcBorders>
              <w:top w:val="nil"/>
              <w:left w:val="nil"/>
              <w:bottom w:val="nil"/>
              <w:right w:val="nil"/>
            </w:tcBorders>
            <w:shd w:val="clear" w:color="auto" w:fill="auto"/>
            <w:noWrap/>
            <w:vAlign w:val="bottom"/>
            <w:hideMark/>
          </w:tcPr>
          <w:p w:rsidR="00BA7786" w:rsidRPr="00B4142E" w:rsidRDefault="00BA7786" w:rsidP="00BA7786">
            <w:pPr>
              <w:spacing w:after="0" w:line="240" w:lineRule="auto"/>
              <w:rPr>
                <w:rFonts w:ascii="Calibri" w:eastAsia="Times New Roman" w:hAnsi="Calibri" w:cs="Times New Roman"/>
                <w:color w:val="000000"/>
                <w:sz w:val="16"/>
                <w:szCs w:val="16"/>
                <w:lang w:eastAsia="es-ES"/>
              </w:rPr>
            </w:pPr>
            <w:r w:rsidRPr="00B4142E">
              <w:rPr>
                <w:rFonts w:ascii="Calibri" w:eastAsia="Times New Roman" w:hAnsi="Calibri" w:cs="Times New Roman"/>
                <w:color w:val="000000"/>
                <w:sz w:val="16"/>
                <w:szCs w:val="16"/>
                <w:lang w:eastAsia="es-ES"/>
              </w:rPr>
              <w:t>% Total</w:t>
            </w:r>
          </w:p>
        </w:tc>
        <w:tc>
          <w:tcPr>
            <w:tcW w:w="799" w:type="dxa"/>
            <w:tcBorders>
              <w:top w:val="nil"/>
              <w:left w:val="nil"/>
              <w:bottom w:val="nil"/>
              <w:right w:val="nil"/>
            </w:tcBorders>
            <w:shd w:val="clear" w:color="auto" w:fill="auto"/>
            <w:noWrap/>
            <w:vAlign w:val="bottom"/>
            <w:hideMark/>
          </w:tcPr>
          <w:p w:rsidR="00BA7786" w:rsidRPr="00B4142E" w:rsidRDefault="00BA7786" w:rsidP="00BA7786">
            <w:pPr>
              <w:spacing w:after="0" w:line="240" w:lineRule="auto"/>
              <w:rPr>
                <w:rFonts w:ascii="Calibri" w:eastAsia="Times New Roman" w:hAnsi="Calibri" w:cs="Times New Roman"/>
                <w:color w:val="000000"/>
                <w:sz w:val="16"/>
                <w:szCs w:val="16"/>
                <w:lang w:eastAsia="es-ES"/>
              </w:rPr>
            </w:pPr>
          </w:p>
        </w:tc>
        <w:tc>
          <w:tcPr>
            <w:tcW w:w="1197" w:type="dxa"/>
            <w:tcBorders>
              <w:top w:val="nil"/>
              <w:left w:val="nil"/>
              <w:bottom w:val="nil"/>
              <w:right w:val="nil"/>
            </w:tcBorders>
            <w:shd w:val="clear" w:color="auto" w:fill="auto"/>
            <w:noWrap/>
            <w:vAlign w:val="bottom"/>
            <w:hideMark/>
          </w:tcPr>
          <w:p w:rsidR="00BA7786" w:rsidRPr="00B4142E" w:rsidRDefault="00BA7786" w:rsidP="00BA7786">
            <w:pPr>
              <w:spacing w:after="0" w:line="240" w:lineRule="auto"/>
              <w:rPr>
                <w:rFonts w:ascii="Calibri" w:eastAsia="Times New Roman" w:hAnsi="Calibri" w:cs="Times New Roman"/>
                <w:color w:val="000000"/>
                <w:sz w:val="16"/>
                <w:szCs w:val="16"/>
                <w:lang w:eastAsia="es-ES"/>
              </w:rPr>
            </w:pPr>
          </w:p>
        </w:tc>
        <w:tc>
          <w:tcPr>
            <w:tcW w:w="1197" w:type="dxa"/>
            <w:tcBorders>
              <w:top w:val="nil"/>
              <w:left w:val="nil"/>
              <w:bottom w:val="nil"/>
              <w:right w:val="nil"/>
            </w:tcBorders>
            <w:shd w:val="clear" w:color="auto" w:fill="auto"/>
            <w:noWrap/>
            <w:vAlign w:val="bottom"/>
            <w:hideMark/>
          </w:tcPr>
          <w:p w:rsidR="00BA7786" w:rsidRPr="00B4142E" w:rsidRDefault="00BA7786" w:rsidP="00BA7786">
            <w:pPr>
              <w:spacing w:after="0" w:line="240" w:lineRule="auto"/>
              <w:rPr>
                <w:rFonts w:ascii="Calibri" w:eastAsia="Times New Roman" w:hAnsi="Calibri" w:cs="Times New Roman"/>
                <w:color w:val="000000"/>
                <w:sz w:val="16"/>
                <w:szCs w:val="16"/>
                <w:lang w:eastAsia="es-ES"/>
              </w:rPr>
            </w:pPr>
          </w:p>
        </w:tc>
        <w:tc>
          <w:tcPr>
            <w:tcW w:w="1553" w:type="dxa"/>
            <w:tcBorders>
              <w:top w:val="nil"/>
              <w:left w:val="nil"/>
              <w:bottom w:val="nil"/>
              <w:right w:val="nil"/>
            </w:tcBorders>
            <w:shd w:val="clear" w:color="auto" w:fill="auto"/>
            <w:noWrap/>
            <w:vAlign w:val="bottom"/>
            <w:hideMark/>
          </w:tcPr>
          <w:p w:rsidR="00BA7786" w:rsidRPr="00B4142E" w:rsidRDefault="00BA7786" w:rsidP="00BA7786">
            <w:pPr>
              <w:spacing w:after="0" w:line="240" w:lineRule="auto"/>
              <w:rPr>
                <w:rFonts w:ascii="Calibri" w:eastAsia="Times New Roman" w:hAnsi="Calibri" w:cs="Times New Roman"/>
                <w:color w:val="000000"/>
                <w:sz w:val="16"/>
                <w:szCs w:val="16"/>
                <w:lang w:eastAsia="es-ES"/>
              </w:rPr>
            </w:pPr>
          </w:p>
        </w:tc>
        <w:tc>
          <w:tcPr>
            <w:tcW w:w="1250" w:type="dxa"/>
            <w:tcBorders>
              <w:top w:val="nil"/>
              <w:left w:val="nil"/>
              <w:bottom w:val="nil"/>
              <w:right w:val="nil"/>
            </w:tcBorders>
            <w:shd w:val="clear" w:color="auto" w:fill="auto"/>
            <w:noWrap/>
            <w:vAlign w:val="bottom"/>
            <w:hideMark/>
          </w:tcPr>
          <w:p w:rsidR="00BA7786" w:rsidRPr="00B4142E" w:rsidRDefault="00BA7786" w:rsidP="00BA7786">
            <w:pPr>
              <w:spacing w:after="0" w:line="240" w:lineRule="auto"/>
              <w:rPr>
                <w:rFonts w:ascii="Calibri" w:eastAsia="Times New Roman" w:hAnsi="Calibri" w:cs="Times New Roman"/>
                <w:color w:val="000000"/>
                <w:sz w:val="16"/>
                <w:szCs w:val="16"/>
                <w:lang w:eastAsia="es-ES"/>
              </w:rPr>
            </w:pPr>
          </w:p>
        </w:tc>
      </w:tr>
      <w:tr w:rsidR="00BA7786" w:rsidRPr="00B4142E" w:rsidTr="00B54FAC">
        <w:trPr>
          <w:trHeight w:val="300"/>
          <w:jc w:val="center"/>
        </w:trPr>
        <w:tc>
          <w:tcPr>
            <w:tcW w:w="1623" w:type="dxa"/>
            <w:tcBorders>
              <w:top w:val="nil"/>
              <w:left w:val="nil"/>
              <w:bottom w:val="nil"/>
              <w:right w:val="nil"/>
            </w:tcBorders>
            <w:shd w:val="clear" w:color="auto" w:fill="auto"/>
            <w:noWrap/>
            <w:vAlign w:val="bottom"/>
            <w:hideMark/>
          </w:tcPr>
          <w:p w:rsidR="00BA7786" w:rsidRPr="00B4142E" w:rsidRDefault="00BA7786" w:rsidP="00BA7786">
            <w:pPr>
              <w:spacing w:after="0" w:line="240" w:lineRule="auto"/>
              <w:rPr>
                <w:rFonts w:ascii="Calibri" w:eastAsia="Times New Roman" w:hAnsi="Calibri" w:cs="Times New Roman"/>
                <w:color w:val="000000"/>
                <w:sz w:val="16"/>
                <w:szCs w:val="16"/>
                <w:lang w:eastAsia="es-ES"/>
              </w:rPr>
            </w:pPr>
            <w:proofErr w:type="spellStart"/>
            <w:r w:rsidRPr="00B4142E">
              <w:rPr>
                <w:rFonts w:ascii="Calibri" w:eastAsia="Times New Roman" w:hAnsi="Calibri" w:cs="Times New Roman"/>
                <w:color w:val="000000"/>
                <w:sz w:val="16"/>
                <w:szCs w:val="16"/>
                <w:lang w:eastAsia="es-ES"/>
              </w:rPr>
              <w:t>Recurrent</w:t>
            </w:r>
            <w:proofErr w:type="spellEnd"/>
          </w:p>
        </w:tc>
        <w:tc>
          <w:tcPr>
            <w:tcW w:w="799" w:type="dxa"/>
            <w:tcBorders>
              <w:top w:val="nil"/>
              <w:left w:val="nil"/>
              <w:bottom w:val="nil"/>
              <w:right w:val="nil"/>
            </w:tcBorders>
            <w:shd w:val="clear" w:color="auto" w:fill="auto"/>
            <w:noWrap/>
            <w:vAlign w:val="bottom"/>
            <w:hideMark/>
          </w:tcPr>
          <w:p w:rsidR="00BA7786" w:rsidRPr="00B4142E" w:rsidRDefault="00BA7786" w:rsidP="00BA7786">
            <w:pPr>
              <w:spacing w:after="0" w:line="240" w:lineRule="auto"/>
              <w:jc w:val="right"/>
              <w:rPr>
                <w:rFonts w:ascii="Calibri" w:eastAsia="Times New Roman" w:hAnsi="Calibri" w:cs="Times New Roman"/>
                <w:color w:val="000000"/>
                <w:sz w:val="16"/>
                <w:szCs w:val="16"/>
                <w:lang w:eastAsia="es-ES"/>
              </w:rPr>
            </w:pPr>
            <w:r w:rsidRPr="00B4142E">
              <w:rPr>
                <w:rFonts w:ascii="Calibri" w:eastAsia="Times New Roman" w:hAnsi="Calibri" w:cs="Times New Roman"/>
                <w:color w:val="000000"/>
                <w:sz w:val="16"/>
                <w:szCs w:val="16"/>
                <w:lang w:eastAsia="es-ES"/>
              </w:rPr>
              <w:t>96.16%</w:t>
            </w:r>
          </w:p>
        </w:tc>
        <w:tc>
          <w:tcPr>
            <w:tcW w:w="1197" w:type="dxa"/>
            <w:tcBorders>
              <w:top w:val="nil"/>
              <w:left w:val="nil"/>
              <w:bottom w:val="nil"/>
              <w:right w:val="nil"/>
            </w:tcBorders>
            <w:shd w:val="clear" w:color="auto" w:fill="auto"/>
            <w:noWrap/>
            <w:vAlign w:val="bottom"/>
            <w:hideMark/>
          </w:tcPr>
          <w:p w:rsidR="00BA7786" w:rsidRPr="00B4142E" w:rsidRDefault="00BA7786" w:rsidP="00BA7786">
            <w:pPr>
              <w:spacing w:after="0" w:line="240" w:lineRule="auto"/>
              <w:jc w:val="right"/>
              <w:rPr>
                <w:rFonts w:ascii="Calibri" w:eastAsia="Times New Roman" w:hAnsi="Calibri" w:cs="Times New Roman"/>
                <w:color w:val="000000"/>
                <w:sz w:val="16"/>
                <w:szCs w:val="16"/>
                <w:lang w:eastAsia="es-ES"/>
              </w:rPr>
            </w:pPr>
            <w:r w:rsidRPr="00B4142E">
              <w:rPr>
                <w:rFonts w:ascii="Calibri" w:eastAsia="Times New Roman" w:hAnsi="Calibri" w:cs="Times New Roman"/>
                <w:color w:val="000000"/>
                <w:sz w:val="16"/>
                <w:szCs w:val="16"/>
                <w:lang w:eastAsia="es-ES"/>
              </w:rPr>
              <w:t>93.29%</w:t>
            </w:r>
          </w:p>
        </w:tc>
        <w:tc>
          <w:tcPr>
            <w:tcW w:w="1197" w:type="dxa"/>
            <w:tcBorders>
              <w:top w:val="nil"/>
              <w:left w:val="nil"/>
              <w:bottom w:val="nil"/>
              <w:right w:val="nil"/>
            </w:tcBorders>
            <w:shd w:val="clear" w:color="auto" w:fill="auto"/>
            <w:noWrap/>
            <w:vAlign w:val="bottom"/>
            <w:hideMark/>
          </w:tcPr>
          <w:p w:rsidR="00BA7786" w:rsidRPr="00B4142E" w:rsidRDefault="00BA7786" w:rsidP="00BA7786">
            <w:pPr>
              <w:spacing w:after="0" w:line="240" w:lineRule="auto"/>
              <w:jc w:val="right"/>
              <w:rPr>
                <w:rFonts w:ascii="Calibri" w:eastAsia="Times New Roman" w:hAnsi="Calibri" w:cs="Times New Roman"/>
                <w:color w:val="000000"/>
                <w:sz w:val="16"/>
                <w:szCs w:val="16"/>
                <w:lang w:eastAsia="es-ES"/>
              </w:rPr>
            </w:pPr>
            <w:r w:rsidRPr="00B4142E">
              <w:rPr>
                <w:rFonts w:ascii="Calibri" w:eastAsia="Times New Roman" w:hAnsi="Calibri" w:cs="Times New Roman"/>
                <w:color w:val="000000"/>
                <w:sz w:val="16"/>
                <w:szCs w:val="16"/>
                <w:lang w:eastAsia="es-ES"/>
              </w:rPr>
              <w:t>92.74%</w:t>
            </w:r>
          </w:p>
        </w:tc>
        <w:tc>
          <w:tcPr>
            <w:tcW w:w="1553" w:type="dxa"/>
            <w:tcBorders>
              <w:top w:val="nil"/>
              <w:left w:val="nil"/>
              <w:bottom w:val="nil"/>
              <w:right w:val="nil"/>
            </w:tcBorders>
            <w:shd w:val="clear" w:color="auto" w:fill="auto"/>
            <w:noWrap/>
            <w:vAlign w:val="bottom"/>
            <w:hideMark/>
          </w:tcPr>
          <w:p w:rsidR="00BA7786" w:rsidRPr="00B4142E" w:rsidRDefault="00BA7786" w:rsidP="00BA7786">
            <w:pPr>
              <w:spacing w:after="0" w:line="240" w:lineRule="auto"/>
              <w:jc w:val="right"/>
              <w:rPr>
                <w:rFonts w:ascii="Calibri" w:eastAsia="Times New Roman" w:hAnsi="Calibri" w:cs="Times New Roman"/>
                <w:color w:val="000000"/>
                <w:sz w:val="16"/>
                <w:szCs w:val="16"/>
                <w:lang w:eastAsia="es-ES"/>
              </w:rPr>
            </w:pPr>
            <w:r w:rsidRPr="00B4142E">
              <w:rPr>
                <w:rFonts w:ascii="Calibri" w:eastAsia="Times New Roman" w:hAnsi="Calibri" w:cs="Times New Roman"/>
                <w:color w:val="000000"/>
                <w:sz w:val="16"/>
                <w:szCs w:val="16"/>
                <w:lang w:eastAsia="es-ES"/>
              </w:rPr>
              <w:t>81.93%</w:t>
            </w:r>
          </w:p>
        </w:tc>
        <w:tc>
          <w:tcPr>
            <w:tcW w:w="1250" w:type="dxa"/>
            <w:tcBorders>
              <w:top w:val="nil"/>
              <w:left w:val="nil"/>
              <w:bottom w:val="nil"/>
              <w:right w:val="nil"/>
            </w:tcBorders>
            <w:shd w:val="clear" w:color="auto" w:fill="auto"/>
            <w:noWrap/>
            <w:vAlign w:val="bottom"/>
            <w:hideMark/>
          </w:tcPr>
          <w:p w:rsidR="00BA7786" w:rsidRPr="00B4142E" w:rsidRDefault="00BA7786" w:rsidP="00BA7786">
            <w:pPr>
              <w:spacing w:after="0" w:line="240" w:lineRule="auto"/>
              <w:jc w:val="right"/>
              <w:rPr>
                <w:rFonts w:ascii="Calibri" w:eastAsia="Times New Roman" w:hAnsi="Calibri" w:cs="Times New Roman"/>
                <w:color w:val="000000"/>
                <w:sz w:val="16"/>
                <w:szCs w:val="16"/>
                <w:lang w:eastAsia="es-ES"/>
              </w:rPr>
            </w:pPr>
            <w:r w:rsidRPr="00B4142E">
              <w:rPr>
                <w:rFonts w:ascii="Calibri" w:eastAsia="Times New Roman" w:hAnsi="Calibri" w:cs="Times New Roman"/>
                <w:color w:val="000000"/>
                <w:sz w:val="16"/>
                <w:szCs w:val="16"/>
                <w:lang w:eastAsia="es-ES"/>
              </w:rPr>
              <w:t>81.93%</w:t>
            </w:r>
          </w:p>
        </w:tc>
      </w:tr>
      <w:tr w:rsidR="00BA7786" w:rsidRPr="00B4142E" w:rsidTr="00B54FAC">
        <w:trPr>
          <w:trHeight w:val="300"/>
          <w:jc w:val="center"/>
        </w:trPr>
        <w:tc>
          <w:tcPr>
            <w:tcW w:w="1623" w:type="dxa"/>
            <w:tcBorders>
              <w:top w:val="nil"/>
              <w:left w:val="nil"/>
              <w:bottom w:val="nil"/>
              <w:right w:val="nil"/>
            </w:tcBorders>
            <w:shd w:val="clear" w:color="auto" w:fill="auto"/>
            <w:noWrap/>
            <w:vAlign w:val="bottom"/>
            <w:hideMark/>
          </w:tcPr>
          <w:p w:rsidR="00BA7786" w:rsidRPr="00B4142E" w:rsidRDefault="00BA7786" w:rsidP="00BA7786">
            <w:pPr>
              <w:spacing w:after="0" w:line="240" w:lineRule="auto"/>
              <w:rPr>
                <w:rFonts w:ascii="Calibri" w:eastAsia="Times New Roman" w:hAnsi="Calibri" w:cs="Times New Roman"/>
                <w:color w:val="000000"/>
                <w:sz w:val="16"/>
                <w:szCs w:val="16"/>
                <w:lang w:eastAsia="es-ES"/>
              </w:rPr>
            </w:pPr>
            <w:r w:rsidRPr="00B4142E">
              <w:rPr>
                <w:rFonts w:ascii="Calibri" w:eastAsia="Times New Roman" w:hAnsi="Calibri" w:cs="Times New Roman"/>
                <w:color w:val="000000"/>
                <w:sz w:val="16"/>
                <w:szCs w:val="16"/>
                <w:lang w:eastAsia="es-ES"/>
              </w:rPr>
              <w:t>Capital</w:t>
            </w:r>
          </w:p>
        </w:tc>
        <w:tc>
          <w:tcPr>
            <w:tcW w:w="799" w:type="dxa"/>
            <w:tcBorders>
              <w:top w:val="nil"/>
              <w:left w:val="nil"/>
              <w:bottom w:val="nil"/>
              <w:right w:val="nil"/>
            </w:tcBorders>
            <w:shd w:val="clear" w:color="auto" w:fill="auto"/>
            <w:noWrap/>
            <w:vAlign w:val="bottom"/>
            <w:hideMark/>
          </w:tcPr>
          <w:p w:rsidR="00BA7786" w:rsidRPr="00B4142E" w:rsidRDefault="00BA7786" w:rsidP="00BA7786">
            <w:pPr>
              <w:spacing w:after="0" w:line="240" w:lineRule="auto"/>
              <w:jc w:val="right"/>
              <w:rPr>
                <w:rFonts w:ascii="Calibri" w:eastAsia="Times New Roman" w:hAnsi="Calibri" w:cs="Times New Roman"/>
                <w:color w:val="000000"/>
                <w:sz w:val="16"/>
                <w:szCs w:val="16"/>
                <w:lang w:eastAsia="es-ES"/>
              </w:rPr>
            </w:pPr>
            <w:r w:rsidRPr="00B4142E">
              <w:rPr>
                <w:rFonts w:ascii="Calibri" w:eastAsia="Times New Roman" w:hAnsi="Calibri" w:cs="Times New Roman"/>
                <w:color w:val="000000"/>
                <w:sz w:val="16"/>
                <w:szCs w:val="16"/>
                <w:lang w:eastAsia="es-ES"/>
              </w:rPr>
              <w:t>3.84%</w:t>
            </w:r>
          </w:p>
        </w:tc>
        <w:tc>
          <w:tcPr>
            <w:tcW w:w="1197" w:type="dxa"/>
            <w:tcBorders>
              <w:top w:val="nil"/>
              <w:left w:val="nil"/>
              <w:bottom w:val="nil"/>
              <w:right w:val="nil"/>
            </w:tcBorders>
            <w:shd w:val="clear" w:color="auto" w:fill="auto"/>
            <w:noWrap/>
            <w:vAlign w:val="bottom"/>
            <w:hideMark/>
          </w:tcPr>
          <w:p w:rsidR="00BA7786" w:rsidRPr="00B4142E" w:rsidRDefault="00BA7786" w:rsidP="00BA7786">
            <w:pPr>
              <w:spacing w:after="0" w:line="240" w:lineRule="auto"/>
              <w:jc w:val="right"/>
              <w:rPr>
                <w:rFonts w:ascii="Calibri" w:eastAsia="Times New Roman" w:hAnsi="Calibri" w:cs="Times New Roman"/>
                <w:color w:val="000000"/>
                <w:sz w:val="16"/>
                <w:szCs w:val="16"/>
                <w:lang w:eastAsia="es-ES"/>
              </w:rPr>
            </w:pPr>
            <w:r w:rsidRPr="00B4142E">
              <w:rPr>
                <w:rFonts w:ascii="Calibri" w:eastAsia="Times New Roman" w:hAnsi="Calibri" w:cs="Times New Roman"/>
                <w:color w:val="000000"/>
                <w:sz w:val="16"/>
                <w:szCs w:val="16"/>
                <w:lang w:eastAsia="es-ES"/>
              </w:rPr>
              <w:t>6.71%</w:t>
            </w:r>
          </w:p>
        </w:tc>
        <w:tc>
          <w:tcPr>
            <w:tcW w:w="1197" w:type="dxa"/>
            <w:tcBorders>
              <w:top w:val="nil"/>
              <w:left w:val="nil"/>
              <w:bottom w:val="nil"/>
              <w:right w:val="nil"/>
            </w:tcBorders>
            <w:shd w:val="clear" w:color="auto" w:fill="auto"/>
            <w:noWrap/>
            <w:vAlign w:val="bottom"/>
            <w:hideMark/>
          </w:tcPr>
          <w:p w:rsidR="00BA7786" w:rsidRPr="00B4142E" w:rsidRDefault="00BA7786" w:rsidP="00BA7786">
            <w:pPr>
              <w:spacing w:after="0" w:line="240" w:lineRule="auto"/>
              <w:jc w:val="right"/>
              <w:rPr>
                <w:rFonts w:ascii="Calibri" w:eastAsia="Times New Roman" w:hAnsi="Calibri" w:cs="Times New Roman"/>
                <w:color w:val="000000"/>
                <w:sz w:val="16"/>
                <w:szCs w:val="16"/>
                <w:lang w:eastAsia="es-ES"/>
              </w:rPr>
            </w:pPr>
            <w:r w:rsidRPr="00B4142E">
              <w:rPr>
                <w:rFonts w:ascii="Calibri" w:eastAsia="Times New Roman" w:hAnsi="Calibri" w:cs="Times New Roman"/>
                <w:color w:val="000000"/>
                <w:sz w:val="16"/>
                <w:szCs w:val="16"/>
                <w:lang w:eastAsia="es-ES"/>
              </w:rPr>
              <w:t>7.26%</w:t>
            </w:r>
          </w:p>
        </w:tc>
        <w:tc>
          <w:tcPr>
            <w:tcW w:w="1553" w:type="dxa"/>
            <w:tcBorders>
              <w:top w:val="nil"/>
              <w:left w:val="nil"/>
              <w:bottom w:val="nil"/>
              <w:right w:val="nil"/>
            </w:tcBorders>
            <w:shd w:val="clear" w:color="auto" w:fill="auto"/>
            <w:noWrap/>
            <w:vAlign w:val="bottom"/>
            <w:hideMark/>
          </w:tcPr>
          <w:p w:rsidR="00BA7786" w:rsidRPr="00B4142E" w:rsidRDefault="00BA7786" w:rsidP="00BA7786">
            <w:pPr>
              <w:spacing w:after="0" w:line="240" w:lineRule="auto"/>
              <w:jc w:val="right"/>
              <w:rPr>
                <w:rFonts w:ascii="Calibri" w:eastAsia="Times New Roman" w:hAnsi="Calibri" w:cs="Times New Roman"/>
                <w:color w:val="000000"/>
                <w:sz w:val="16"/>
                <w:szCs w:val="16"/>
                <w:lang w:eastAsia="es-ES"/>
              </w:rPr>
            </w:pPr>
            <w:r w:rsidRPr="00B4142E">
              <w:rPr>
                <w:rFonts w:ascii="Calibri" w:eastAsia="Times New Roman" w:hAnsi="Calibri" w:cs="Times New Roman"/>
                <w:color w:val="000000"/>
                <w:sz w:val="16"/>
                <w:szCs w:val="16"/>
                <w:lang w:eastAsia="es-ES"/>
              </w:rPr>
              <w:t>18.07%</w:t>
            </w:r>
          </w:p>
        </w:tc>
        <w:tc>
          <w:tcPr>
            <w:tcW w:w="1250" w:type="dxa"/>
            <w:tcBorders>
              <w:top w:val="nil"/>
              <w:left w:val="nil"/>
              <w:bottom w:val="nil"/>
              <w:right w:val="nil"/>
            </w:tcBorders>
            <w:shd w:val="clear" w:color="auto" w:fill="auto"/>
            <w:noWrap/>
            <w:vAlign w:val="bottom"/>
            <w:hideMark/>
          </w:tcPr>
          <w:p w:rsidR="00BA7786" w:rsidRPr="00B4142E" w:rsidRDefault="00BA7786" w:rsidP="00BA7786">
            <w:pPr>
              <w:spacing w:after="0" w:line="240" w:lineRule="auto"/>
              <w:jc w:val="right"/>
              <w:rPr>
                <w:rFonts w:ascii="Calibri" w:eastAsia="Times New Roman" w:hAnsi="Calibri" w:cs="Times New Roman"/>
                <w:color w:val="000000"/>
                <w:sz w:val="16"/>
                <w:szCs w:val="16"/>
                <w:lang w:eastAsia="es-ES"/>
              </w:rPr>
            </w:pPr>
            <w:r w:rsidRPr="00B4142E">
              <w:rPr>
                <w:rFonts w:ascii="Calibri" w:eastAsia="Times New Roman" w:hAnsi="Calibri" w:cs="Times New Roman"/>
                <w:color w:val="000000"/>
                <w:sz w:val="16"/>
                <w:szCs w:val="16"/>
                <w:lang w:eastAsia="es-ES"/>
              </w:rPr>
              <w:t>18.07%</w:t>
            </w:r>
          </w:p>
        </w:tc>
      </w:tr>
      <w:tr w:rsidR="00BA7786" w:rsidRPr="00B4142E" w:rsidTr="00B54FAC">
        <w:trPr>
          <w:trHeight w:val="375"/>
          <w:jc w:val="center"/>
        </w:trPr>
        <w:tc>
          <w:tcPr>
            <w:tcW w:w="1623" w:type="dxa"/>
            <w:tcBorders>
              <w:top w:val="nil"/>
              <w:left w:val="nil"/>
              <w:bottom w:val="nil"/>
              <w:right w:val="nil"/>
            </w:tcBorders>
            <w:shd w:val="clear" w:color="auto" w:fill="auto"/>
            <w:noWrap/>
            <w:vAlign w:val="bottom"/>
            <w:hideMark/>
          </w:tcPr>
          <w:p w:rsidR="00BA7786" w:rsidRPr="00B4142E" w:rsidRDefault="00BA7786" w:rsidP="00BA7786">
            <w:pPr>
              <w:spacing w:after="0" w:line="240" w:lineRule="auto"/>
              <w:rPr>
                <w:rFonts w:ascii="Calibri" w:eastAsia="Times New Roman" w:hAnsi="Calibri" w:cs="Times New Roman"/>
                <w:color w:val="000000"/>
                <w:sz w:val="16"/>
                <w:szCs w:val="16"/>
                <w:lang w:eastAsia="es-ES"/>
              </w:rPr>
            </w:pPr>
            <w:r w:rsidRPr="00B4142E">
              <w:rPr>
                <w:rFonts w:ascii="Calibri" w:eastAsia="Times New Roman" w:hAnsi="Calibri" w:cs="Times New Roman"/>
                <w:color w:val="000000"/>
                <w:sz w:val="16"/>
                <w:szCs w:val="16"/>
                <w:lang w:eastAsia="es-ES"/>
              </w:rPr>
              <w:t xml:space="preserve">% </w:t>
            </w:r>
            <w:proofErr w:type="spellStart"/>
            <w:r w:rsidRPr="00B4142E">
              <w:rPr>
                <w:rFonts w:ascii="Calibri" w:eastAsia="Times New Roman" w:hAnsi="Calibri" w:cs="Times New Roman"/>
                <w:color w:val="000000"/>
                <w:sz w:val="16"/>
                <w:szCs w:val="16"/>
                <w:lang w:eastAsia="es-ES"/>
              </w:rPr>
              <w:t>Recurrent</w:t>
            </w:r>
            <w:proofErr w:type="spellEnd"/>
          </w:p>
        </w:tc>
        <w:tc>
          <w:tcPr>
            <w:tcW w:w="799" w:type="dxa"/>
            <w:tcBorders>
              <w:top w:val="nil"/>
              <w:left w:val="nil"/>
              <w:bottom w:val="nil"/>
              <w:right w:val="nil"/>
            </w:tcBorders>
            <w:shd w:val="clear" w:color="auto" w:fill="auto"/>
            <w:noWrap/>
            <w:vAlign w:val="bottom"/>
            <w:hideMark/>
          </w:tcPr>
          <w:p w:rsidR="00BA7786" w:rsidRPr="00B4142E" w:rsidRDefault="00BA7786" w:rsidP="00BA7786">
            <w:pPr>
              <w:spacing w:after="0" w:line="240" w:lineRule="auto"/>
              <w:rPr>
                <w:rFonts w:ascii="Calibri" w:eastAsia="Times New Roman" w:hAnsi="Calibri" w:cs="Times New Roman"/>
                <w:color w:val="000000"/>
                <w:sz w:val="16"/>
                <w:szCs w:val="16"/>
                <w:lang w:eastAsia="es-ES"/>
              </w:rPr>
            </w:pPr>
          </w:p>
        </w:tc>
        <w:tc>
          <w:tcPr>
            <w:tcW w:w="1197" w:type="dxa"/>
            <w:tcBorders>
              <w:top w:val="nil"/>
              <w:left w:val="nil"/>
              <w:bottom w:val="nil"/>
              <w:right w:val="nil"/>
            </w:tcBorders>
            <w:shd w:val="clear" w:color="auto" w:fill="auto"/>
            <w:noWrap/>
            <w:vAlign w:val="bottom"/>
            <w:hideMark/>
          </w:tcPr>
          <w:p w:rsidR="00BA7786" w:rsidRPr="00B4142E" w:rsidRDefault="00BA7786" w:rsidP="00BA7786">
            <w:pPr>
              <w:spacing w:after="0" w:line="240" w:lineRule="auto"/>
              <w:rPr>
                <w:rFonts w:ascii="Calibri" w:eastAsia="Times New Roman" w:hAnsi="Calibri" w:cs="Times New Roman"/>
                <w:color w:val="000000"/>
                <w:sz w:val="16"/>
                <w:szCs w:val="16"/>
                <w:lang w:eastAsia="es-ES"/>
              </w:rPr>
            </w:pPr>
          </w:p>
        </w:tc>
        <w:tc>
          <w:tcPr>
            <w:tcW w:w="1197" w:type="dxa"/>
            <w:tcBorders>
              <w:top w:val="nil"/>
              <w:left w:val="nil"/>
              <w:bottom w:val="nil"/>
              <w:right w:val="nil"/>
            </w:tcBorders>
            <w:shd w:val="clear" w:color="auto" w:fill="auto"/>
            <w:noWrap/>
            <w:vAlign w:val="bottom"/>
            <w:hideMark/>
          </w:tcPr>
          <w:p w:rsidR="00BA7786" w:rsidRPr="00B4142E" w:rsidRDefault="00BA7786" w:rsidP="00BA7786">
            <w:pPr>
              <w:spacing w:after="0" w:line="240" w:lineRule="auto"/>
              <w:rPr>
                <w:rFonts w:ascii="Calibri" w:eastAsia="Times New Roman" w:hAnsi="Calibri" w:cs="Times New Roman"/>
                <w:color w:val="000000"/>
                <w:sz w:val="16"/>
                <w:szCs w:val="16"/>
                <w:lang w:eastAsia="es-ES"/>
              </w:rPr>
            </w:pPr>
          </w:p>
        </w:tc>
        <w:tc>
          <w:tcPr>
            <w:tcW w:w="1553" w:type="dxa"/>
            <w:tcBorders>
              <w:top w:val="nil"/>
              <w:left w:val="nil"/>
              <w:bottom w:val="nil"/>
              <w:right w:val="nil"/>
            </w:tcBorders>
            <w:shd w:val="clear" w:color="auto" w:fill="auto"/>
            <w:noWrap/>
            <w:vAlign w:val="bottom"/>
            <w:hideMark/>
          </w:tcPr>
          <w:p w:rsidR="00BA7786" w:rsidRPr="00B4142E" w:rsidRDefault="00BA7786" w:rsidP="00BA7786">
            <w:pPr>
              <w:spacing w:after="0" w:line="240" w:lineRule="auto"/>
              <w:rPr>
                <w:rFonts w:ascii="Calibri" w:eastAsia="Times New Roman" w:hAnsi="Calibri" w:cs="Times New Roman"/>
                <w:color w:val="000000"/>
                <w:sz w:val="16"/>
                <w:szCs w:val="16"/>
                <w:lang w:eastAsia="es-ES"/>
              </w:rPr>
            </w:pPr>
          </w:p>
        </w:tc>
        <w:tc>
          <w:tcPr>
            <w:tcW w:w="1250" w:type="dxa"/>
            <w:tcBorders>
              <w:top w:val="nil"/>
              <w:left w:val="nil"/>
              <w:bottom w:val="nil"/>
              <w:right w:val="nil"/>
            </w:tcBorders>
            <w:shd w:val="clear" w:color="auto" w:fill="auto"/>
            <w:noWrap/>
            <w:vAlign w:val="bottom"/>
            <w:hideMark/>
          </w:tcPr>
          <w:p w:rsidR="00BA7786" w:rsidRPr="00B4142E" w:rsidRDefault="00BA7786" w:rsidP="00BA7786">
            <w:pPr>
              <w:spacing w:after="0" w:line="240" w:lineRule="auto"/>
              <w:rPr>
                <w:rFonts w:ascii="Calibri" w:eastAsia="Times New Roman" w:hAnsi="Calibri" w:cs="Times New Roman"/>
                <w:color w:val="000000"/>
                <w:sz w:val="16"/>
                <w:szCs w:val="16"/>
                <w:lang w:eastAsia="es-ES"/>
              </w:rPr>
            </w:pPr>
          </w:p>
        </w:tc>
      </w:tr>
      <w:tr w:rsidR="00BA7786" w:rsidRPr="00B4142E" w:rsidTr="00B54FAC">
        <w:trPr>
          <w:trHeight w:val="345"/>
          <w:jc w:val="center"/>
        </w:trPr>
        <w:tc>
          <w:tcPr>
            <w:tcW w:w="1623" w:type="dxa"/>
            <w:tcBorders>
              <w:top w:val="nil"/>
              <w:left w:val="nil"/>
              <w:bottom w:val="nil"/>
              <w:right w:val="nil"/>
            </w:tcBorders>
            <w:shd w:val="clear" w:color="auto" w:fill="auto"/>
            <w:noWrap/>
            <w:vAlign w:val="bottom"/>
            <w:hideMark/>
          </w:tcPr>
          <w:p w:rsidR="00BA7786" w:rsidRPr="00B4142E" w:rsidRDefault="00BA7786" w:rsidP="00BA7786">
            <w:pPr>
              <w:spacing w:after="0" w:line="240" w:lineRule="auto"/>
              <w:rPr>
                <w:rFonts w:ascii="Calibri" w:eastAsia="Times New Roman" w:hAnsi="Calibri" w:cs="Times New Roman"/>
                <w:color w:val="000000"/>
                <w:sz w:val="16"/>
                <w:szCs w:val="16"/>
                <w:lang w:eastAsia="es-ES"/>
              </w:rPr>
            </w:pPr>
            <w:proofErr w:type="spellStart"/>
            <w:r w:rsidRPr="00B4142E">
              <w:rPr>
                <w:rFonts w:ascii="Calibri" w:eastAsia="Times New Roman" w:hAnsi="Calibri" w:cs="Times New Roman"/>
                <w:color w:val="000000"/>
                <w:sz w:val="16"/>
                <w:szCs w:val="16"/>
                <w:lang w:eastAsia="es-ES"/>
              </w:rPr>
              <w:t>Wages</w:t>
            </w:r>
            <w:proofErr w:type="spellEnd"/>
          </w:p>
        </w:tc>
        <w:tc>
          <w:tcPr>
            <w:tcW w:w="799" w:type="dxa"/>
            <w:tcBorders>
              <w:top w:val="nil"/>
              <w:left w:val="nil"/>
              <w:bottom w:val="nil"/>
              <w:right w:val="nil"/>
            </w:tcBorders>
            <w:shd w:val="clear" w:color="auto" w:fill="auto"/>
            <w:noWrap/>
            <w:vAlign w:val="bottom"/>
            <w:hideMark/>
          </w:tcPr>
          <w:p w:rsidR="00BA7786" w:rsidRPr="00B4142E" w:rsidRDefault="00BA7786" w:rsidP="00BA7786">
            <w:pPr>
              <w:spacing w:after="0" w:line="240" w:lineRule="auto"/>
              <w:jc w:val="right"/>
              <w:rPr>
                <w:rFonts w:ascii="Calibri" w:eastAsia="Times New Roman" w:hAnsi="Calibri" w:cs="Times New Roman"/>
                <w:color w:val="000000"/>
                <w:sz w:val="16"/>
                <w:szCs w:val="16"/>
                <w:lang w:eastAsia="es-ES"/>
              </w:rPr>
            </w:pPr>
            <w:r w:rsidRPr="00B4142E">
              <w:rPr>
                <w:rFonts w:ascii="Calibri" w:eastAsia="Times New Roman" w:hAnsi="Calibri" w:cs="Times New Roman"/>
                <w:color w:val="000000"/>
                <w:sz w:val="16"/>
                <w:szCs w:val="16"/>
                <w:lang w:eastAsia="es-ES"/>
              </w:rPr>
              <w:t>85.97%</w:t>
            </w:r>
          </w:p>
        </w:tc>
        <w:tc>
          <w:tcPr>
            <w:tcW w:w="1197" w:type="dxa"/>
            <w:tcBorders>
              <w:top w:val="nil"/>
              <w:left w:val="nil"/>
              <w:bottom w:val="nil"/>
              <w:right w:val="nil"/>
            </w:tcBorders>
            <w:shd w:val="clear" w:color="auto" w:fill="auto"/>
            <w:noWrap/>
            <w:vAlign w:val="bottom"/>
            <w:hideMark/>
          </w:tcPr>
          <w:p w:rsidR="00BA7786" w:rsidRPr="00B4142E" w:rsidRDefault="00BA7786" w:rsidP="00BA7786">
            <w:pPr>
              <w:spacing w:after="0" w:line="240" w:lineRule="auto"/>
              <w:jc w:val="right"/>
              <w:rPr>
                <w:rFonts w:ascii="Calibri" w:eastAsia="Times New Roman" w:hAnsi="Calibri" w:cs="Times New Roman"/>
                <w:color w:val="000000"/>
                <w:sz w:val="16"/>
                <w:szCs w:val="16"/>
                <w:lang w:eastAsia="es-ES"/>
              </w:rPr>
            </w:pPr>
            <w:r w:rsidRPr="00B4142E">
              <w:rPr>
                <w:rFonts w:ascii="Calibri" w:eastAsia="Times New Roman" w:hAnsi="Calibri" w:cs="Times New Roman"/>
                <w:color w:val="000000"/>
                <w:sz w:val="16"/>
                <w:szCs w:val="16"/>
                <w:lang w:eastAsia="es-ES"/>
              </w:rPr>
              <w:t>74.52%</w:t>
            </w:r>
          </w:p>
        </w:tc>
        <w:tc>
          <w:tcPr>
            <w:tcW w:w="1197" w:type="dxa"/>
            <w:tcBorders>
              <w:top w:val="nil"/>
              <w:left w:val="nil"/>
              <w:bottom w:val="nil"/>
              <w:right w:val="nil"/>
            </w:tcBorders>
            <w:shd w:val="clear" w:color="auto" w:fill="auto"/>
            <w:noWrap/>
            <w:vAlign w:val="bottom"/>
            <w:hideMark/>
          </w:tcPr>
          <w:p w:rsidR="00BA7786" w:rsidRPr="00B4142E" w:rsidRDefault="00BA7786" w:rsidP="00BA7786">
            <w:pPr>
              <w:spacing w:after="0" w:line="240" w:lineRule="auto"/>
              <w:jc w:val="right"/>
              <w:rPr>
                <w:rFonts w:ascii="Calibri" w:eastAsia="Times New Roman" w:hAnsi="Calibri" w:cs="Times New Roman"/>
                <w:color w:val="000000"/>
                <w:sz w:val="16"/>
                <w:szCs w:val="16"/>
                <w:lang w:eastAsia="es-ES"/>
              </w:rPr>
            </w:pPr>
            <w:r w:rsidRPr="00B4142E">
              <w:rPr>
                <w:rFonts w:ascii="Calibri" w:eastAsia="Times New Roman" w:hAnsi="Calibri" w:cs="Times New Roman"/>
                <w:color w:val="000000"/>
                <w:sz w:val="16"/>
                <w:szCs w:val="16"/>
                <w:lang w:eastAsia="es-ES"/>
              </w:rPr>
              <w:t>79.02%</w:t>
            </w:r>
          </w:p>
        </w:tc>
        <w:tc>
          <w:tcPr>
            <w:tcW w:w="1553" w:type="dxa"/>
            <w:tcBorders>
              <w:top w:val="nil"/>
              <w:left w:val="nil"/>
              <w:bottom w:val="nil"/>
              <w:right w:val="nil"/>
            </w:tcBorders>
            <w:shd w:val="clear" w:color="auto" w:fill="auto"/>
            <w:noWrap/>
            <w:vAlign w:val="bottom"/>
            <w:hideMark/>
          </w:tcPr>
          <w:p w:rsidR="00BA7786" w:rsidRPr="00B4142E" w:rsidRDefault="00BA7786" w:rsidP="00BA7786">
            <w:pPr>
              <w:spacing w:after="0" w:line="240" w:lineRule="auto"/>
              <w:jc w:val="right"/>
              <w:rPr>
                <w:rFonts w:ascii="Calibri" w:eastAsia="Times New Roman" w:hAnsi="Calibri" w:cs="Times New Roman"/>
                <w:color w:val="000000"/>
                <w:sz w:val="16"/>
                <w:szCs w:val="16"/>
                <w:lang w:eastAsia="es-ES"/>
              </w:rPr>
            </w:pPr>
            <w:r w:rsidRPr="00B4142E">
              <w:rPr>
                <w:rFonts w:ascii="Calibri" w:eastAsia="Times New Roman" w:hAnsi="Calibri" w:cs="Times New Roman"/>
                <w:color w:val="000000"/>
                <w:sz w:val="16"/>
                <w:szCs w:val="16"/>
                <w:lang w:eastAsia="es-ES"/>
              </w:rPr>
              <w:t>79.39%</w:t>
            </w:r>
          </w:p>
        </w:tc>
        <w:tc>
          <w:tcPr>
            <w:tcW w:w="1250" w:type="dxa"/>
            <w:tcBorders>
              <w:top w:val="nil"/>
              <w:left w:val="nil"/>
              <w:bottom w:val="nil"/>
              <w:right w:val="nil"/>
            </w:tcBorders>
            <w:shd w:val="clear" w:color="auto" w:fill="auto"/>
            <w:noWrap/>
            <w:vAlign w:val="bottom"/>
            <w:hideMark/>
          </w:tcPr>
          <w:p w:rsidR="00BA7786" w:rsidRPr="00B4142E" w:rsidRDefault="00BA7786" w:rsidP="00BA7786">
            <w:pPr>
              <w:spacing w:after="0" w:line="240" w:lineRule="auto"/>
              <w:jc w:val="right"/>
              <w:rPr>
                <w:rFonts w:ascii="Calibri" w:eastAsia="Times New Roman" w:hAnsi="Calibri" w:cs="Times New Roman"/>
                <w:color w:val="000000"/>
                <w:sz w:val="16"/>
                <w:szCs w:val="16"/>
                <w:lang w:eastAsia="es-ES"/>
              </w:rPr>
            </w:pPr>
            <w:r w:rsidRPr="00B4142E">
              <w:rPr>
                <w:rFonts w:ascii="Calibri" w:eastAsia="Times New Roman" w:hAnsi="Calibri" w:cs="Times New Roman"/>
                <w:color w:val="000000"/>
                <w:sz w:val="16"/>
                <w:szCs w:val="16"/>
                <w:lang w:eastAsia="es-ES"/>
              </w:rPr>
              <w:t>79.39%</w:t>
            </w:r>
          </w:p>
        </w:tc>
      </w:tr>
      <w:tr w:rsidR="00BA7786" w:rsidRPr="00B4142E" w:rsidTr="00B54FAC">
        <w:trPr>
          <w:trHeight w:val="315"/>
          <w:jc w:val="center"/>
        </w:trPr>
        <w:tc>
          <w:tcPr>
            <w:tcW w:w="1623" w:type="dxa"/>
            <w:tcBorders>
              <w:top w:val="nil"/>
              <w:left w:val="nil"/>
              <w:bottom w:val="nil"/>
              <w:right w:val="nil"/>
            </w:tcBorders>
            <w:shd w:val="clear" w:color="auto" w:fill="auto"/>
            <w:noWrap/>
            <w:vAlign w:val="bottom"/>
            <w:hideMark/>
          </w:tcPr>
          <w:p w:rsidR="00BA7786" w:rsidRPr="00B4142E" w:rsidRDefault="00BA7786" w:rsidP="00BA7786">
            <w:pPr>
              <w:spacing w:after="0" w:line="240" w:lineRule="auto"/>
              <w:rPr>
                <w:rFonts w:ascii="Calibri" w:eastAsia="Times New Roman" w:hAnsi="Calibri" w:cs="Times New Roman"/>
                <w:color w:val="000000"/>
                <w:sz w:val="16"/>
                <w:szCs w:val="16"/>
                <w:lang w:eastAsia="es-ES"/>
              </w:rPr>
            </w:pPr>
            <w:r w:rsidRPr="00B4142E">
              <w:rPr>
                <w:rFonts w:ascii="Calibri" w:eastAsia="Times New Roman" w:hAnsi="Calibri" w:cs="Times New Roman"/>
                <w:color w:val="000000"/>
                <w:sz w:val="16"/>
                <w:szCs w:val="16"/>
                <w:lang w:eastAsia="es-ES"/>
              </w:rPr>
              <w:t>Non-</w:t>
            </w:r>
            <w:proofErr w:type="spellStart"/>
            <w:r w:rsidRPr="00B4142E">
              <w:rPr>
                <w:rFonts w:ascii="Calibri" w:eastAsia="Times New Roman" w:hAnsi="Calibri" w:cs="Times New Roman"/>
                <w:color w:val="000000"/>
                <w:sz w:val="16"/>
                <w:szCs w:val="16"/>
                <w:lang w:eastAsia="es-ES"/>
              </w:rPr>
              <w:t>Wages</w:t>
            </w:r>
            <w:proofErr w:type="spellEnd"/>
          </w:p>
        </w:tc>
        <w:tc>
          <w:tcPr>
            <w:tcW w:w="799" w:type="dxa"/>
            <w:tcBorders>
              <w:top w:val="nil"/>
              <w:left w:val="nil"/>
              <w:bottom w:val="nil"/>
              <w:right w:val="nil"/>
            </w:tcBorders>
            <w:shd w:val="clear" w:color="auto" w:fill="auto"/>
            <w:noWrap/>
            <w:vAlign w:val="bottom"/>
            <w:hideMark/>
          </w:tcPr>
          <w:p w:rsidR="00BA7786" w:rsidRPr="00B4142E" w:rsidRDefault="00BA7786" w:rsidP="00BA7786">
            <w:pPr>
              <w:spacing w:after="0" w:line="240" w:lineRule="auto"/>
              <w:jc w:val="right"/>
              <w:rPr>
                <w:rFonts w:ascii="Calibri" w:eastAsia="Times New Roman" w:hAnsi="Calibri" w:cs="Times New Roman"/>
                <w:color w:val="000000"/>
                <w:sz w:val="16"/>
                <w:szCs w:val="16"/>
                <w:lang w:eastAsia="es-ES"/>
              </w:rPr>
            </w:pPr>
            <w:r w:rsidRPr="00B4142E">
              <w:rPr>
                <w:rFonts w:ascii="Calibri" w:eastAsia="Times New Roman" w:hAnsi="Calibri" w:cs="Times New Roman"/>
                <w:color w:val="000000"/>
                <w:sz w:val="16"/>
                <w:szCs w:val="16"/>
                <w:lang w:eastAsia="es-ES"/>
              </w:rPr>
              <w:t>14.03%</w:t>
            </w:r>
          </w:p>
        </w:tc>
        <w:tc>
          <w:tcPr>
            <w:tcW w:w="1197" w:type="dxa"/>
            <w:tcBorders>
              <w:top w:val="nil"/>
              <w:left w:val="nil"/>
              <w:bottom w:val="nil"/>
              <w:right w:val="nil"/>
            </w:tcBorders>
            <w:shd w:val="clear" w:color="auto" w:fill="auto"/>
            <w:noWrap/>
            <w:vAlign w:val="bottom"/>
            <w:hideMark/>
          </w:tcPr>
          <w:p w:rsidR="00BA7786" w:rsidRPr="00B4142E" w:rsidRDefault="00BA7786" w:rsidP="00BA7786">
            <w:pPr>
              <w:spacing w:after="0" w:line="240" w:lineRule="auto"/>
              <w:jc w:val="right"/>
              <w:rPr>
                <w:rFonts w:ascii="Calibri" w:eastAsia="Times New Roman" w:hAnsi="Calibri" w:cs="Times New Roman"/>
                <w:color w:val="000000"/>
                <w:sz w:val="16"/>
                <w:szCs w:val="16"/>
                <w:lang w:eastAsia="es-ES"/>
              </w:rPr>
            </w:pPr>
            <w:r w:rsidRPr="00B4142E">
              <w:rPr>
                <w:rFonts w:ascii="Calibri" w:eastAsia="Times New Roman" w:hAnsi="Calibri" w:cs="Times New Roman"/>
                <w:color w:val="000000"/>
                <w:sz w:val="16"/>
                <w:szCs w:val="16"/>
                <w:lang w:eastAsia="es-ES"/>
              </w:rPr>
              <w:t>25.48%</w:t>
            </w:r>
          </w:p>
        </w:tc>
        <w:tc>
          <w:tcPr>
            <w:tcW w:w="1197" w:type="dxa"/>
            <w:tcBorders>
              <w:top w:val="nil"/>
              <w:left w:val="nil"/>
              <w:bottom w:val="nil"/>
              <w:right w:val="nil"/>
            </w:tcBorders>
            <w:shd w:val="clear" w:color="auto" w:fill="auto"/>
            <w:noWrap/>
            <w:vAlign w:val="bottom"/>
            <w:hideMark/>
          </w:tcPr>
          <w:p w:rsidR="00BA7786" w:rsidRPr="00B4142E" w:rsidRDefault="00BA7786" w:rsidP="00BA7786">
            <w:pPr>
              <w:spacing w:after="0" w:line="240" w:lineRule="auto"/>
              <w:jc w:val="right"/>
              <w:rPr>
                <w:rFonts w:ascii="Calibri" w:eastAsia="Times New Roman" w:hAnsi="Calibri" w:cs="Times New Roman"/>
                <w:color w:val="000000"/>
                <w:sz w:val="16"/>
                <w:szCs w:val="16"/>
                <w:lang w:eastAsia="es-ES"/>
              </w:rPr>
            </w:pPr>
            <w:r w:rsidRPr="00B4142E">
              <w:rPr>
                <w:rFonts w:ascii="Calibri" w:eastAsia="Times New Roman" w:hAnsi="Calibri" w:cs="Times New Roman"/>
                <w:color w:val="000000"/>
                <w:sz w:val="16"/>
                <w:szCs w:val="16"/>
                <w:lang w:eastAsia="es-ES"/>
              </w:rPr>
              <w:t>20.98%</w:t>
            </w:r>
          </w:p>
        </w:tc>
        <w:tc>
          <w:tcPr>
            <w:tcW w:w="1553" w:type="dxa"/>
            <w:tcBorders>
              <w:top w:val="nil"/>
              <w:left w:val="nil"/>
              <w:bottom w:val="nil"/>
              <w:right w:val="nil"/>
            </w:tcBorders>
            <w:shd w:val="clear" w:color="auto" w:fill="auto"/>
            <w:noWrap/>
            <w:vAlign w:val="bottom"/>
            <w:hideMark/>
          </w:tcPr>
          <w:p w:rsidR="00BA7786" w:rsidRPr="00B4142E" w:rsidRDefault="00BA7786" w:rsidP="00BA7786">
            <w:pPr>
              <w:spacing w:after="0" w:line="240" w:lineRule="auto"/>
              <w:jc w:val="right"/>
              <w:rPr>
                <w:rFonts w:ascii="Calibri" w:eastAsia="Times New Roman" w:hAnsi="Calibri" w:cs="Times New Roman"/>
                <w:color w:val="000000"/>
                <w:sz w:val="16"/>
                <w:szCs w:val="16"/>
                <w:lang w:eastAsia="es-ES"/>
              </w:rPr>
            </w:pPr>
            <w:r w:rsidRPr="00B4142E">
              <w:rPr>
                <w:rFonts w:ascii="Calibri" w:eastAsia="Times New Roman" w:hAnsi="Calibri" w:cs="Times New Roman"/>
                <w:color w:val="000000"/>
                <w:sz w:val="16"/>
                <w:szCs w:val="16"/>
                <w:lang w:eastAsia="es-ES"/>
              </w:rPr>
              <w:t>20.61%</w:t>
            </w:r>
          </w:p>
        </w:tc>
        <w:tc>
          <w:tcPr>
            <w:tcW w:w="1250" w:type="dxa"/>
            <w:tcBorders>
              <w:top w:val="nil"/>
              <w:left w:val="nil"/>
              <w:bottom w:val="nil"/>
              <w:right w:val="nil"/>
            </w:tcBorders>
            <w:shd w:val="clear" w:color="auto" w:fill="auto"/>
            <w:noWrap/>
            <w:vAlign w:val="bottom"/>
            <w:hideMark/>
          </w:tcPr>
          <w:p w:rsidR="00BA7786" w:rsidRPr="00B4142E" w:rsidRDefault="00BA7786" w:rsidP="00BA7786">
            <w:pPr>
              <w:spacing w:after="0" w:line="240" w:lineRule="auto"/>
              <w:jc w:val="right"/>
              <w:rPr>
                <w:rFonts w:ascii="Calibri" w:eastAsia="Times New Roman" w:hAnsi="Calibri" w:cs="Times New Roman"/>
                <w:color w:val="000000"/>
                <w:sz w:val="16"/>
                <w:szCs w:val="16"/>
                <w:lang w:eastAsia="es-ES"/>
              </w:rPr>
            </w:pPr>
            <w:r w:rsidRPr="00B4142E">
              <w:rPr>
                <w:rFonts w:ascii="Calibri" w:eastAsia="Times New Roman" w:hAnsi="Calibri" w:cs="Times New Roman"/>
                <w:color w:val="000000"/>
                <w:sz w:val="16"/>
                <w:szCs w:val="16"/>
                <w:lang w:eastAsia="es-ES"/>
              </w:rPr>
              <w:t>20.61%</w:t>
            </w:r>
          </w:p>
        </w:tc>
      </w:tr>
      <w:tr w:rsidR="00BA7786" w:rsidRPr="00B4142E" w:rsidTr="002B40C9">
        <w:trPr>
          <w:trHeight w:val="218"/>
          <w:jc w:val="center"/>
        </w:trPr>
        <w:tc>
          <w:tcPr>
            <w:tcW w:w="4816" w:type="dxa"/>
            <w:gridSpan w:val="4"/>
            <w:tcBorders>
              <w:top w:val="nil"/>
              <w:left w:val="nil"/>
              <w:bottom w:val="nil"/>
              <w:right w:val="nil"/>
            </w:tcBorders>
            <w:shd w:val="clear" w:color="000000" w:fill="CCCCFF"/>
            <w:noWrap/>
            <w:vAlign w:val="bottom"/>
            <w:hideMark/>
          </w:tcPr>
          <w:p w:rsidR="00BA7786" w:rsidRPr="00B4142E" w:rsidRDefault="00BA7786" w:rsidP="00BA7786">
            <w:pPr>
              <w:spacing w:after="0" w:line="240" w:lineRule="auto"/>
              <w:rPr>
                <w:rFonts w:ascii="Calibri" w:eastAsia="Times New Roman" w:hAnsi="Calibri" w:cs="Times New Roman"/>
                <w:b/>
                <w:bCs/>
                <w:color w:val="000000"/>
                <w:sz w:val="16"/>
                <w:szCs w:val="16"/>
                <w:lang w:eastAsia="es-ES"/>
              </w:rPr>
            </w:pPr>
            <w:r w:rsidRPr="00B4142E">
              <w:rPr>
                <w:rFonts w:ascii="Calibri" w:eastAsia="Times New Roman" w:hAnsi="Calibri" w:cs="Times New Roman"/>
                <w:b/>
                <w:bCs/>
                <w:color w:val="000000"/>
                <w:sz w:val="16"/>
                <w:szCs w:val="16"/>
                <w:lang w:eastAsia="es-ES"/>
              </w:rPr>
              <w:t xml:space="preserve">Ministerial and Regional </w:t>
            </w:r>
            <w:proofErr w:type="spellStart"/>
            <w:r w:rsidRPr="00B4142E">
              <w:rPr>
                <w:rFonts w:ascii="Calibri" w:eastAsia="Times New Roman" w:hAnsi="Calibri" w:cs="Times New Roman"/>
                <w:b/>
                <w:bCs/>
                <w:color w:val="000000"/>
                <w:sz w:val="16"/>
                <w:szCs w:val="16"/>
                <w:lang w:eastAsia="es-ES"/>
              </w:rPr>
              <w:t>Administration</w:t>
            </w:r>
            <w:proofErr w:type="spellEnd"/>
          </w:p>
        </w:tc>
        <w:tc>
          <w:tcPr>
            <w:tcW w:w="1553" w:type="dxa"/>
            <w:tcBorders>
              <w:top w:val="nil"/>
              <w:left w:val="nil"/>
              <w:bottom w:val="nil"/>
              <w:right w:val="nil"/>
            </w:tcBorders>
            <w:shd w:val="clear" w:color="000000" w:fill="CCCCFF"/>
            <w:noWrap/>
            <w:vAlign w:val="bottom"/>
            <w:hideMark/>
          </w:tcPr>
          <w:p w:rsidR="00BA7786" w:rsidRPr="00B4142E" w:rsidRDefault="00BA7786" w:rsidP="00BA7786">
            <w:pPr>
              <w:spacing w:after="0" w:line="240" w:lineRule="auto"/>
              <w:rPr>
                <w:rFonts w:ascii="Calibri" w:eastAsia="Times New Roman" w:hAnsi="Calibri" w:cs="Times New Roman"/>
                <w:b/>
                <w:bCs/>
                <w:color w:val="000000"/>
                <w:sz w:val="16"/>
                <w:szCs w:val="16"/>
                <w:lang w:eastAsia="es-ES"/>
              </w:rPr>
            </w:pPr>
            <w:r w:rsidRPr="00B4142E">
              <w:rPr>
                <w:rFonts w:ascii="Calibri" w:eastAsia="Times New Roman" w:hAnsi="Calibri" w:cs="Times New Roman"/>
                <w:b/>
                <w:bCs/>
                <w:color w:val="000000"/>
                <w:sz w:val="16"/>
                <w:szCs w:val="16"/>
                <w:lang w:eastAsia="es-ES"/>
              </w:rPr>
              <w:t> </w:t>
            </w:r>
          </w:p>
        </w:tc>
        <w:tc>
          <w:tcPr>
            <w:tcW w:w="1250" w:type="dxa"/>
            <w:tcBorders>
              <w:top w:val="nil"/>
              <w:left w:val="nil"/>
              <w:bottom w:val="nil"/>
              <w:right w:val="nil"/>
            </w:tcBorders>
            <w:shd w:val="clear" w:color="000000" w:fill="CCCCFF"/>
            <w:noWrap/>
            <w:vAlign w:val="bottom"/>
            <w:hideMark/>
          </w:tcPr>
          <w:p w:rsidR="00BA7786" w:rsidRPr="00B4142E" w:rsidRDefault="00BA7786" w:rsidP="00BA7786">
            <w:pPr>
              <w:spacing w:after="0" w:line="240" w:lineRule="auto"/>
              <w:rPr>
                <w:rFonts w:ascii="Calibri" w:eastAsia="Times New Roman" w:hAnsi="Calibri" w:cs="Times New Roman"/>
                <w:b/>
                <w:bCs/>
                <w:color w:val="000000"/>
                <w:sz w:val="16"/>
                <w:szCs w:val="16"/>
                <w:lang w:eastAsia="es-ES"/>
              </w:rPr>
            </w:pPr>
            <w:r w:rsidRPr="00B4142E">
              <w:rPr>
                <w:rFonts w:ascii="Calibri" w:eastAsia="Times New Roman" w:hAnsi="Calibri" w:cs="Times New Roman"/>
                <w:b/>
                <w:bCs/>
                <w:color w:val="000000"/>
                <w:sz w:val="16"/>
                <w:szCs w:val="16"/>
                <w:lang w:eastAsia="es-ES"/>
              </w:rPr>
              <w:t> </w:t>
            </w:r>
          </w:p>
        </w:tc>
      </w:tr>
      <w:tr w:rsidR="00BA7786" w:rsidRPr="00B4142E" w:rsidTr="00B54FAC">
        <w:trPr>
          <w:trHeight w:val="300"/>
          <w:jc w:val="center"/>
        </w:trPr>
        <w:tc>
          <w:tcPr>
            <w:tcW w:w="1623" w:type="dxa"/>
            <w:tcBorders>
              <w:top w:val="nil"/>
              <w:left w:val="nil"/>
              <w:bottom w:val="nil"/>
              <w:right w:val="nil"/>
            </w:tcBorders>
            <w:shd w:val="clear" w:color="auto" w:fill="auto"/>
            <w:noWrap/>
            <w:vAlign w:val="bottom"/>
            <w:hideMark/>
          </w:tcPr>
          <w:p w:rsidR="00BA7786" w:rsidRPr="00B4142E" w:rsidRDefault="00BA7786" w:rsidP="00BA7786">
            <w:pPr>
              <w:spacing w:after="0" w:line="240" w:lineRule="auto"/>
              <w:rPr>
                <w:rFonts w:ascii="Calibri" w:eastAsia="Times New Roman" w:hAnsi="Calibri" w:cs="Times New Roman"/>
                <w:color w:val="000000"/>
                <w:sz w:val="16"/>
                <w:szCs w:val="16"/>
                <w:lang w:eastAsia="es-ES"/>
              </w:rPr>
            </w:pPr>
            <w:r w:rsidRPr="00B4142E">
              <w:rPr>
                <w:rFonts w:ascii="Calibri" w:eastAsia="Times New Roman" w:hAnsi="Calibri" w:cs="Times New Roman"/>
                <w:color w:val="000000"/>
                <w:sz w:val="16"/>
                <w:szCs w:val="16"/>
                <w:lang w:eastAsia="es-ES"/>
              </w:rPr>
              <w:t>% Total</w:t>
            </w:r>
          </w:p>
        </w:tc>
        <w:tc>
          <w:tcPr>
            <w:tcW w:w="799" w:type="dxa"/>
            <w:tcBorders>
              <w:top w:val="nil"/>
              <w:left w:val="nil"/>
              <w:bottom w:val="nil"/>
              <w:right w:val="nil"/>
            </w:tcBorders>
            <w:shd w:val="clear" w:color="auto" w:fill="auto"/>
            <w:noWrap/>
            <w:vAlign w:val="bottom"/>
            <w:hideMark/>
          </w:tcPr>
          <w:p w:rsidR="00BA7786" w:rsidRPr="00B4142E" w:rsidRDefault="00BA7786" w:rsidP="00BA7786">
            <w:pPr>
              <w:spacing w:after="0" w:line="240" w:lineRule="auto"/>
              <w:rPr>
                <w:rFonts w:ascii="Calibri" w:eastAsia="Times New Roman" w:hAnsi="Calibri" w:cs="Times New Roman"/>
                <w:color w:val="000000"/>
                <w:sz w:val="16"/>
                <w:szCs w:val="16"/>
                <w:lang w:eastAsia="es-ES"/>
              </w:rPr>
            </w:pPr>
          </w:p>
        </w:tc>
        <w:tc>
          <w:tcPr>
            <w:tcW w:w="1197" w:type="dxa"/>
            <w:tcBorders>
              <w:top w:val="nil"/>
              <w:left w:val="nil"/>
              <w:bottom w:val="nil"/>
              <w:right w:val="nil"/>
            </w:tcBorders>
            <w:shd w:val="clear" w:color="auto" w:fill="auto"/>
            <w:noWrap/>
            <w:vAlign w:val="bottom"/>
            <w:hideMark/>
          </w:tcPr>
          <w:p w:rsidR="00BA7786" w:rsidRPr="00B4142E" w:rsidRDefault="00BA7786" w:rsidP="00BA7786">
            <w:pPr>
              <w:spacing w:after="0" w:line="240" w:lineRule="auto"/>
              <w:rPr>
                <w:rFonts w:ascii="Calibri" w:eastAsia="Times New Roman" w:hAnsi="Calibri" w:cs="Times New Roman"/>
                <w:color w:val="000000"/>
                <w:sz w:val="16"/>
                <w:szCs w:val="16"/>
                <w:lang w:eastAsia="es-ES"/>
              </w:rPr>
            </w:pPr>
          </w:p>
        </w:tc>
        <w:tc>
          <w:tcPr>
            <w:tcW w:w="1197" w:type="dxa"/>
            <w:tcBorders>
              <w:top w:val="nil"/>
              <w:left w:val="nil"/>
              <w:bottom w:val="nil"/>
              <w:right w:val="nil"/>
            </w:tcBorders>
            <w:shd w:val="clear" w:color="auto" w:fill="auto"/>
            <w:noWrap/>
            <w:vAlign w:val="bottom"/>
            <w:hideMark/>
          </w:tcPr>
          <w:p w:rsidR="00BA7786" w:rsidRPr="00B4142E" w:rsidRDefault="00BA7786" w:rsidP="00BA7786">
            <w:pPr>
              <w:spacing w:after="0" w:line="240" w:lineRule="auto"/>
              <w:rPr>
                <w:rFonts w:ascii="Calibri" w:eastAsia="Times New Roman" w:hAnsi="Calibri" w:cs="Times New Roman"/>
                <w:color w:val="000000"/>
                <w:sz w:val="16"/>
                <w:szCs w:val="16"/>
                <w:lang w:eastAsia="es-ES"/>
              </w:rPr>
            </w:pPr>
          </w:p>
        </w:tc>
        <w:tc>
          <w:tcPr>
            <w:tcW w:w="1553" w:type="dxa"/>
            <w:tcBorders>
              <w:top w:val="nil"/>
              <w:left w:val="nil"/>
              <w:bottom w:val="nil"/>
              <w:right w:val="nil"/>
            </w:tcBorders>
            <w:shd w:val="clear" w:color="auto" w:fill="auto"/>
            <w:noWrap/>
            <w:vAlign w:val="bottom"/>
            <w:hideMark/>
          </w:tcPr>
          <w:p w:rsidR="00BA7786" w:rsidRPr="00B4142E" w:rsidRDefault="00BA7786" w:rsidP="00BA7786">
            <w:pPr>
              <w:spacing w:after="0" w:line="240" w:lineRule="auto"/>
              <w:rPr>
                <w:rFonts w:ascii="Calibri" w:eastAsia="Times New Roman" w:hAnsi="Calibri" w:cs="Times New Roman"/>
                <w:color w:val="000000"/>
                <w:sz w:val="16"/>
                <w:szCs w:val="16"/>
                <w:lang w:eastAsia="es-ES"/>
              </w:rPr>
            </w:pPr>
          </w:p>
        </w:tc>
        <w:tc>
          <w:tcPr>
            <w:tcW w:w="1250" w:type="dxa"/>
            <w:tcBorders>
              <w:top w:val="nil"/>
              <w:left w:val="nil"/>
              <w:bottom w:val="nil"/>
              <w:right w:val="nil"/>
            </w:tcBorders>
            <w:shd w:val="clear" w:color="auto" w:fill="auto"/>
            <w:noWrap/>
            <w:vAlign w:val="bottom"/>
            <w:hideMark/>
          </w:tcPr>
          <w:p w:rsidR="00BA7786" w:rsidRPr="00B4142E" w:rsidRDefault="00BA7786" w:rsidP="00BA7786">
            <w:pPr>
              <w:spacing w:after="0" w:line="240" w:lineRule="auto"/>
              <w:rPr>
                <w:rFonts w:ascii="Calibri" w:eastAsia="Times New Roman" w:hAnsi="Calibri" w:cs="Times New Roman"/>
                <w:color w:val="000000"/>
                <w:sz w:val="16"/>
                <w:szCs w:val="16"/>
                <w:lang w:eastAsia="es-ES"/>
              </w:rPr>
            </w:pPr>
          </w:p>
        </w:tc>
      </w:tr>
      <w:tr w:rsidR="00BA7786" w:rsidRPr="00B4142E" w:rsidTr="00B54FAC">
        <w:trPr>
          <w:trHeight w:val="300"/>
          <w:jc w:val="center"/>
        </w:trPr>
        <w:tc>
          <w:tcPr>
            <w:tcW w:w="1623" w:type="dxa"/>
            <w:tcBorders>
              <w:top w:val="nil"/>
              <w:left w:val="nil"/>
              <w:bottom w:val="nil"/>
              <w:right w:val="nil"/>
            </w:tcBorders>
            <w:shd w:val="clear" w:color="auto" w:fill="auto"/>
            <w:noWrap/>
            <w:vAlign w:val="bottom"/>
            <w:hideMark/>
          </w:tcPr>
          <w:p w:rsidR="00BA7786" w:rsidRPr="00B4142E" w:rsidRDefault="00BA7786" w:rsidP="00BA7786">
            <w:pPr>
              <w:spacing w:after="0" w:line="240" w:lineRule="auto"/>
              <w:rPr>
                <w:rFonts w:ascii="Calibri" w:eastAsia="Times New Roman" w:hAnsi="Calibri" w:cs="Times New Roman"/>
                <w:color w:val="000000"/>
                <w:sz w:val="16"/>
                <w:szCs w:val="16"/>
                <w:lang w:eastAsia="es-ES"/>
              </w:rPr>
            </w:pPr>
            <w:proofErr w:type="spellStart"/>
            <w:r w:rsidRPr="00B4142E">
              <w:rPr>
                <w:rFonts w:ascii="Calibri" w:eastAsia="Times New Roman" w:hAnsi="Calibri" w:cs="Times New Roman"/>
                <w:color w:val="000000"/>
                <w:sz w:val="16"/>
                <w:szCs w:val="16"/>
                <w:lang w:eastAsia="es-ES"/>
              </w:rPr>
              <w:t>Recurrent</w:t>
            </w:r>
            <w:proofErr w:type="spellEnd"/>
          </w:p>
        </w:tc>
        <w:tc>
          <w:tcPr>
            <w:tcW w:w="799" w:type="dxa"/>
            <w:tcBorders>
              <w:top w:val="nil"/>
              <w:left w:val="nil"/>
              <w:bottom w:val="nil"/>
              <w:right w:val="nil"/>
            </w:tcBorders>
            <w:shd w:val="clear" w:color="auto" w:fill="auto"/>
            <w:noWrap/>
            <w:vAlign w:val="bottom"/>
            <w:hideMark/>
          </w:tcPr>
          <w:p w:rsidR="00BA7786" w:rsidRPr="00B4142E" w:rsidRDefault="00BA7786" w:rsidP="00BA7786">
            <w:pPr>
              <w:spacing w:after="0" w:line="240" w:lineRule="auto"/>
              <w:jc w:val="right"/>
              <w:rPr>
                <w:rFonts w:ascii="Calibri" w:eastAsia="Times New Roman" w:hAnsi="Calibri" w:cs="Times New Roman"/>
                <w:color w:val="000000"/>
                <w:sz w:val="16"/>
                <w:szCs w:val="16"/>
                <w:lang w:eastAsia="es-ES"/>
              </w:rPr>
            </w:pPr>
            <w:r w:rsidRPr="00B4142E">
              <w:rPr>
                <w:rFonts w:ascii="Calibri" w:eastAsia="Times New Roman" w:hAnsi="Calibri" w:cs="Times New Roman"/>
                <w:color w:val="000000"/>
                <w:sz w:val="16"/>
                <w:szCs w:val="16"/>
                <w:lang w:eastAsia="es-ES"/>
              </w:rPr>
              <w:t>91.88%</w:t>
            </w:r>
          </w:p>
        </w:tc>
        <w:tc>
          <w:tcPr>
            <w:tcW w:w="1197" w:type="dxa"/>
            <w:tcBorders>
              <w:top w:val="nil"/>
              <w:left w:val="nil"/>
              <w:bottom w:val="nil"/>
              <w:right w:val="nil"/>
            </w:tcBorders>
            <w:shd w:val="clear" w:color="auto" w:fill="auto"/>
            <w:noWrap/>
            <w:vAlign w:val="bottom"/>
            <w:hideMark/>
          </w:tcPr>
          <w:p w:rsidR="00BA7786" w:rsidRPr="00B4142E" w:rsidRDefault="00BA7786" w:rsidP="00BA7786">
            <w:pPr>
              <w:spacing w:after="0" w:line="240" w:lineRule="auto"/>
              <w:jc w:val="right"/>
              <w:rPr>
                <w:rFonts w:ascii="Calibri" w:eastAsia="Times New Roman" w:hAnsi="Calibri" w:cs="Times New Roman"/>
                <w:color w:val="000000"/>
                <w:sz w:val="16"/>
                <w:szCs w:val="16"/>
                <w:lang w:eastAsia="es-ES"/>
              </w:rPr>
            </w:pPr>
            <w:r w:rsidRPr="00B4142E">
              <w:rPr>
                <w:rFonts w:ascii="Calibri" w:eastAsia="Times New Roman" w:hAnsi="Calibri" w:cs="Times New Roman"/>
                <w:color w:val="000000"/>
                <w:sz w:val="16"/>
                <w:szCs w:val="16"/>
                <w:lang w:eastAsia="es-ES"/>
              </w:rPr>
              <w:t>95.23%</w:t>
            </w:r>
          </w:p>
        </w:tc>
        <w:tc>
          <w:tcPr>
            <w:tcW w:w="1197" w:type="dxa"/>
            <w:tcBorders>
              <w:top w:val="nil"/>
              <w:left w:val="nil"/>
              <w:bottom w:val="nil"/>
              <w:right w:val="nil"/>
            </w:tcBorders>
            <w:shd w:val="clear" w:color="auto" w:fill="auto"/>
            <w:noWrap/>
            <w:vAlign w:val="bottom"/>
            <w:hideMark/>
          </w:tcPr>
          <w:p w:rsidR="00BA7786" w:rsidRPr="00B4142E" w:rsidRDefault="00BA7786" w:rsidP="00BA7786">
            <w:pPr>
              <w:spacing w:after="0" w:line="240" w:lineRule="auto"/>
              <w:jc w:val="right"/>
              <w:rPr>
                <w:rFonts w:ascii="Calibri" w:eastAsia="Times New Roman" w:hAnsi="Calibri" w:cs="Times New Roman"/>
                <w:color w:val="000000"/>
                <w:sz w:val="16"/>
                <w:szCs w:val="16"/>
                <w:lang w:eastAsia="es-ES"/>
              </w:rPr>
            </w:pPr>
            <w:r w:rsidRPr="00B4142E">
              <w:rPr>
                <w:rFonts w:ascii="Calibri" w:eastAsia="Times New Roman" w:hAnsi="Calibri" w:cs="Times New Roman"/>
                <w:color w:val="000000"/>
                <w:sz w:val="16"/>
                <w:szCs w:val="16"/>
                <w:lang w:eastAsia="es-ES"/>
              </w:rPr>
              <w:t>97.00%</w:t>
            </w:r>
          </w:p>
        </w:tc>
        <w:tc>
          <w:tcPr>
            <w:tcW w:w="1553" w:type="dxa"/>
            <w:tcBorders>
              <w:top w:val="nil"/>
              <w:left w:val="nil"/>
              <w:bottom w:val="nil"/>
              <w:right w:val="nil"/>
            </w:tcBorders>
            <w:shd w:val="clear" w:color="auto" w:fill="auto"/>
            <w:noWrap/>
            <w:vAlign w:val="bottom"/>
            <w:hideMark/>
          </w:tcPr>
          <w:p w:rsidR="00BA7786" w:rsidRPr="00B4142E" w:rsidRDefault="00BA7786" w:rsidP="00BA7786">
            <w:pPr>
              <w:spacing w:after="0" w:line="240" w:lineRule="auto"/>
              <w:jc w:val="right"/>
              <w:rPr>
                <w:rFonts w:ascii="Calibri" w:eastAsia="Times New Roman" w:hAnsi="Calibri" w:cs="Times New Roman"/>
                <w:color w:val="000000"/>
                <w:sz w:val="16"/>
                <w:szCs w:val="16"/>
                <w:lang w:eastAsia="es-ES"/>
              </w:rPr>
            </w:pPr>
            <w:r w:rsidRPr="00B4142E">
              <w:rPr>
                <w:rFonts w:ascii="Calibri" w:eastAsia="Times New Roman" w:hAnsi="Calibri" w:cs="Times New Roman"/>
                <w:color w:val="000000"/>
                <w:sz w:val="16"/>
                <w:szCs w:val="16"/>
                <w:lang w:eastAsia="es-ES"/>
              </w:rPr>
              <w:t>97.09%</w:t>
            </w:r>
          </w:p>
        </w:tc>
        <w:tc>
          <w:tcPr>
            <w:tcW w:w="1250" w:type="dxa"/>
            <w:tcBorders>
              <w:top w:val="nil"/>
              <w:left w:val="nil"/>
              <w:bottom w:val="nil"/>
              <w:right w:val="nil"/>
            </w:tcBorders>
            <w:shd w:val="clear" w:color="auto" w:fill="auto"/>
            <w:noWrap/>
            <w:vAlign w:val="bottom"/>
            <w:hideMark/>
          </w:tcPr>
          <w:p w:rsidR="00BA7786" w:rsidRPr="00B4142E" w:rsidRDefault="00BA7786" w:rsidP="00BA7786">
            <w:pPr>
              <w:spacing w:after="0" w:line="240" w:lineRule="auto"/>
              <w:jc w:val="right"/>
              <w:rPr>
                <w:rFonts w:ascii="Calibri" w:eastAsia="Times New Roman" w:hAnsi="Calibri" w:cs="Times New Roman"/>
                <w:color w:val="000000"/>
                <w:sz w:val="16"/>
                <w:szCs w:val="16"/>
                <w:lang w:eastAsia="es-ES"/>
              </w:rPr>
            </w:pPr>
            <w:r w:rsidRPr="00B4142E">
              <w:rPr>
                <w:rFonts w:ascii="Calibri" w:eastAsia="Times New Roman" w:hAnsi="Calibri" w:cs="Times New Roman"/>
                <w:color w:val="000000"/>
                <w:sz w:val="16"/>
                <w:szCs w:val="16"/>
                <w:lang w:eastAsia="es-ES"/>
              </w:rPr>
              <w:t>97.09%</w:t>
            </w:r>
          </w:p>
        </w:tc>
      </w:tr>
      <w:tr w:rsidR="00BA7786" w:rsidRPr="00B4142E" w:rsidTr="00B54FAC">
        <w:trPr>
          <w:trHeight w:val="300"/>
          <w:jc w:val="center"/>
        </w:trPr>
        <w:tc>
          <w:tcPr>
            <w:tcW w:w="1623" w:type="dxa"/>
            <w:tcBorders>
              <w:top w:val="nil"/>
              <w:left w:val="nil"/>
              <w:bottom w:val="nil"/>
              <w:right w:val="nil"/>
            </w:tcBorders>
            <w:shd w:val="clear" w:color="auto" w:fill="auto"/>
            <w:noWrap/>
            <w:vAlign w:val="bottom"/>
            <w:hideMark/>
          </w:tcPr>
          <w:p w:rsidR="00BA7786" w:rsidRPr="00B4142E" w:rsidRDefault="00BA7786" w:rsidP="00BA7786">
            <w:pPr>
              <w:spacing w:after="0" w:line="240" w:lineRule="auto"/>
              <w:rPr>
                <w:rFonts w:ascii="Calibri" w:eastAsia="Times New Roman" w:hAnsi="Calibri" w:cs="Times New Roman"/>
                <w:color w:val="000000"/>
                <w:sz w:val="16"/>
                <w:szCs w:val="16"/>
                <w:lang w:eastAsia="es-ES"/>
              </w:rPr>
            </w:pPr>
            <w:r w:rsidRPr="00B4142E">
              <w:rPr>
                <w:rFonts w:ascii="Calibri" w:eastAsia="Times New Roman" w:hAnsi="Calibri" w:cs="Times New Roman"/>
                <w:color w:val="000000"/>
                <w:sz w:val="16"/>
                <w:szCs w:val="16"/>
                <w:lang w:eastAsia="es-ES"/>
              </w:rPr>
              <w:t>Capital</w:t>
            </w:r>
          </w:p>
        </w:tc>
        <w:tc>
          <w:tcPr>
            <w:tcW w:w="799" w:type="dxa"/>
            <w:tcBorders>
              <w:top w:val="nil"/>
              <w:left w:val="nil"/>
              <w:bottom w:val="nil"/>
              <w:right w:val="nil"/>
            </w:tcBorders>
            <w:shd w:val="clear" w:color="auto" w:fill="auto"/>
            <w:noWrap/>
            <w:vAlign w:val="bottom"/>
            <w:hideMark/>
          </w:tcPr>
          <w:p w:rsidR="00BA7786" w:rsidRPr="00B4142E" w:rsidRDefault="00BA7786" w:rsidP="00BA7786">
            <w:pPr>
              <w:spacing w:after="0" w:line="240" w:lineRule="auto"/>
              <w:jc w:val="right"/>
              <w:rPr>
                <w:rFonts w:ascii="Calibri" w:eastAsia="Times New Roman" w:hAnsi="Calibri" w:cs="Times New Roman"/>
                <w:color w:val="000000"/>
                <w:sz w:val="16"/>
                <w:szCs w:val="16"/>
                <w:lang w:eastAsia="es-ES"/>
              </w:rPr>
            </w:pPr>
            <w:r w:rsidRPr="00B4142E">
              <w:rPr>
                <w:rFonts w:ascii="Calibri" w:eastAsia="Times New Roman" w:hAnsi="Calibri" w:cs="Times New Roman"/>
                <w:color w:val="000000"/>
                <w:sz w:val="16"/>
                <w:szCs w:val="16"/>
                <w:lang w:eastAsia="es-ES"/>
              </w:rPr>
              <w:t>8.12%</w:t>
            </w:r>
          </w:p>
        </w:tc>
        <w:tc>
          <w:tcPr>
            <w:tcW w:w="1197" w:type="dxa"/>
            <w:tcBorders>
              <w:top w:val="nil"/>
              <w:left w:val="nil"/>
              <w:bottom w:val="nil"/>
              <w:right w:val="nil"/>
            </w:tcBorders>
            <w:shd w:val="clear" w:color="auto" w:fill="auto"/>
            <w:noWrap/>
            <w:vAlign w:val="bottom"/>
            <w:hideMark/>
          </w:tcPr>
          <w:p w:rsidR="00BA7786" w:rsidRPr="00B4142E" w:rsidRDefault="00BA7786" w:rsidP="00BA7786">
            <w:pPr>
              <w:spacing w:after="0" w:line="240" w:lineRule="auto"/>
              <w:jc w:val="right"/>
              <w:rPr>
                <w:rFonts w:ascii="Calibri" w:eastAsia="Times New Roman" w:hAnsi="Calibri" w:cs="Times New Roman"/>
                <w:color w:val="000000"/>
                <w:sz w:val="16"/>
                <w:szCs w:val="16"/>
                <w:lang w:eastAsia="es-ES"/>
              </w:rPr>
            </w:pPr>
            <w:r w:rsidRPr="00B4142E">
              <w:rPr>
                <w:rFonts w:ascii="Calibri" w:eastAsia="Times New Roman" w:hAnsi="Calibri" w:cs="Times New Roman"/>
                <w:color w:val="000000"/>
                <w:sz w:val="16"/>
                <w:szCs w:val="16"/>
                <w:lang w:eastAsia="es-ES"/>
              </w:rPr>
              <w:t>4.77%</w:t>
            </w:r>
          </w:p>
        </w:tc>
        <w:tc>
          <w:tcPr>
            <w:tcW w:w="1197" w:type="dxa"/>
            <w:tcBorders>
              <w:top w:val="nil"/>
              <w:left w:val="nil"/>
              <w:bottom w:val="nil"/>
              <w:right w:val="nil"/>
            </w:tcBorders>
            <w:shd w:val="clear" w:color="auto" w:fill="auto"/>
            <w:noWrap/>
            <w:vAlign w:val="bottom"/>
            <w:hideMark/>
          </w:tcPr>
          <w:p w:rsidR="00BA7786" w:rsidRPr="00B4142E" w:rsidRDefault="00BA7786" w:rsidP="00BA7786">
            <w:pPr>
              <w:spacing w:after="0" w:line="240" w:lineRule="auto"/>
              <w:jc w:val="right"/>
              <w:rPr>
                <w:rFonts w:ascii="Calibri" w:eastAsia="Times New Roman" w:hAnsi="Calibri" w:cs="Times New Roman"/>
                <w:color w:val="000000"/>
                <w:sz w:val="16"/>
                <w:szCs w:val="16"/>
                <w:lang w:eastAsia="es-ES"/>
              </w:rPr>
            </w:pPr>
            <w:r w:rsidRPr="00B4142E">
              <w:rPr>
                <w:rFonts w:ascii="Calibri" w:eastAsia="Times New Roman" w:hAnsi="Calibri" w:cs="Times New Roman"/>
                <w:color w:val="000000"/>
                <w:sz w:val="16"/>
                <w:szCs w:val="16"/>
                <w:lang w:eastAsia="es-ES"/>
              </w:rPr>
              <w:t>3.00%</w:t>
            </w:r>
          </w:p>
        </w:tc>
        <w:tc>
          <w:tcPr>
            <w:tcW w:w="1553" w:type="dxa"/>
            <w:tcBorders>
              <w:top w:val="nil"/>
              <w:left w:val="nil"/>
              <w:bottom w:val="nil"/>
              <w:right w:val="nil"/>
            </w:tcBorders>
            <w:shd w:val="clear" w:color="auto" w:fill="auto"/>
            <w:noWrap/>
            <w:vAlign w:val="bottom"/>
            <w:hideMark/>
          </w:tcPr>
          <w:p w:rsidR="00BA7786" w:rsidRPr="00B4142E" w:rsidRDefault="00BA7786" w:rsidP="00BA7786">
            <w:pPr>
              <w:spacing w:after="0" w:line="240" w:lineRule="auto"/>
              <w:jc w:val="right"/>
              <w:rPr>
                <w:rFonts w:ascii="Calibri" w:eastAsia="Times New Roman" w:hAnsi="Calibri" w:cs="Times New Roman"/>
                <w:color w:val="000000"/>
                <w:sz w:val="16"/>
                <w:szCs w:val="16"/>
                <w:lang w:eastAsia="es-ES"/>
              </w:rPr>
            </w:pPr>
            <w:r w:rsidRPr="00B4142E">
              <w:rPr>
                <w:rFonts w:ascii="Calibri" w:eastAsia="Times New Roman" w:hAnsi="Calibri" w:cs="Times New Roman"/>
                <w:color w:val="000000"/>
                <w:sz w:val="16"/>
                <w:szCs w:val="16"/>
                <w:lang w:eastAsia="es-ES"/>
              </w:rPr>
              <w:t>2.91%</w:t>
            </w:r>
          </w:p>
        </w:tc>
        <w:tc>
          <w:tcPr>
            <w:tcW w:w="1250" w:type="dxa"/>
            <w:tcBorders>
              <w:top w:val="nil"/>
              <w:left w:val="nil"/>
              <w:bottom w:val="nil"/>
              <w:right w:val="nil"/>
            </w:tcBorders>
            <w:shd w:val="clear" w:color="auto" w:fill="auto"/>
            <w:noWrap/>
            <w:vAlign w:val="bottom"/>
            <w:hideMark/>
          </w:tcPr>
          <w:p w:rsidR="00BA7786" w:rsidRPr="00B4142E" w:rsidRDefault="00BA7786" w:rsidP="00BA7786">
            <w:pPr>
              <w:spacing w:after="0" w:line="240" w:lineRule="auto"/>
              <w:jc w:val="right"/>
              <w:rPr>
                <w:rFonts w:ascii="Calibri" w:eastAsia="Times New Roman" w:hAnsi="Calibri" w:cs="Times New Roman"/>
                <w:color w:val="000000"/>
                <w:sz w:val="16"/>
                <w:szCs w:val="16"/>
                <w:lang w:eastAsia="es-ES"/>
              </w:rPr>
            </w:pPr>
            <w:r w:rsidRPr="00B4142E">
              <w:rPr>
                <w:rFonts w:ascii="Calibri" w:eastAsia="Times New Roman" w:hAnsi="Calibri" w:cs="Times New Roman"/>
                <w:color w:val="000000"/>
                <w:sz w:val="16"/>
                <w:szCs w:val="16"/>
                <w:lang w:eastAsia="es-ES"/>
              </w:rPr>
              <w:t>2.91%</w:t>
            </w:r>
          </w:p>
        </w:tc>
      </w:tr>
      <w:tr w:rsidR="00BA7786" w:rsidRPr="00B4142E" w:rsidTr="00B54FAC">
        <w:trPr>
          <w:trHeight w:val="315"/>
          <w:jc w:val="center"/>
        </w:trPr>
        <w:tc>
          <w:tcPr>
            <w:tcW w:w="1623" w:type="dxa"/>
            <w:tcBorders>
              <w:top w:val="nil"/>
              <w:left w:val="nil"/>
              <w:bottom w:val="nil"/>
              <w:right w:val="nil"/>
            </w:tcBorders>
            <w:shd w:val="clear" w:color="auto" w:fill="auto"/>
            <w:noWrap/>
            <w:vAlign w:val="bottom"/>
            <w:hideMark/>
          </w:tcPr>
          <w:p w:rsidR="00BA7786" w:rsidRPr="00B4142E" w:rsidRDefault="00BA7786" w:rsidP="00BA7786">
            <w:pPr>
              <w:spacing w:after="0" w:line="240" w:lineRule="auto"/>
              <w:rPr>
                <w:rFonts w:ascii="Calibri" w:eastAsia="Times New Roman" w:hAnsi="Calibri" w:cs="Times New Roman"/>
                <w:color w:val="000000"/>
                <w:sz w:val="16"/>
                <w:szCs w:val="16"/>
                <w:lang w:eastAsia="es-ES"/>
              </w:rPr>
            </w:pPr>
            <w:r w:rsidRPr="00B4142E">
              <w:rPr>
                <w:rFonts w:ascii="Calibri" w:eastAsia="Times New Roman" w:hAnsi="Calibri" w:cs="Times New Roman"/>
                <w:color w:val="000000"/>
                <w:sz w:val="16"/>
                <w:szCs w:val="16"/>
                <w:lang w:eastAsia="es-ES"/>
              </w:rPr>
              <w:t xml:space="preserve">% </w:t>
            </w:r>
            <w:proofErr w:type="spellStart"/>
            <w:r w:rsidRPr="00B4142E">
              <w:rPr>
                <w:rFonts w:ascii="Calibri" w:eastAsia="Times New Roman" w:hAnsi="Calibri" w:cs="Times New Roman"/>
                <w:color w:val="000000"/>
                <w:sz w:val="16"/>
                <w:szCs w:val="16"/>
                <w:lang w:eastAsia="es-ES"/>
              </w:rPr>
              <w:t>Recurrent</w:t>
            </w:r>
            <w:proofErr w:type="spellEnd"/>
          </w:p>
        </w:tc>
        <w:tc>
          <w:tcPr>
            <w:tcW w:w="799" w:type="dxa"/>
            <w:tcBorders>
              <w:top w:val="nil"/>
              <w:left w:val="nil"/>
              <w:bottom w:val="nil"/>
              <w:right w:val="nil"/>
            </w:tcBorders>
            <w:shd w:val="clear" w:color="auto" w:fill="auto"/>
            <w:noWrap/>
            <w:vAlign w:val="bottom"/>
            <w:hideMark/>
          </w:tcPr>
          <w:p w:rsidR="00BA7786" w:rsidRPr="00B4142E" w:rsidRDefault="00BA7786" w:rsidP="00BA7786">
            <w:pPr>
              <w:spacing w:after="0" w:line="240" w:lineRule="auto"/>
              <w:rPr>
                <w:rFonts w:ascii="Calibri" w:eastAsia="Times New Roman" w:hAnsi="Calibri" w:cs="Times New Roman"/>
                <w:color w:val="000000"/>
                <w:sz w:val="16"/>
                <w:szCs w:val="16"/>
                <w:lang w:eastAsia="es-ES"/>
              </w:rPr>
            </w:pPr>
          </w:p>
        </w:tc>
        <w:tc>
          <w:tcPr>
            <w:tcW w:w="1197" w:type="dxa"/>
            <w:tcBorders>
              <w:top w:val="nil"/>
              <w:left w:val="nil"/>
              <w:bottom w:val="nil"/>
              <w:right w:val="nil"/>
            </w:tcBorders>
            <w:shd w:val="clear" w:color="auto" w:fill="auto"/>
            <w:noWrap/>
            <w:vAlign w:val="bottom"/>
            <w:hideMark/>
          </w:tcPr>
          <w:p w:rsidR="00BA7786" w:rsidRPr="00B4142E" w:rsidRDefault="00BA7786" w:rsidP="00BA7786">
            <w:pPr>
              <w:spacing w:after="0" w:line="240" w:lineRule="auto"/>
              <w:rPr>
                <w:rFonts w:ascii="Calibri" w:eastAsia="Times New Roman" w:hAnsi="Calibri" w:cs="Times New Roman"/>
                <w:color w:val="000000"/>
                <w:sz w:val="16"/>
                <w:szCs w:val="16"/>
                <w:lang w:eastAsia="es-ES"/>
              </w:rPr>
            </w:pPr>
          </w:p>
        </w:tc>
        <w:tc>
          <w:tcPr>
            <w:tcW w:w="1197" w:type="dxa"/>
            <w:tcBorders>
              <w:top w:val="nil"/>
              <w:left w:val="nil"/>
              <w:bottom w:val="nil"/>
              <w:right w:val="nil"/>
            </w:tcBorders>
            <w:shd w:val="clear" w:color="auto" w:fill="auto"/>
            <w:noWrap/>
            <w:vAlign w:val="bottom"/>
            <w:hideMark/>
          </w:tcPr>
          <w:p w:rsidR="00BA7786" w:rsidRPr="00B4142E" w:rsidRDefault="00BA7786" w:rsidP="00BA7786">
            <w:pPr>
              <w:spacing w:after="0" w:line="240" w:lineRule="auto"/>
              <w:rPr>
                <w:rFonts w:ascii="Calibri" w:eastAsia="Times New Roman" w:hAnsi="Calibri" w:cs="Times New Roman"/>
                <w:color w:val="000000"/>
                <w:sz w:val="16"/>
                <w:szCs w:val="16"/>
                <w:lang w:eastAsia="es-ES"/>
              </w:rPr>
            </w:pPr>
          </w:p>
        </w:tc>
        <w:tc>
          <w:tcPr>
            <w:tcW w:w="1553" w:type="dxa"/>
            <w:tcBorders>
              <w:top w:val="nil"/>
              <w:left w:val="nil"/>
              <w:bottom w:val="nil"/>
              <w:right w:val="nil"/>
            </w:tcBorders>
            <w:shd w:val="clear" w:color="auto" w:fill="auto"/>
            <w:noWrap/>
            <w:vAlign w:val="bottom"/>
            <w:hideMark/>
          </w:tcPr>
          <w:p w:rsidR="00BA7786" w:rsidRPr="00B4142E" w:rsidRDefault="00BA7786" w:rsidP="00BA7786">
            <w:pPr>
              <w:spacing w:after="0" w:line="240" w:lineRule="auto"/>
              <w:rPr>
                <w:rFonts w:ascii="Calibri" w:eastAsia="Times New Roman" w:hAnsi="Calibri" w:cs="Times New Roman"/>
                <w:color w:val="000000"/>
                <w:sz w:val="16"/>
                <w:szCs w:val="16"/>
                <w:lang w:eastAsia="es-ES"/>
              </w:rPr>
            </w:pPr>
          </w:p>
        </w:tc>
        <w:tc>
          <w:tcPr>
            <w:tcW w:w="1250" w:type="dxa"/>
            <w:tcBorders>
              <w:top w:val="nil"/>
              <w:left w:val="nil"/>
              <w:bottom w:val="nil"/>
              <w:right w:val="nil"/>
            </w:tcBorders>
            <w:shd w:val="clear" w:color="auto" w:fill="auto"/>
            <w:noWrap/>
            <w:vAlign w:val="bottom"/>
            <w:hideMark/>
          </w:tcPr>
          <w:p w:rsidR="00BA7786" w:rsidRPr="00B4142E" w:rsidRDefault="00BA7786" w:rsidP="00BA7786">
            <w:pPr>
              <w:spacing w:after="0" w:line="240" w:lineRule="auto"/>
              <w:rPr>
                <w:rFonts w:ascii="Calibri" w:eastAsia="Times New Roman" w:hAnsi="Calibri" w:cs="Times New Roman"/>
                <w:color w:val="000000"/>
                <w:sz w:val="16"/>
                <w:szCs w:val="16"/>
                <w:lang w:eastAsia="es-ES"/>
              </w:rPr>
            </w:pPr>
          </w:p>
        </w:tc>
      </w:tr>
      <w:tr w:rsidR="00BA7786" w:rsidRPr="00B4142E" w:rsidTr="00B54FAC">
        <w:trPr>
          <w:trHeight w:val="300"/>
          <w:jc w:val="center"/>
        </w:trPr>
        <w:tc>
          <w:tcPr>
            <w:tcW w:w="1623" w:type="dxa"/>
            <w:tcBorders>
              <w:top w:val="nil"/>
              <w:left w:val="nil"/>
              <w:bottom w:val="nil"/>
              <w:right w:val="nil"/>
            </w:tcBorders>
            <w:shd w:val="clear" w:color="auto" w:fill="auto"/>
            <w:noWrap/>
            <w:vAlign w:val="bottom"/>
            <w:hideMark/>
          </w:tcPr>
          <w:p w:rsidR="00BA7786" w:rsidRPr="00B4142E" w:rsidRDefault="00BA7786" w:rsidP="00BA7786">
            <w:pPr>
              <w:spacing w:after="0" w:line="240" w:lineRule="auto"/>
              <w:rPr>
                <w:rFonts w:ascii="Calibri" w:eastAsia="Times New Roman" w:hAnsi="Calibri" w:cs="Times New Roman"/>
                <w:color w:val="000000"/>
                <w:sz w:val="16"/>
                <w:szCs w:val="16"/>
                <w:lang w:eastAsia="es-ES"/>
              </w:rPr>
            </w:pPr>
            <w:proofErr w:type="spellStart"/>
            <w:r w:rsidRPr="00B4142E">
              <w:rPr>
                <w:rFonts w:ascii="Calibri" w:eastAsia="Times New Roman" w:hAnsi="Calibri" w:cs="Times New Roman"/>
                <w:color w:val="000000"/>
                <w:sz w:val="16"/>
                <w:szCs w:val="16"/>
                <w:lang w:eastAsia="es-ES"/>
              </w:rPr>
              <w:t>Wages</w:t>
            </w:r>
            <w:proofErr w:type="spellEnd"/>
          </w:p>
        </w:tc>
        <w:tc>
          <w:tcPr>
            <w:tcW w:w="799" w:type="dxa"/>
            <w:tcBorders>
              <w:top w:val="nil"/>
              <w:left w:val="nil"/>
              <w:bottom w:val="nil"/>
              <w:right w:val="nil"/>
            </w:tcBorders>
            <w:shd w:val="clear" w:color="auto" w:fill="auto"/>
            <w:noWrap/>
            <w:vAlign w:val="bottom"/>
            <w:hideMark/>
          </w:tcPr>
          <w:p w:rsidR="00BA7786" w:rsidRPr="00B4142E" w:rsidRDefault="00BA7786" w:rsidP="00BA7786">
            <w:pPr>
              <w:spacing w:after="0" w:line="240" w:lineRule="auto"/>
              <w:jc w:val="right"/>
              <w:rPr>
                <w:rFonts w:ascii="Calibri" w:eastAsia="Times New Roman" w:hAnsi="Calibri" w:cs="Times New Roman"/>
                <w:color w:val="000000"/>
                <w:sz w:val="16"/>
                <w:szCs w:val="16"/>
                <w:lang w:eastAsia="es-ES"/>
              </w:rPr>
            </w:pPr>
            <w:r w:rsidRPr="00B4142E">
              <w:rPr>
                <w:rFonts w:ascii="Calibri" w:eastAsia="Times New Roman" w:hAnsi="Calibri" w:cs="Times New Roman"/>
                <w:color w:val="000000"/>
                <w:sz w:val="16"/>
                <w:szCs w:val="16"/>
                <w:lang w:eastAsia="es-ES"/>
              </w:rPr>
              <w:t>63.79%</w:t>
            </w:r>
          </w:p>
        </w:tc>
        <w:tc>
          <w:tcPr>
            <w:tcW w:w="1197" w:type="dxa"/>
            <w:tcBorders>
              <w:top w:val="nil"/>
              <w:left w:val="nil"/>
              <w:bottom w:val="nil"/>
              <w:right w:val="nil"/>
            </w:tcBorders>
            <w:shd w:val="clear" w:color="auto" w:fill="auto"/>
            <w:noWrap/>
            <w:vAlign w:val="bottom"/>
            <w:hideMark/>
          </w:tcPr>
          <w:p w:rsidR="00BA7786" w:rsidRPr="00B4142E" w:rsidRDefault="00BA7786" w:rsidP="00BA7786">
            <w:pPr>
              <w:spacing w:after="0" w:line="240" w:lineRule="auto"/>
              <w:jc w:val="right"/>
              <w:rPr>
                <w:rFonts w:ascii="Calibri" w:eastAsia="Times New Roman" w:hAnsi="Calibri" w:cs="Times New Roman"/>
                <w:color w:val="000000"/>
                <w:sz w:val="16"/>
                <w:szCs w:val="16"/>
                <w:lang w:eastAsia="es-ES"/>
              </w:rPr>
            </w:pPr>
            <w:r w:rsidRPr="00B4142E">
              <w:rPr>
                <w:rFonts w:ascii="Calibri" w:eastAsia="Times New Roman" w:hAnsi="Calibri" w:cs="Times New Roman"/>
                <w:color w:val="000000"/>
                <w:sz w:val="16"/>
                <w:szCs w:val="16"/>
                <w:lang w:eastAsia="es-ES"/>
              </w:rPr>
              <w:t>62.58%</w:t>
            </w:r>
          </w:p>
        </w:tc>
        <w:tc>
          <w:tcPr>
            <w:tcW w:w="1197" w:type="dxa"/>
            <w:tcBorders>
              <w:top w:val="nil"/>
              <w:left w:val="nil"/>
              <w:bottom w:val="nil"/>
              <w:right w:val="nil"/>
            </w:tcBorders>
            <w:shd w:val="clear" w:color="auto" w:fill="auto"/>
            <w:noWrap/>
            <w:vAlign w:val="bottom"/>
            <w:hideMark/>
          </w:tcPr>
          <w:p w:rsidR="00BA7786" w:rsidRPr="00B4142E" w:rsidRDefault="00BA7786" w:rsidP="00BA7786">
            <w:pPr>
              <w:spacing w:after="0" w:line="240" w:lineRule="auto"/>
              <w:jc w:val="right"/>
              <w:rPr>
                <w:rFonts w:ascii="Calibri" w:eastAsia="Times New Roman" w:hAnsi="Calibri" w:cs="Times New Roman"/>
                <w:color w:val="000000"/>
                <w:sz w:val="16"/>
                <w:szCs w:val="16"/>
                <w:lang w:eastAsia="es-ES"/>
              </w:rPr>
            </w:pPr>
            <w:r w:rsidRPr="00B4142E">
              <w:rPr>
                <w:rFonts w:ascii="Calibri" w:eastAsia="Times New Roman" w:hAnsi="Calibri" w:cs="Times New Roman"/>
                <w:color w:val="000000"/>
                <w:sz w:val="16"/>
                <w:szCs w:val="16"/>
                <w:lang w:eastAsia="es-ES"/>
              </w:rPr>
              <w:t>59.26%</w:t>
            </w:r>
          </w:p>
        </w:tc>
        <w:tc>
          <w:tcPr>
            <w:tcW w:w="1553" w:type="dxa"/>
            <w:tcBorders>
              <w:top w:val="nil"/>
              <w:left w:val="nil"/>
              <w:bottom w:val="nil"/>
              <w:right w:val="nil"/>
            </w:tcBorders>
            <w:shd w:val="clear" w:color="auto" w:fill="auto"/>
            <w:noWrap/>
            <w:vAlign w:val="bottom"/>
            <w:hideMark/>
          </w:tcPr>
          <w:p w:rsidR="00BA7786" w:rsidRPr="00B4142E" w:rsidRDefault="00BA7786" w:rsidP="00BA7786">
            <w:pPr>
              <w:spacing w:after="0" w:line="240" w:lineRule="auto"/>
              <w:jc w:val="right"/>
              <w:rPr>
                <w:rFonts w:ascii="Calibri" w:eastAsia="Times New Roman" w:hAnsi="Calibri" w:cs="Times New Roman"/>
                <w:color w:val="000000"/>
                <w:sz w:val="16"/>
                <w:szCs w:val="16"/>
                <w:lang w:eastAsia="es-ES"/>
              </w:rPr>
            </w:pPr>
            <w:r w:rsidRPr="00B4142E">
              <w:rPr>
                <w:rFonts w:ascii="Calibri" w:eastAsia="Times New Roman" w:hAnsi="Calibri" w:cs="Times New Roman"/>
                <w:color w:val="000000"/>
                <w:sz w:val="16"/>
                <w:szCs w:val="16"/>
                <w:lang w:eastAsia="es-ES"/>
              </w:rPr>
              <w:t>71.40%</w:t>
            </w:r>
          </w:p>
        </w:tc>
        <w:tc>
          <w:tcPr>
            <w:tcW w:w="1250" w:type="dxa"/>
            <w:tcBorders>
              <w:top w:val="nil"/>
              <w:left w:val="nil"/>
              <w:bottom w:val="nil"/>
              <w:right w:val="nil"/>
            </w:tcBorders>
            <w:shd w:val="clear" w:color="auto" w:fill="auto"/>
            <w:noWrap/>
            <w:vAlign w:val="bottom"/>
            <w:hideMark/>
          </w:tcPr>
          <w:p w:rsidR="00BA7786" w:rsidRPr="00B4142E" w:rsidRDefault="00BA7786" w:rsidP="00BA7786">
            <w:pPr>
              <w:spacing w:after="0" w:line="240" w:lineRule="auto"/>
              <w:jc w:val="right"/>
              <w:rPr>
                <w:rFonts w:ascii="Calibri" w:eastAsia="Times New Roman" w:hAnsi="Calibri" w:cs="Times New Roman"/>
                <w:color w:val="000000"/>
                <w:sz w:val="16"/>
                <w:szCs w:val="16"/>
                <w:lang w:eastAsia="es-ES"/>
              </w:rPr>
            </w:pPr>
            <w:r w:rsidRPr="00B4142E">
              <w:rPr>
                <w:rFonts w:ascii="Calibri" w:eastAsia="Times New Roman" w:hAnsi="Calibri" w:cs="Times New Roman"/>
                <w:color w:val="000000"/>
                <w:sz w:val="16"/>
                <w:szCs w:val="16"/>
                <w:lang w:eastAsia="es-ES"/>
              </w:rPr>
              <w:t>71.40%</w:t>
            </w:r>
          </w:p>
        </w:tc>
      </w:tr>
      <w:tr w:rsidR="00BA7786" w:rsidRPr="00B4142E" w:rsidTr="00B54FAC">
        <w:trPr>
          <w:trHeight w:val="300"/>
          <w:jc w:val="center"/>
        </w:trPr>
        <w:tc>
          <w:tcPr>
            <w:tcW w:w="1623" w:type="dxa"/>
            <w:tcBorders>
              <w:top w:val="nil"/>
              <w:left w:val="nil"/>
              <w:bottom w:val="nil"/>
              <w:right w:val="nil"/>
            </w:tcBorders>
            <w:shd w:val="clear" w:color="auto" w:fill="auto"/>
            <w:noWrap/>
            <w:vAlign w:val="bottom"/>
            <w:hideMark/>
          </w:tcPr>
          <w:p w:rsidR="00BA7786" w:rsidRPr="00B4142E" w:rsidRDefault="00BA7786" w:rsidP="00BA7786">
            <w:pPr>
              <w:spacing w:after="0" w:line="240" w:lineRule="auto"/>
              <w:rPr>
                <w:rFonts w:ascii="Calibri" w:eastAsia="Times New Roman" w:hAnsi="Calibri" w:cs="Times New Roman"/>
                <w:color w:val="000000"/>
                <w:sz w:val="16"/>
                <w:szCs w:val="16"/>
                <w:lang w:eastAsia="es-ES"/>
              </w:rPr>
            </w:pPr>
            <w:r w:rsidRPr="00B4142E">
              <w:rPr>
                <w:rFonts w:ascii="Calibri" w:eastAsia="Times New Roman" w:hAnsi="Calibri" w:cs="Times New Roman"/>
                <w:color w:val="000000"/>
                <w:sz w:val="16"/>
                <w:szCs w:val="16"/>
                <w:lang w:eastAsia="es-ES"/>
              </w:rPr>
              <w:t>Non-</w:t>
            </w:r>
            <w:proofErr w:type="spellStart"/>
            <w:r w:rsidRPr="00B4142E">
              <w:rPr>
                <w:rFonts w:ascii="Calibri" w:eastAsia="Times New Roman" w:hAnsi="Calibri" w:cs="Times New Roman"/>
                <w:color w:val="000000"/>
                <w:sz w:val="16"/>
                <w:szCs w:val="16"/>
                <w:lang w:eastAsia="es-ES"/>
              </w:rPr>
              <w:t>Wages</w:t>
            </w:r>
            <w:proofErr w:type="spellEnd"/>
          </w:p>
        </w:tc>
        <w:tc>
          <w:tcPr>
            <w:tcW w:w="799" w:type="dxa"/>
            <w:tcBorders>
              <w:top w:val="nil"/>
              <w:left w:val="nil"/>
              <w:bottom w:val="nil"/>
              <w:right w:val="nil"/>
            </w:tcBorders>
            <w:shd w:val="clear" w:color="auto" w:fill="auto"/>
            <w:noWrap/>
            <w:vAlign w:val="bottom"/>
            <w:hideMark/>
          </w:tcPr>
          <w:p w:rsidR="00BA7786" w:rsidRPr="00B4142E" w:rsidRDefault="00BA7786" w:rsidP="00BA7786">
            <w:pPr>
              <w:spacing w:after="0" w:line="240" w:lineRule="auto"/>
              <w:jc w:val="right"/>
              <w:rPr>
                <w:rFonts w:ascii="Calibri" w:eastAsia="Times New Roman" w:hAnsi="Calibri" w:cs="Times New Roman"/>
                <w:color w:val="000000"/>
                <w:sz w:val="16"/>
                <w:szCs w:val="16"/>
                <w:lang w:eastAsia="es-ES"/>
              </w:rPr>
            </w:pPr>
            <w:r w:rsidRPr="00B4142E">
              <w:rPr>
                <w:rFonts w:ascii="Calibri" w:eastAsia="Times New Roman" w:hAnsi="Calibri" w:cs="Times New Roman"/>
                <w:color w:val="000000"/>
                <w:sz w:val="16"/>
                <w:szCs w:val="16"/>
                <w:lang w:eastAsia="es-ES"/>
              </w:rPr>
              <w:t>36.21%</w:t>
            </w:r>
          </w:p>
        </w:tc>
        <w:tc>
          <w:tcPr>
            <w:tcW w:w="1197" w:type="dxa"/>
            <w:tcBorders>
              <w:top w:val="nil"/>
              <w:left w:val="nil"/>
              <w:bottom w:val="nil"/>
              <w:right w:val="nil"/>
            </w:tcBorders>
            <w:shd w:val="clear" w:color="auto" w:fill="auto"/>
            <w:noWrap/>
            <w:vAlign w:val="bottom"/>
            <w:hideMark/>
          </w:tcPr>
          <w:p w:rsidR="00BA7786" w:rsidRPr="00B4142E" w:rsidRDefault="00BA7786" w:rsidP="00BA7786">
            <w:pPr>
              <w:spacing w:after="0" w:line="240" w:lineRule="auto"/>
              <w:jc w:val="right"/>
              <w:rPr>
                <w:rFonts w:ascii="Calibri" w:eastAsia="Times New Roman" w:hAnsi="Calibri" w:cs="Times New Roman"/>
                <w:color w:val="000000"/>
                <w:sz w:val="16"/>
                <w:szCs w:val="16"/>
                <w:lang w:eastAsia="es-ES"/>
              </w:rPr>
            </w:pPr>
            <w:r w:rsidRPr="00B4142E">
              <w:rPr>
                <w:rFonts w:ascii="Calibri" w:eastAsia="Times New Roman" w:hAnsi="Calibri" w:cs="Times New Roman"/>
                <w:color w:val="000000"/>
                <w:sz w:val="16"/>
                <w:szCs w:val="16"/>
                <w:lang w:eastAsia="es-ES"/>
              </w:rPr>
              <w:t>37.42%</w:t>
            </w:r>
          </w:p>
        </w:tc>
        <w:tc>
          <w:tcPr>
            <w:tcW w:w="1197" w:type="dxa"/>
            <w:tcBorders>
              <w:top w:val="nil"/>
              <w:left w:val="nil"/>
              <w:bottom w:val="nil"/>
              <w:right w:val="nil"/>
            </w:tcBorders>
            <w:shd w:val="clear" w:color="auto" w:fill="auto"/>
            <w:noWrap/>
            <w:vAlign w:val="bottom"/>
            <w:hideMark/>
          </w:tcPr>
          <w:p w:rsidR="00BA7786" w:rsidRPr="00B4142E" w:rsidRDefault="00BA7786" w:rsidP="00BA7786">
            <w:pPr>
              <w:spacing w:after="0" w:line="240" w:lineRule="auto"/>
              <w:jc w:val="right"/>
              <w:rPr>
                <w:rFonts w:ascii="Calibri" w:eastAsia="Times New Roman" w:hAnsi="Calibri" w:cs="Times New Roman"/>
                <w:color w:val="000000"/>
                <w:sz w:val="16"/>
                <w:szCs w:val="16"/>
                <w:lang w:eastAsia="es-ES"/>
              </w:rPr>
            </w:pPr>
            <w:r w:rsidRPr="00B4142E">
              <w:rPr>
                <w:rFonts w:ascii="Calibri" w:eastAsia="Times New Roman" w:hAnsi="Calibri" w:cs="Times New Roman"/>
                <w:color w:val="000000"/>
                <w:sz w:val="16"/>
                <w:szCs w:val="16"/>
                <w:lang w:eastAsia="es-ES"/>
              </w:rPr>
              <w:t>40.74%</w:t>
            </w:r>
          </w:p>
        </w:tc>
        <w:tc>
          <w:tcPr>
            <w:tcW w:w="1553" w:type="dxa"/>
            <w:tcBorders>
              <w:top w:val="nil"/>
              <w:left w:val="nil"/>
              <w:bottom w:val="nil"/>
              <w:right w:val="nil"/>
            </w:tcBorders>
            <w:shd w:val="clear" w:color="auto" w:fill="auto"/>
            <w:noWrap/>
            <w:vAlign w:val="bottom"/>
            <w:hideMark/>
          </w:tcPr>
          <w:p w:rsidR="00BA7786" w:rsidRPr="00B4142E" w:rsidRDefault="00BA7786" w:rsidP="00BA7786">
            <w:pPr>
              <w:spacing w:after="0" w:line="240" w:lineRule="auto"/>
              <w:jc w:val="right"/>
              <w:rPr>
                <w:rFonts w:ascii="Calibri" w:eastAsia="Times New Roman" w:hAnsi="Calibri" w:cs="Times New Roman"/>
                <w:color w:val="000000"/>
                <w:sz w:val="16"/>
                <w:szCs w:val="16"/>
                <w:lang w:eastAsia="es-ES"/>
              </w:rPr>
            </w:pPr>
            <w:r w:rsidRPr="00B4142E">
              <w:rPr>
                <w:rFonts w:ascii="Calibri" w:eastAsia="Times New Roman" w:hAnsi="Calibri" w:cs="Times New Roman"/>
                <w:color w:val="000000"/>
                <w:sz w:val="16"/>
                <w:szCs w:val="16"/>
                <w:lang w:eastAsia="es-ES"/>
              </w:rPr>
              <w:t>28.60%</w:t>
            </w:r>
          </w:p>
        </w:tc>
        <w:tc>
          <w:tcPr>
            <w:tcW w:w="1250" w:type="dxa"/>
            <w:tcBorders>
              <w:top w:val="nil"/>
              <w:left w:val="nil"/>
              <w:bottom w:val="nil"/>
              <w:right w:val="nil"/>
            </w:tcBorders>
            <w:shd w:val="clear" w:color="auto" w:fill="auto"/>
            <w:noWrap/>
            <w:vAlign w:val="bottom"/>
            <w:hideMark/>
          </w:tcPr>
          <w:p w:rsidR="00BA7786" w:rsidRPr="00B4142E" w:rsidRDefault="00BA7786" w:rsidP="00BA7786">
            <w:pPr>
              <w:spacing w:after="0" w:line="240" w:lineRule="auto"/>
              <w:jc w:val="right"/>
              <w:rPr>
                <w:rFonts w:ascii="Calibri" w:eastAsia="Times New Roman" w:hAnsi="Calibri" w:cs="Times New Roman"/>
                <w:color w:val="000000"/>
                <w:sz w:val="16"/>
                <w:szCs w:val="16"/>
                <w:lang w:eastAsia="es-ES"/>
              </w:rPr>
            </w:pPr>
            <w:r w:rsidRPr="00B4142E">
              <w:rPr>
                <w:rFonts w:ascii="Calibri" w:eastAsia="Times New Roman" w:hAnsi="Calibri" w:cs="Times New Roman"/>
                <w:color w:val="000000"/>
                <w:sz w:val="16"/>
                <w:szCs w:val="16"/>
                <w:lang w:eastAsia="es-ES"/>
              </w:rPr>
              <w:t>28.60%</w:t>
            </w:r>
          </w:p>
        </w:tc>
      </w:tr>
    </w:tbl>
    <w:p w:rsidR="00B54FAC" w:rsidRPr="00B54FAC" w:rsidRDefault="00B54FAC" w:rsidP="00B54FAC">
      <w:pPr>
        <w:rPr>
          <w:sz w:val="16"/>
          <w:szCs w:val="16"/>
          <w:lang w:val="en-US" w:eastAsia="es-ES"/>
        </w:rPr>
      </w:pPr>
      <w:r w:rsidRPr="00B54FAC">
        <w:rPr>
          <w:sz w:val="16"/>
          <w:szCs w:val="16"/>
          <w:lang w:val="en-US" w:eastAsia="es-ES"/>
        </w:rPr>
        <w:t>Source: M</w:t>
      </w:r>
      <w:r>
        <w:rPr>
          <w:sz w:val="16"/>
          <w:szCs w:val="16"/>
          <w:lang w:val="en-US" w:eastAsia="es-ES"/>
        </w:rPr>
        <w:t>i</w:t>
      </w:r>
      <w:r w:rsidRPr="00B54FAC">
        <w:rPr>
          <w:sz w:val="16"/>
          <w:szCs w:val="16"/>
          <w:lang w:val="en-US" w:eastAsia="es-ES"/>
        </w:rPr>
        <w:t>nistry of Economics and Finan</w:t>
      </w:r>
      <w:r>
        <w:rPr>
          <w:sz w:val="16"/>
          <w:szCs w:val="16"/>
          <w:lang w:val="en-US" w:eastAsia="es-ES"/>
        </w:rPr>
        <w:t>ce</w:t>
      </w:r>
      <w:r w:rsidRPr="00B54FAC">
        <w:rPr>
          <w:sz w:val="16"/>
          <w:szCs w:val="16"/>
          <w:lang w:val="en-US" w:eastAsia="es-ES"/>
        </w:rPr>
        <w:t xml:space="preserve"> – </w:t>
      </w:r>
      <w:proofErr w:type="spellStart"/>
      <w:r w:rsidRPr="00B54FAC">
        <w:rPr>
          <w:sz w:val="16"/>
          <w:szCs w:val="16"/>
          <w:lang w:val="en-US" w:eastAsia="es-ES"/>
        </w:rPr>
        <w:t>Transparencia</w:t>
      </w:r>
      <w:proofErr w:type="spellEnd"/>
      <w:r w:rsidRPr="00B54FAC">
        <w:rPr>
          <w:sz w:val="16"/>
          <w:szCs w:val="16"/>
          <w:lang w:val="en-US" w:eastAsia="es-ES"/>
        </w:rPr>
        <w:t xml:space="preserve"> </w:t>
      </w:r>
      <w:proofErr w:type="spellStart"/>
      <w:r w:rsidRPr="00B54FAC">
        <w:rPr>
          <w:sz w:val="16"/>
          <w:szCs w:val="16"/>
          <w:lang w:val="en-US" w:eastAsia="es-ES"/>
        </w:rPr>
        <w:t>Económica</w:t>
      </w:r>
      <w:proofErr w:type="spellEnd"/>
    </w:p>
    <w:p w:rsidR="002B40C9" w:rsidRDefault="002B40C9" w:rsidP="00140865">
      <w:pPr>
        <w:pStyle w:val="Caption"/>
        <w:spacing w:after="0" w:line="276" w:lineRule="auto"/>
        <w:jc w:val="center"/>
        <w:rPr>
          <w:sz w:val="22"/>
          <w:szCs w:val="22"/>
          <w:lang w:val="en-US"/>
        </w:rPr>
      </w:pPr>
    </w:p>
    <w:p w:rsidR="002B40C9" w:rsidRDefault="002B40C9" w:rsidP="00140865">
      <w:pPr>
        <w:pStyle w:val="Caption"/>
        <w:spacing w:after="0" w:line="276" w:lineRule="auto"/>
        <w:jc w:val="center"/>
        <w:rPr>
          <w:sz w:val="22"/>
          <w:szCs w:val="22"/>
          <w:lang w:val="en-US"/>
        </w:rPr>
      </w:pPr>
    </w:p>
    <w:p w:rsidR="002B40C9" w:rsidRDefault="002B40C9" w:rsidP="00140865">
      <w:pPr>
        <w:pStyle w:val="Caption"/>
        <w:spacing w:after="0" w:line="276" w:lineRule="auto"/>
        <w:jc w:val="center"/>
        <w:rPr>
          <w:sz w:val="22"/>
          <w:szCs w:val="22"/>
          <w:lang w:val="en-US"/>
        </w:rPr>
      </w:pPr>
    </w:p>
    <w:p w:rsidR="002B40C9" w:rsidRDefault="002B40C9" w:rsidP="00140865">
      <w:pPr>
        <w:pStyle w:val="Caption"/>
        <w:spacing w:after="0" w:line="276" w:lineRule="auto"/>
        <w:jc w:val="center"/>
        <w:rPr>
          <w:sz w:val="22"/>
          <w:szCs w:val="22"/>
          <w:lang w:val="en-US"/>
        </w:rPr>
      </w:pPr>
    </w:p>
    <w:p w:rsidR="002B40C9" w:rsidRDefault="002B40C9" w:rsidP="00140865">
      <w:pPr>
        <w:pStyle w:val="Caption"/>
        <w:spacing w:after="0" w:line="276" w:lineRule="auto"/>
        <w:jc w:val="center"/>
        <w:rPr>
          <w:sz w:val="22"/>
          <w:szCs w:val="22"/>
          <w:lang w:val="en-US"/>
        </w:rPr>
      </w:pPr>
    </w:p>
    <w:p w:rsidR="00E25DE7" w:rsidRPr="00E50C0E" w:rsidRDefault="00E50C0E" w:rsidP="00140865">
      <w:pPr>
        <w:pStyle w:val="Caption"/>
        <w:spacing w:after="0" w:line="276" w:lineRule="auto"/>
        <w:jc w:val="center"/>
        <w:rPr>
          <w:sz w:val="22"/>
          <w:szCs w:val="22"/>
          <w:lang w:val="en-US"/>
        </w:rPr>
      </w:pPr>
      <w:r w:rsidRPr="00E50C0E">
        <w:rPr>
          <w:sz w:val="22"/>
          <w:szCs w:val="22"/>
          <w:lang w:val="en-US"/>
        </w:rPr>
        <w:t>Table 6</w:t>
      </w:r>
      <w:r w:rsidR="00E25DE7" w:rsidRPr="00E50C0E">
        <w:rPr>
          <w:sz w:val="22"/>
          <w:szCs w:val="22"/>
          <w:lang w:val="en-US"/>
        </w:rPr>
        <w:t xml:space="preserve">: Recurrent and capital spending by sector, amount (In thousands of </w:t>
      </w:r>
      <w:proofErr w:type="spellStart"/>
      <w:r w:rsidR="00E25DE7" w:rsidRPr="00E50C0E">
        <w:rPr>
          <w:sz w:val="22"/>
          <w:szCs w:val="22"/>
          <w:lang w:val="en-US"/>
        </w:rPr>
        <w:t>Nuevos</w:t>
      </w:r>
      <w:proofErr w:type="spellEnd"/>
      <w:r w:rsidR="00E25DE7" w:rsidRPr="00E50C0E">
        <w:rPr>
          <w:sz w:val="22"/>
          <w:szCs w:val="22"/>
          <w:lang w:val="en-US"/>
        </w:rPr>
        <w:t xml:space="preserve"> Soles, constant prices 2006)</w:t>
      </w:r>
    </w:p>
    <w:tbl>
      <w:tblPr>
        <w:tblW w:w="8909" w:type="dxa"/>
        <w:jc w:val="center"/>
        <w:tblInd w:w="70" w:type="dxa"/>
        <w:tblCellMar>
          <w:left w:w="70" w:type="dxa"/>
          <w:right w:w="70" w:type="dxa"/>
        </w:tblCellMar>
        <w:tblLook w:val="04A0"/>
      </w:tblPr>
      <w:tblGrid>
        <w:gridCol w:w="1421"/>
        <w:gridCol w:w="1391"/>
        <w:gridCol w:w="1596"/>
        <w:gridCol w:w="1596"/>
        <w:gridCol w:w="1596"/>
        <w:gridCol w:w="1309"/>
      </w:tblGrid>
      <w:tr w:rsidR="009E2BC4" w:rsidRPr="002B40C9" w:rsidTr="009E2BC4">
        <w:trPr>
          <w:trHeight w:val="660"/>
          <w:jc w:val="center"/>
        </w:trPr>
        <w:tc>
          <w:tcPr>
            <w:tcW w:w="1421" w:type="dxa"/>
            <w:tcBorders>
              <w:top w:val="nil"/>
              <w:left w:val="nil"/>
              <w:bottom w:val="nil"/>
              <w:right w:val="nil"/>
            </w:tcBorders>
            <w:shd w:val="clear" w:color="000000" w:fill="B2A1C7"/>
            <w:noWrap/>
            <w:vAlign w:val="bottom"/>
            <w:hideMark/>
          </w:tcPr>
          <w:p w:rsidR="009E2BC4" w:rsidRPr="002B40C9" w:rsidRDefault="009E2BC4" w:rsidP="00140865">
            <w:pPr>
              <w:spacing w:after="0" w:line="240" w:lineRule="auto"/>
              <w:rPr>
                <w:rFonts w:ascii="Calibri" w:eastAsia="Times New Roman" w:hAnsi="Calibri" w:cs="Times New Roman"/>
                <w:color w:val="000000"/>
                <w:sz w:val="16"/>
                <w:szCs w:val="16"/>
                <w:lang w:val="en-US" w:eastAsia="es-ES"/>
              </w:rPr>
            </w:pPr>
            <w:r w:rsidRPr="002B40C9">
              <w:rPr>
                <w:rFonts w:ascii="Calibri" w:eastAsia="Times New Roman" w:hAnsi="Calibri" w:cs="Times New Roman"/>
                <w:color w:val="000000"/>
                <w:sz w:val="16"/>
                <w:szCs w:val="16"/>
                <w:lang w:val="en-US" w:eastAsia="es-ES"/>
              </w:rPr>
              <w:t> </w:t>
            </w:r>
          </w:p>
        </w:tc>
        <w:tc>
          <w:tcPr>
            <w:tcW w:w="1391" w:type="dxa"/>
            <w:tcBorders>
              <w:top w:val="nil"/>
              <w:left w:val="nil"/>
              <w:bottom w:val="nil"/>
              <w:right w:val="nil"/>
            </w:tcBorders>
            <w:shd w:val="clear" w:color="000000" w:fill="B2A1C7"/>
            <w:vAlign w:val="center"/>
            <w:hideMark/>
          </w:tcPr>
          <w:p w:rsidR="009E2BC4" w:rsidRPr="002B40C9" w:rsidRDefault="009E2BC4" w:rsidP="009E2BC4">
            <w:pPr>
              <w:spacing w:after="0" w:line="240" w:lineRule="auto"/>
              <w:jc w:val="center"/>
              <w:rPr>
                <w:rFonts w:ascii="Calibri" w:eastAsia="Times New Roman" w:hAnsi="Calibri" w:cs="Times New Roman"/>
                <w:b/>
                <w:bCs/>
                <w:color w:val="000000"/>
                <w:sz w:val="16"/>
                <w:szCs w:val="16"/>
                <w:lang w:eastAsia="es-ES"/>
              </w:rPr>
            </w:pPr>
            <w:r w:rsidRPr="002B40C9">
              <w:rPr>
                <w:rFonts w:ascii="Calibri" w:eastAsia="Times New Roman" w:hAnsi="Calibri" w:cs="Times New Roman"/>
                <w:b/>
                <w:bCs/>
                <w:color w:val="000000"/>
                <w:sz w:val="16"/>
                <w:szCs w:val="16"/>
                <w:lang w:eastAsia="es-ES"/>
              </w:rPr>
              <w:t>2006</w:t>
            </w:r>
          </w:p>
        </w:tc>
        <w:tc>
          <w:tcPr>
            <w:tcW w:w="1596" w:type="dxa"/>
            <w:tcBorders>
              <w:top w:val="nil"/>
              <w:left w:val="nil"/>
              <w:bottom w:val="nil"/>
              <w:right w:val="nil"/>
            </w:tcBorders>
            <w:shd w:val="clear" w:color="000000" w:fill="B2A1C7"/>
            <w:vAlign w:val="center"/>
            <w:hideMark/>
          </w:tcPr>
          <w:p w:rsidR="009E2BC4" w:rsidRPr="002B40C9" w:rsidRDefault="009E2BC4" w:rsidP="009E2BC4">
            <w:pPr>
              <w:spacing w:after="0" w:line="240" w:lineRule="auto"/>
              <w:jc w:val="center"/>
              <w:rPr>
                <w:rFonts w:ascii="Calibri" w:eastAsia="Times New Roman" w:hAnsi="Calibri" w:cs="Times New Roman"/>
                <w:b/>
                <w:bCs/>
                <w:color w:val="000000"/>
                <w:sz w:val="16"/>
                <w:szCs w:val="16"/>
                <w:lang w:eastAsia="es-ES"/>
              </w:rPr>
            </w:pPr>
            <w:r w:rsidRPr="002B40C9">
              <w:rPr>
                <w:rFonts w:ascii="Calibri" w:eastAsia="Times New Roman" w:hAnsi="Calibri" w:cs="Times New Roman"/>
                <w:b/>
                <w:bCs/>
                <w:color w:val="000000"/>
                <w:sz w:val="16"/>
                <w:szCs w:val="16"/>
                <w:lang w:eastAsia="es-ES"/>
              </w:rPr>
              <w:t>2007</w:t>
            </w:r>
          </w:p>
        </w:tc>
        <w:tc>
          <w:tcPr>
            <w:tcW w:w="1596" w:type="dxa"/>
            <w:tcBorders>
              <w:top w:val="nil"/>
              <w:left w:val="nil"/>
              <w:bottom w:val="nil"/>
              <w:right w:val="nil"/>
            </w:tcBorders>
            <w:shd w:val="clear" w:color="000000" w:fill="B2A1C7"/>
            <w:vAlign w:val="center"/>
            <w:hideMark/>
          </w:tcPr>
          <w:p w:rsidR="009E2BC4" w:rsidRPr="002B40C9" w:rsidRDefault="009E2BC4" w:rsidP="009E2BC4">
            <w:pPr>
              <w:spacing w:after="0" w:line="240" w:lineRule="auto"/>
              <w:jc w:val="center"/>
              <w:rPr>
                <w:rFonts w:ascii="Calibri" w:eastAsia="Times New Roman" w:hAnsi="Calibri" w:cs="Times New Roman"/>
                <w:b/>
                <w:bCs/>
                <w:color w:val="000000"/>
                <w:sz w:val="16"/>
                <w:szCs w:val="16"/>
                <w:lang w:eastAsia="es-ES"/>
              </w:rPr>
            </w:pPr>
            <w:r w:rsidRPr="002B40C9">
              <w:rPr>
                <w:rFonts w:ascii="Calibri" w:eastAsia="Times New Roman" w:hAnsi="Calibri" w:cs="Times New Roman"/>
                <w:b/>
                <w:bCs/>
                <w:color w:val="000000"/>
                <w:sz w:val="16"/>
                <w:szCs w:val="16"/>
                <w:lang w:eastAsia="es-ES"/>
              </w:rPr>
              <w:t>2008</w:t>
            </w:r>
          </w:p>
        </w:tc>
        <w:tc>
          <w:tcPr>
            <w:tcW w:w="1596" w:type="dxa"/>
            <w:tcBorders>
              <w:top w:val="nil"/>
              <w:left w:val="nil"/>
              <w:bottom w:val="nil"/>
              <w:right w:val="nil"/>
            </w:tcBorders>
            <w:shd w:val="clear" w:color="000000" w:fill="B2A1C7"/>
            <w:vAlign w:val="center"/>
            <w:hideMark/>
          </w:tcPr>
          <w:p w:rsidR="009E2BC4" w:rsidRPr="002B40C9" w:rsidRDefault="009E2BC4" w:rsidP="009E2BC4">
            <w:pPr>
              <w:spacing w:after="0" w:line="240" w:lineRule="auto"/>
              <w:jc w:val="center"/>
              <w:rPr>
                <w:rFonts w:ascii="Calibri" w:eastAsia="Times New Roman" w:hAnsi="Calibri" w:cs="Times New Roman"/>
                <w:b/>
                <w:bCs/>
                <w:color w:val="000000"/>
                <w:sz w:val="16"/>
                <w:szCs w:val="16"/>
                <w:lang w:eastAsia="es-ES"/>
              </w:rPr>
            </w:pPr>
            <w:r w:rsidRPr="002B40C9">
              <w:rPr>
                <w:rFonts w:ascii="Calibri" w:eastAsia="Times New Roman" w:hAnsi="Calibri" w:cs="Times New Roman"/>
                <w:b/>
                <w:bCs/>
                <w:color w:val="000000"/>
                <w:sz w:val="16"/>
                <w:szCs w:val="16"/>
                <w:lang w:eastAsia="es-ES"/>
              </w:rPr>
              <w:t>2009</w:t>
            </w:r>
          </w:p>
        </w:tc>
        <w:tc>
          <w:tcPr>
            <w:tcW w:w="1309" w:type="dxa"/>
            <w:tcBorders>
              <w:top w:val="nil"/>
              <w:left w:val="nil"/>
              <w:bottom w:val="nil"/>
              <w:right w:val="nil"/>
            </w:tcBorders>
            <w:shd w:val="clear" w:color="000000" w:fill="B2A1C7"/>
            <w:vAlign w:val="center"/>
            <w:hideMark/>
          </w:tcPr>
          <w:p w:rsidR="009E2BC4" w:rsidRPr="002B40C9" w:rsidRDefault="009E2BC4" w:rsidP="009E2BC4">
            <w:pPr>
              <w:spacing w:after="0" w:line="240" w:lineRule="auto"/>
              <w:jc w:val="center"/>
              <w:rPr>
                <w:rFonts w:ascii="Calibri" w:eastAsia="Times New Roman" w:hAnsi="Calibri" w:cs="Times New Roman"/>
                <w:b/>
                <w:bCs/>
                <w:color w:val="000000"/>
                <w:sz w:val="16"/>
                <w:szCs w:val="16"/>
                <w:lang w:eastAsia="es-ES"/>
              </w:rPr>
            </w:pPr>
            <w:r w:rsidRPr="002B40C9">
              <w:rPr>
                <w:rFonts w:ascii="Calibri" w:eastAsia="Times New Roman" w:hAnsi="Calibri" w:cs="Times New Roman"/>
                <w:b/>
                <w:bCs/>
                <w:color w:val="000000"/>
                <w:sz w:val="16"/>
                <w:szCs w:val="16"/>
                <w:lang w:eastAsia="es-ES"/>
              </w:rPr>
              <w:t>2010 (</w:t>
            </w:r>
            <w:proofErr w:type="spellStart"/>
            <w:r w:rsidRPr="002B40C9">
              <w:rPr>
                <w:rFonts w:ascii="Calibri" w:eastAsia="Times New Roman" w:hAnsi="Calibri" w:cs="Times New Roman"/>
                <w:b/>
                <w:bCs/>
                <w:color w:val="000000"/>
                <w:sz w:val="16"/>
                <w:szCs w:val="16"/>
                <w:lang w:eastAsia="es-ES"/>
              </w:rPr>
              <w:t>Budgeted</w:t>
            </w:r>
            <w:proofErr w:type="spellEnd"/>
            <w:r w:rsidRPr="002B40C9">
              <w:rPr>
                <w:rFonts w:ascii="Calibri" w:eastAsia="Times New Roman" w:hAnsi="Calibri" w:cs="Times New Roman"/>
                <w:b/>
                <w:bCs/>
                <w:color w:val="000000"/>
                <w:sz w:val="16"/>
                <w:szCs w:val="16"/>
                <w:lang w:eastAsia="es-ES"/>
              </w:rPr>
              <w:t>)</w:t>
            </w:r>
          </w:p>
        </w:tc>
      </w:tr>
      <w:tr w:rsidR="009E2BC4" w:rsidRPr="002B40C9" w:rsidTr="009E2BC4">
        <w:trPr>
          <w:trHeight w:val="315"/>
          <w:jc w:val="center"/>
        </w:trPr>
        <w:tc>
          <w:tcPr>
            <w:tcW w:w="4408" w:type="dxa"/>
            <w:gridSpan w:val="3"/>
            <w:tcBorders>
              <w:top w:val="nil"/>
              <w:left w:val="nil"/>
              <w:bottom w:val="nil"/>
              <w:right w:val="nil"/>
            </w:tcBorders>
            <w:shd w:val="clear" w:color="000000" w:fill="CCCCFF"/>
            <w:noWrap/>
            <w:vAlign w:val="bottom"/>
            <w:hideMark/>
          </w:tcPr>
          <w:p w:rsidR="009E2BC4" w:rsidRPr="002B40C9" w:rsidRDefault="009E2BC4" w:rsidP="009E2BC4">
            <w:pPr>
              <w:spacing w:after="0" w:line="240" w:lineRule="auto"/>
              <w:rPr>
                <w:rFonts w:ascii="Calibri" w:eastAsia="Times New Roman" w:hAnsi="Calibri" w:cs="Times New Roman"/>
                <w:b/>
                <w:bCs/>
                <w:color w:val="000000"/>
                <w:sz w:val="16"/>
                <w:szCs w:val="16"/>
                <w:lang w:eastAsia="es-ES"/>
              </w:rPr>
            </w:pPr>
            <w:r w:rsidRPr="002B40C9">
              <w:rPr>
                <w:rFonts w:ascii="Calibri" w:eastAsia="Times New Roman" w:hAnsi="Calibri" w:cs="Times New Roman"/>
                <w:b/>
                <w:bCs/>
                <w:color w:val="000000"/>
                <w:sz w:val="16"/>
                <w:szCs w:val="16"/>
                <w:lang w:eastAsia="es-ES"/>
              </w:rPr>
              <w:t xml:space="preserve">TOTAL </w:t>
            </w:r>
            <w:proofErr w:type="spellStart"/>
            <w:r w:rsidRPr="002B40C9">
              <w:rPr>
                <w:rFonts w:ascii="Calibri" w:eastAsia="Times New Roman" w:hAnsi="Calibri" w:cs="Times New Roman"/>
                <w:b/>
                <w:bCs/>
                <w:color w:val="000000"/>
                <w:sz w:val="16"/>
                <w:szCs w:val="16"/>
                <w:lang w:eastAsia="es-ES"/>
              </w:rPr>
              <w:t>Education</w:t>
            </w:r>
            <w:proofErr w:type="spellEnd"/>
            <w:r w:rsidRPr="002B40C9">
              <w:rPr>
                <w:rFonts w:ascii="Calibri" w:eastAsia="Times New Roman" w:hAnsi="Calibri" w:cs="Times New Roman"/>
                <w:b/>
                <w:bCs/>
                <w:color w:val="000000"/>
                <w:sz w:val="16"/>
                <w:szCs w:val="16"/>
                <w:lang w:eastAsia="es-ES"/>
              </w:rPr>
              <w:t xml:space="preserve"> </w:t>
            </w:r>
            <w:proofErr w:type="spellStart"/>
            <w:r w:rsidRPr="002B40C9">
              <w:rPr>
                <w:rFonts w:ascii="Calibri" w:eastAsia="Times New Roman" w:hAnsi="Calibri" w:cs="Times New Roman"/>
                <w:b/>
                <w:bCs/>
                <w:color w:val="000000"/>
                <w:sz w:val="16"/>
                <w:szCs w:val="16"/>
                <w:lang w:eastAsia="es-ES"/>
              </w:rPr>
              <w:t>Expenditures</w:t>
            </w:r>
            <w:proofErr w:type="spellEnd"/>
          </w:p>
        </w:tc>
        <w:tc>
          <w:tcPr>
            <w:tcW w:w="1596" w:type="dxa"/>
            <w:tcBorders>
              <w:top w:val="nil"/>
              <w:left w:val="nil"/>
              <w:bottom w:val="nil"/>
              <w:right w:val="nil"/>
            </w:tcBorders>
            <w:shd w:val="clear" w:color="000000" w:fill="CCCCFF"/>
            <w:noWrap/>
            <w:vAlign w:val="bottom"/>
            <w:hideMark/>
          </w:tcPr>
          <w:p w:rsidR="009E2BC4" w:rsidRPr="002B40C9" w:rsidRDefault="009E2BC4" w:rsidP="009E2BC4">
            <w:pPr>
              <w:spacing w:after="0" w:line="240" w:lineRule="auto"/>
              <w:rPr>
                <w:rFonts w:ascii="Calibri" w:eastAsia="Times New Roman" w:hAnsi="Calibri" w:cs="Times New Roman"/>
                <w:color w:val="000000"/>
                <w:sz w:val="16"/>
                <w:szCs w:val="16"/>
                <w:lang w:eastAsia="es-ES"/>
              </w:rPr>
            </w:pPr>
            <w:r w:rsidRPr="002B40C9">
              <w:rPr>
                <w:rFonts w:ascii="Calibri" w:eastAsia="Times New Roman" w:hAnsi="Calibri" w:cs="Times New Roman"/>
                <w:color w:val="000000"/>
                <w:sz w:val="16"/>
                <w:szCs w:val="16"/>
                <w:lang w:eastAsia="es-ES"/>
              </w:rPr>
              <w:t> </w:t>
            </w:r>
          </w:p>
        </w:tc>
        <w:tc>
          <w:tcPr>
            <w:tcW w:w="1596" w:type="dxa"/>
            <w:tcBorders>
              <w:top w:val="nil"/>
              <w:left w:val="nil"/>
              <w:bottom w:val="nil"/>
              <w:right w:val="nil"/>
            </w:tcBorders>
            <w:shd w:val="clear" w:color="000000" w:fill="CCCCFF"/>
            <w:noWrap/>
            <w:vAlign w:val="bottom"/>
            <w:hideMark/>
          </w:tcPr>
          <w:p w:rsidR="009E2BC4" w:rsidRPr="002B40C9" w:rsidRDefault="009E2BC4" w:rsidP="009E2BC4">
            <w:pPr>
              <w:spacing w:after="0" w:line="240" w:lineRule="auto"/>
              <w:rPr>
                <w:rFonts w:ascii="Calibri" w:eastAsia="Times New Roman" w:hAnsi="Calibri" w:cs="Times New Roman"/>
                <w:color w:val="000000"/>
                <w:sz w:val="16"/>
                <w:szCs w:val="16"/>
                <w:lang w:eastAsia="es-ES"/>
              </w:rPr>
            </w:pPr>
            <w:r w:rsidRPr="002B40C9">
              <w:rPr>
                <w:rFonts w:ascii="Calibri" w:eastAsia="Times New Roman" w:hAnsi="Calibri" w:cs="Times New Roman"/>
                <w:color w:val="000000"/>
                <w:sz w:val="16"/>
                <w:szCs w:val="16"/>
                <w:lang w:eastAsia="es-ES"/>
              </w:rPr>
              <w:t> </w:t>
            </w:r>
          </w:p>
        </w:tc>
        <w:tc>
          <w:tcPr>
            <w:tcW w:w="1309" w:type="dxa"/>
            <w:tcBorders>
              <w:top w:val="nil"/>
              <w:left w:val="nil"/>
              <w:bottom w:val="nil"/>
              <w:right w:val="nil"/>
            </w:tcBorders>
            <w:shd w:val="clear" w:color="000000" w:fill="CCCCFF"/>
            <w:noWrap/>
            <w:vAlign w:val="bottom"/>
            <w:hideMark/>
          </w:tcPr>
          <w:p w:rsidR="009E2BC4" w:rsidRPr="002B40C9" w:rsidRDefault="009E2BC4" w:rsidP="009E2BC4">
            <w:pPr>
              <w:spacing w:after="0" w:line="240" w:lineRule="auto"/>
              <w:rPr>
                <w:rFonts w:ascii="Calibri" w:eastAsia="Times New Roman" w:hAnsi="Calibri" w:cs="Times New Roman"/>
                <w:color w:val="000000"/>
                <w:sz w:val="16"/>
                <w:szCs w:val="16"/>
                <w:lang w:eastAsia="es-ES"/>
              </w:rPr>
            </w:pPr>
            <w:r w:rsidRPr="002B40C9">
              <w:rPr>
                <w:rFonts w:ascii="Calibri" w:eastAsia="Times New Roman" w:hAnsi="Calibri" w:cs="Times New Roman"/>
                <w:color w:val="000000"/>
                <w:sz w:val="16"/>
                <w:szCs w:val="16"/>
                <w:lang w:eastAsia="es-ES"/>
              </w:rPr>
              <w:t> </w:t>
            </w:r>
          </w:p>
        </w:tc>
      </w:tr>
      <w:tr w:rsidR="009E2BC4" w:rsidRPr="002B40C9" w:rsidTr="009E2BC4">
        <w:trPr>
          <w:trHeight w:val="300"/>
          <w:jc w:val="center"/>
        </w:trPr>
        <w:tc>
          <w:tcPr>
            <w:tcW w:w="1421" w:type="dxa"/>
            <w:tcBorders>
              <w:top w:val="nil"/>
              <w:left w:val="nil"/>
              <w:bottom w:val="nil"/>
              <w:right w:val="nil"/>
            </w:tcBorders>
            <w:shd w:val="clear" w:color="auto" w:fill="auto"/>
            <w:noWrap/>
            <w:vAlign w:val="bottom"/>
            <w:hideMark/>
          </w:tcPr>
          <w:p w:rsidR="009E2BC4" w:rsidRPr="002B40C9" w:rsidRDefault="009E2BC4" w:rsidP="009E2BC4">
            <w:pPr>
              <w:spacing w:after="0" w:line="240" w:lineRule="auto"/>
              <w:rPr>
                <w:rFonts w:ascii="Calibri" w:eastAsia="Times New Roman" w:hAnsi="Calibri" w:cs="Times New Roman"/>
                <w:color w:val="000000"/>
                <w:sz w:val="16"/>
                <w:szCs w:val="16"/>
                <w:lang w:eastAsia="es-ES"/>
              </w:rPr>
            </w:pPr>
            <w:proofErr w:type="spellStart"/>
            <w:r w:rsidRPr="002B40C9">
              <w:rPr>
                <w:rFonts w:ascii="Calibri" w:eastAsia="Times New Roman" w:hAnsi="Calibri" w:cs="Times New Roman"/>
                <w:color w:val="000000"/>
                <w:sz w:val="16"/>
                <w:szCs w:val="16"/>
                <w:lang w:eastAsia="es-ES"/>
              </w:rPr>
              <w:t>Recurrent</w:t>
            </w:r>
            <w:proofErr w:type="spellEnd"/>
          </w:p>
        </w:tc>
        <w:tc>
          <w:tcPr>
            <w:tcW w:w="1391" w:type="dxa"/>
            <w:tcBorders>
              <w:top w:val="nil"/>
              <w:left w:val="nil"/>
              <w:bottom w:val="nil"/>
              <w:right w:val="nil"/>
            </w:tcBorders>
            <w:shd w:val="clear" w:color="auto" w:fill="auto"/>
            <w:noWrap/>
            <w:vAlign w:val="bottom"/>
            <w:hideMark/>
          </w:tcPr>
          <w:p w:rsidR="009E2BC4" w:rsidRPr="002B40C9" w:rsidRDefault="009E2BC4" w:rsidP="009E2BC4">
            <w:pPr>
              <w:spacing w:after="0" w:line="240" w:lineRule="auto"/>
              <w:jc w:val="right"/>
              <w:rPr>
                <w:rFonts w:ascii="Calibri" w:eastAsia="Times New Roman" w:hAnsi="Calibri" w:cs="Times New Roman"/>
                <w:color w:val="000000"/>
                <w:sz w:val="16"/>
                <w:szCs w:val="16"/>
                <w:lang w:eastAsia="es-ES"/>
              </w:rPr>
            </w:pPr>
            <w:r w:rsidRPr="002B40C9">
              <w:rPr>
                <w:rFonts w:ascii="Calibri" w:eastAsia="Times New Roman" w:hAnsi="Calibri" w:cs="Times New Roman"/>
                <w:color w:val="000000"/>
                <w:sz w:val="16"/>
                <w:szCs w:val="16"/>
                <w:lang w:eastAsia="es-ES"/>
              </w:rPr>
              <w:t>7,606,367.16</w:t>
            </w:r>
          </w:p>
        </w:tc>
        <w:tc>
          <w:tcPr>
            <w:tcW w:w="1596" w:type="dxa"/>
            <w:tcBorders>
              <w:top w:val="nil"/>
              <w:left w:val="nil"/>
              <w:bottom w:val="nil"/>
              <w:right w:val="nil"/>
            </w:tcBorders>
            <w:shd w:val="clear" w:color="auto" w:fill="auto"/>
            <w:noWrap/>
            <w:vAlign w:val="bottom"/>
            <w:hideMark/>
          </w:tcPr>
          <w:p w:rsidR="009E2BC4" w:rsidRPr="002B40C9" w:rsidRDefault="009E2BC4" w:rsidP="009E2BC4">
            <w:pPr>
              <w:spacing w:after="0" w:line="240" w:lineRule="auto"/>
              <w:jc w:val="right"/>
              <w:rPr>
                <w:rFonts w:ascii="Calibri" w:eastAsia="Times New Roman" w:hAnsi="Calibri" w:cs="Times New Roman"/>
                <w:color w:val="000000"/>
                <w:sz w:val="16"/>
                <w:szCs w:val="16"/>
                <w:lang w:eastAsia="es-ES"/>
              </w:rPr>
            </w:pPr>
            <w:r w:rsidRPr="002B40C9">
              <w:rPr>
                <w:rFonts w:ascii="Calibri" w:eastAsia="Times New Roman" w:hAnsi="Calibri" w:cs="Times New Roman"/>
                <w:color w:val="000000"/>
                <w:sz w:val="16"/>
                <w:szCs w:val="16"/>
                <w:lang w:eastAsia="es-ES"/>
              </w:rPr>
              <w:t>8,069,421.43</w:t>
            </w:r>
          </w:p>
        </w:tc>
        <w:tc>
          <w:tcPr>
            <w:tcW w:w="1596" w:type="dxa"/>
            <w:tcBorders>
              <w:top w:val="nil"/>
              <w:left w:val="nil"/>
              <w:bottom w:val="nil"/>
              <w:right w:val="nil"/>
            </w:tcBorders>
            <w:shd w:val="clear" w:color="auto" w:fill="auto"/>
            <w:noWrap/>
            <w:vAlign w:val="bottom"/>
            <w:hideMark/>
          </w:tcPr>
          <w:p w:rsidR="009E2BC4" w:rsidRPr="002B40C9" w:rsidRDefault="009E2BC4" w:rsidP="009E2BC4">
            <w:pPr>
              <w:spacing w:after="0" w:line="240" w:lineRule="auto"/>
              <w:jc w:val="right"/>
              <w:rPr>
                <w:rFonts w:ascii="Calibri" w:eastAsia="Times New Roman" w:hAnsi="Calibri" w:cs="Times New Roman"/>
                <w:color w:val="000000"/>
                <w:sz w:val="16"/>
                <w:szCs w:val="16"/>
                <w:lang w:eastAsia="es-ES"/>
              </w:rPr>
            </w:pPr>
            <w:r w:rsidRPr="002B40C9">
              <w:rPr>
                <w:rFonts w:ascii="Calibri" w:eastAsia="Times New Roman" w:hAnsi="Calibri" w:cs="Times New Roman"/>
                <w:color w:val="000000"/>
                <w:sz w:val="16"/>
                <w:szCs w:val="16"/>
                <w:lang w:eastAsia="es-ES"/>
              </w:rPr>
              <w:t>8,087,955.59</w:t>
            </w:r>
          </w:p>
        </w:tc>
        <w:tc>
          <w:tcPr>
            <w:tcW w:w="1596" w:type="dxa"/>
            <w:tcBorders>
              <w:top w:val="nil"/>
              <w:left w:val="nil"/>
              <w:bottom w:val="nil"/>
              <w:right w:val="nil"/>
            </w:tcBorders>
            <w:shd w:val="clear" w:color="auto" w:fill="auto"/>
            <w:noWrap/>
            <w:vAlign w:val="bottom"/>
            <w:hideMark/>
          </w:tcPr>
          <w:p w:rsidR="009E2BC4" w:rsidRPr="002B40C9" w:rsidRDefault="009E2BC4" w:rsidP="009E2BC4">
            <w:pPr>
              <w:spacing w:after="0" w:line="240" w:lineRule="auto"/>
              <w:jc w:val="right"/>
              <w:rPr>
                <w:rFonts w:ascii="Calibri" w:eastAsia="Times New Roman" w:hAnsi="Calibri" w:cs="Times New Roman"/>
                <w:color w:val="000000"/>
                <w:sz w:val="16"/>
                <w:szCs w:val="16"/>
                <w:lang w:eastAsia="es-ES"/>
              </w:rPr>
            </w:pPr>
            <w:r w:rsidRPr="002B40C9">
              <w:rPr>
                <w:rFonts w:ascii="Calibri" w:eastAsia="Times New Roman" w:hAnsi="Calibri" w:cs="Times New Roman"/>
                <w:color w:val="000000"/>
                <w:sz w:val="16"/>
                <w:szCs w:val="16"/>
                <w:lang w:eastAsia="es-ES"/>
              </w:rPr>
              <w:t>8,992,254.53</w:t>
            </w:r>
          </w:p>
        </w:tc>
        <w:tc>
          <w:tcPr>
            <w:tcW w:w="1309" w:type="dxa"/>
            <w:tcBorders>
              <w:top w:val="nil"/>
              <w:left w:val="nil"/>
              <w:bottom w:val="nil"/>
              <w:right w:val="nil"/>
            </w:tcBorders>
            <w:shd w:val="clear" w:color="auto" w:fill="auto"/>
            <w:noWrap/>
            <w:vAlign w:val="bottom"/>
            <w:hideMark/>
          </w:tcPr>
          <w:p w:rsidR="009E2BC4" w:rsidRPr="002B40C9" w:rsidRDefault="009E2BC4" w:rsidP="009E2BC4">
            <w:pPr>
              <w:spacing w:after="0" w:line="240" w:lineRule="auto"/>
              <w:jc w:val="right"/>
              <w:rPr>
                <w:rFonts w:ascii="Calibri" w:eastAsia="Times New Roman" w:hAnsi="Calibri" w:cs="Times New Roman"/>
                <w:color w:val="000000"/>
                <w:sz w:val="16"/>
                <w:szCs w:val="16"/>
                <w:lang w:eastAsia="es-ES"/>
              </w:rPr>
            </w:pPr>
            <w:r w:rsidRPr="002B40C9">
              <w:rPr>
                <w:rFonts w:ascii="Calibri" w:eastAsia="Times New Roman" w:hAnsi="Calibri" w:cs="Times New Roman"/>
                <w:color w:val="000000"/>
                <w:sz w:val="16"/>
                <w:szCs w:val="16"/>
                <w:lang w:eastAsia="es-ES"/>
              </w:rPr>
              <w:t>8,865,013.17</w:t>
            </w:r>
          </w:p>
        </w:tc>
      </w:tr>
      <w:tr w:rsidR="009E2BC4" w:rsidRPr="002B40C9" w:rsidTr="009E2BC4">
        <w:trPr>
          <w:trHeight w:val="300"/>
          <w:jc w:val="center"/>
        </w:trPr>
        <w:tc>
          <w:tcPr>
            <w:tcW w:w="1421" w:type="dxa"/>
            <w:tcBorders>
              <w:top w:val="nil"/>
              <w:left w:val="nil"/>
              <w:bottom w:val="nil"/>
              <w:right w:val="nil"/>
            </w:tcBorders>
            <w:shd w:val="clear" w:color="auto" w:fill="auto"/>
            <w:noWrap/>
            <w:vAlign w:val="bottom"/>
            <w:hideMark/>
          </w:tcPr>
          <w:p w:rsidR="009E2BC4" w:rsidRPr="002B40C9" w:rsidRDefault="009E2BC4" w:rsidP="009E2BC4">
            <w:pPr>
              <w:spacing w:after="0" w:line="240" w:lineRule="auto"/>
              <w:rPr>
                <w:rFonts w:ascii="Calibri" w:eastAsia="Times New Roman" w:hAnsi="Calibri" w:cs="Times New Roman"/>
                <w:color w:val="000000"/>
                <w:sz w:val="16"/>
                <w:szCs w:val="16"/>
                <w:lang w:eastAsia="es-ES"/>
              </w:rPr>
            </w:pPr>
            <w:r w:rsidRPr="002B40C9">
              <w:rPr>
                <w:rFonts w:ascii="Calibri" w:eastAsia="Times New Roman" w:hAnsi="Calibri" w:cs="Times New Roman"/>
                <w:color w:val="000000"/>
                <w:sz w:val="16"/>
                <w:szCs w:val="16"/>
                <w:lang w:eastAsia="es-ES"/>
              </w:rPr>
              <w:t xml:space="preserve">   </w:t>
            </w:r>
            <w:proofErr w:type="spellStart"/>
            <w:r w:rsidRPr="002B40C9">
              <w:rPr>
                <w:rFonts w:ascii="Calibri" w:eastAsia="Times New Roman" w:hAnsi="Calibri" w:cs="Times New Roman"/>
                <w:color w:val="000000"/>
                <w:sz w:val="16"/>
                <w:szCs w:val="16"/>
                <w:lang w:eastAsia="es-ES"/>
              </w:rPr>
              <w:t>Wages</w:t>
            </w:r>
            <w:proofErr w:type="spellEnd"/>
          </w:p>
        </w:tc>
        <w:tc>
          <w:tcPr>
            <w:tcW w:w="1391" w:type="dxa"/>
            <w:tcBorders>
              <w:top w:val="nil"/>
              <w:left w:val="nil"/>
              <w:bottom w:val="nil"/>
              <w:right w:val="nil"/>
            </w:tcBorders>
            <w:shd w:val="clear" w:color="auto" w:fill="auto"/>
            <w:noWrap/>
            <w:vAlign w:val="bottom"/>
            <w:hideMark/>
          </w:tcPr>
          <w:p w:rsidR="009E2BC4" w:rsidRPr="002B40C9" w:rsidRDefault="009E2BC4" w:rsidP="009E2BC4">
            <w:pPr>
              <w:spacing w:after="0" w:line="240" w:lineRule="auto"/>
              <w:jc w:val="right"/>
              <w:rPr>
                <w:rFonts w:ascii="Calibri" w:eastAsia="Times New Roman" w:hAnsi="Calibri" w:cs="Times New Roman"/>
                <w:color w:val="000000"/>
                <w:sz w:val="16"/>
                <w:szCs w:val="16"/>
                <w:lang w:eastAsia="es-ES"/>
              </w:rPr>
            </w:pPr>
            <w:r w:rsidRPr="002B40C9">
              <w:rPr>
                <w:rFonts w:ascii="Calibri" w:eastAsia="Times New Roman" w:hAnsi="Calibri" w:cs="Times New Roman"/>
                <w:color w:val="000000"/>
                <w:sz w:val="16"/>
                <w:szCs w:val="16"/>
                <w:lang w:eastAsia="es-ES"/>
              </w:rPr>
              <w:t>6,653,949.25</w:t>
            </w:r>
          </w:p>
        </w:tc>
        <w:tc>
          <w:tcPr>
            <w:tcW w:w="1596" w:type="dxa"/>
            <w:tcBorders>
              <w:top w:val="nil"/>
              <w:left w:val="nil"/>
              <w:bottom w:val="nil"/>
              <w:right w:val="nil"/>
            </w:tcBorders>
            <w:shd w:val="clear" w:color="auto" w:fill="auto"/>
            <w:noWrap/>
            <w:vAlign w:val="bottom"/>
            <w:hideMark/>
          </w:tcPr>
          <w:p w:rsidR="009E2BC4" w:rsidRPr="002B40C9" w:rsidRDefault="009E2BC4" w:rsidP="009E2BC4">
            <w:pPr>
              <w:spacing w:after="0" w:line="240" w:lineRule="auto"/>
              <w:jc w:val="right"/>
              <w:rPr>
                <w:rFonts w:ascii="Calibri" w:eastAsia="Times New Roman" w:hAnsi="Calibri" w:cs="Times New Roman"/>
                <w:color w:val="000000"/>
                <w:sz w:val="16"/>
                <w:szCs w:val="16"/>
                <w:lang w:eastAsia="es-ES"/>
              </w:rPr>
            </w:pPr>
            <w:r w:rsidRPr="002B40C9">
              <w:rPr>
                <w:rFonts w:ascii="Calibri" w:eastAsia="Times New Roman" w:hAnsi="Calibri" w:cs="Times New Roman"/>
                <w:color w:val="000000"/>
                <w:sz w:val="16"/>
                <w:szCs w:val="16"/>
                <w:lang w:eastAsia="es-ES"/>
              </w:rPr>
              <w:t>6,748,559.37</w:t>
            </w:r>
          </w:p>
        </w:tc>
        <w:tc>
          <w:tcPr>
            <w:tcW w:w="1596" w:type="dxa"/>
            <w:tcBorders>
              <w:top w:val="nil"/>
              <w:left w:val="nil"/>
              <w:bottom w:val="nil"/>
              <w:right w:val="nil"/>
            </w:tcBorders>
            <w:shd w:val="clear" w:color="auto" w:fill="auto"/>
            <w:noWrap/>
            <w:vAlign w:val="bottom"/>
            <w:hideMark/>
          </w:tcPr>
          <w:p w:rsidR="009E2BC4" w:rsidRPr="002B40C9" w:rsidRDefault="009E2BC4" w:rsidP="009E2BC4">
            <w:pPr>
              <w:spacing w:after="0" w:line="240" w:lineRule="auto"/>
              <w:jc w:val="right"/>
              <w:rPr>
                <w:rFonts w:ascii="Calibri" w:eastAsia="Times New Roman" w:hAnsi="Calibri" w:cs="Times New Roman"/>
                <w:color w:val="000000"/>
                <w:sz w:val="16"/>
                <w:szCs w:val="16"/>
                <w:lang w:eastAsia="es-ES"/>
              </w:rPr>
            </w:pPr>
            <w:r w:rsidRPr="002B40C9">
              <w:rPr>
                <w:rFonts w:ascii="Calibri" w:eastAsia="Times New Roman" w:hAnsi="Calibri" w:cs="Times New Roman"/>
                <w:color w:val="000000"/>
                <w:sz w:val="16"/>
                <w:szCs w:val="16"/>
                <w:lang w:eastAsia="es-ES"/>
              </w:rPr>
              <w:t>6,669,634.97</w:t>
            </w:r>
          </w:p>
        </w:tc>
        <w:tc>
          <w:tcPr>
            <w:tcW w:w="1596" w:type="dxa"/>
            <w:tcBorders>
              <w:top w:val="nil"/>
              <w:left w:val="nil"/>
              <w:bottom w:val="nil"/>
              <w:right w:val="nil"/>
            </w:tcBorders>
            <w:shd w:val="clear" w:color="auto" w:fill="auto"/>
            <w:noWrap/>
            <w:vAlign w:val="bottom"/>
            <w:hideMark/>
          </w:tcPr>
          <w:p w:rsidR="009E2BC4" w:rsidRPr="002B40C9" w:rsidRDefault="009E2BC4" w:rsidP="009E2BC4">
            <w:pPr>
              <w:spacing w:after="0" w:line="240" w:lineRule="auto"/>
              <w:jc w:val="right"/>
              <w:rPr>
                <w:rFonts w:ascii="Calibri" w:eastAsia="Times New Roman" w:hAnsi="Calibri" w:cs="Times New Roman"/>
                <w:color w:val="000000"/>
                <w:sz w:val="16"/>
                <w:szCs w:val="16"/>
                <w:lang w:eastAsia="es-ES"/>
              </w:rPr>
            </w:pPr>
            <w:r w:rsidRPr="002B40C9">
              <w:rPr>
                <w:rFonts w:ascii="Calibri" w:eastAsia="Times New Roman" w:hAnsi="Calibri" w:cs="Times New Roman"/>
                <w:color w:val="000000"/>
                <w:sz w:val="16"/>
                <w:szCs w:val="16"/>
                <w:lang w:eastAsia="es-ES"/>
              </w:rPr>
              <w:t>7,638,089.67</w:t>
            </w:r>
          </w:p>
        </w:tc>
        <w:tc>
          <w:tcPr>
            <w:tcW w:w="1309" w:type="dxa"/>
            <w:tcBorders>
              <w:top w:val="nil"/>
              <w:left w:val="nil"/>
              <w:bottom w:val="nil"/>
              <w:right w:val="nil"/>
            </w:tcBorders>
            <w:shd w:val="clear" w:color="auto" w:fill="auto"/>
            <w:noWrap/>
            <w:vAlign w:val="bottom"/>
            <w:hideMark/>
          </w:tcPr>
          <w:p w:rsidR="009E2BC4" w:rsidRPr="002B40C9" w:rsidRDefault="009E2BC4" w:rsidP="009E2BC4">
            <w:pPr>
              <w:spacing w:after="0" w:line="240" w:lineRule="auto"/>
              <w:jc w:val="right"/>
              <w:rPr>
                <w:rFonts w:ascii="Calibri" w:eastAsia="Times New Roman" w:hAnsi="Calibri" w:cs="Times New Roman"/>
                <w:color w:val="000000"/>
                <w:sz w:val="16"/>
                <w:szCs w:val="16"/>
                <w:lang w:eastAsia="es-ES"/>
              </w:rPr>
            </w:pPr>
            <w:r w:rsidRPr="002B40C9">
              <w:rPr>
                <w:rFonts w:ascii="Calibri" w:eastAsia="Times New Roman" w:hAnsi="Calibri" w:cs="Times New Roman"/>
                <w:color w:val="000000"/>
                <w:sz w:val="16"/>
                <w:szCs w:val="16"/>
                <w:lang w:eastAsia="es-ES"/>
              </w:rPr>
              <w:t>7,405,423.45</w:t>
            </w:r>
          </w:p>
        </w:tc>
      </w:tr>
      <w:tr w:rsidR="009E2BC4" w:rsidRPr="002B40C9" w:rsidTr="009E2BC4">
        <w:trPr>
          <w:trHeight w:val="300"/>
          <w:jc w:val="center"/>
        </w:trPr>
        <w:tc>
          <w:tcPr>
            <w:tcW w:w="1421" w:type="dxa"/>
            <w:tcBorders>
              <w:top w:val="nil"/>
              <w:left w:val="nil"/>
              <w:bottom w:val="nil"/>
              <w:right w:val="nil"/>
            </w:tcBorders>
            <w:shd w:val="clear" w:color="auto" w:fill="auto"/>
            <w:noWrap/>
            <w:vAlign w:val="bottom"/>
            <w:hideMark/>
          </w:tcPr>
          <w:p w:rsidR="009E2BC4" w:rsidRPr="002B40C9" w:rsidRDefault="009E2BC4" w:rsidP="009E2BC4">
            <w:pPr>
              <w:spacing w:after="0" w:line="240" w:lineRule="auto"/>
              <w:rPr>
                <w:rFonts w:ascii="Calibri" w:eastAsia="Times New Roman" w:hAnsi="Calibri" w:cs="Times New Roman"/>
                <w:color w:val="000000"/>
                <w:sz w:val="16"/>
                <w:szCs w:val="16"/>
                <w:lang w:eastAsia="es-ES"/>
              </w:rPr>
            </w:pPr>
            <w:r w:rsidRPr="002B40C9">
              <w:rPr>
                <w:rFonts w:ascii="Calibri" w:eastAsia="Times New Roman" w:hAnsi="Calibri" w:cs="Times New Roman"/>
                <w:color w:val="000000"/>
                <w:sz w:val="16"/>
                <w:szCs w:val="16"/>
                <w:lang w:eastAsia="es-ES"/>
              </w:rPr>
              <w:t xml:space="preserve">   Non-</w:t>
            </w:r>
            <w:proofErr w:type="spellStart"/>
            <w:r w:rsidRPr="002B40C9">
              <w:rPr>
                <w:rFonts w:ascii="Calibri" w:eastAsia="Times New Roman" w:hAnsi="Calibri" w:cs="Times New Roman"/>
                <w:color w:val="000000"/>
                <w:sz w:val="16"/>
                <w:szCs w:val="16"/>
                <w:lang w:eastAsia="es-ES"/>
              </w:rPr>
              <w:t>Wages</w:t>
            </w:r>
            <w:proofErr w:type="spellEnd"/>
          </w:p>
        </w:tc>
        <w:tc>
          <w:tcPr>
            <w:tcW w:w="1391" w:type="dxa"/>
            <w:tcBorders>
              <w:top w:val="nil"/>
              <w:left w:val="nil"/>
              <w:bottom w:val="nil"/>
              <w:right w:val="nil"/>
            </w:tcBorders>
            <w:shd w:val="clear" w:color="auto" w:fill="auto"/>
            <w:noWrap/>
            <w:vAlign w:val="bottom"/>
            <w:hideMark/>
          </w:tcPr>
          <w:p w:rsidR="009E2BC4" w:rsidRPr="002B40C9" w:rsidRDefault="009E2BC4" w:rsidP="009E2BC4">
            <w:pPr>
              <w:spacing w:after="0" w:line="240" w:lineRule="auto"/>
              <w:jc w:val="right"/>
              <w:rPr>
                <w:rFonts w:ascii="Calibri" w:eastAsia="Times New Roman" w:hAnsi="Calibri" w:cs="Times New Roman"/>
                <w:color w:val="000000"/>
                <w:sz w:val="16"/>
                <w:szCs w:val="16"/>
                <w:lang w:eastAsia="es-ES"/>
              </w:rPr>
            </w:pPr>
            <w:r w:rsidRPr="002B40C9">
              <w:rPr>
                <w:rFonts w:ascii="Calibri" w:eastAsia="Times New Roman" w:hAnsi="Calibri" w:cs="Times New Roman"/>
                <w:color w:val="000000"/>
                <w:sz w:val="16"/>
                <w:szCs w:val="16"/>
                <w:lang w:eastAsia="es-ES"/>
              </w:rPr>
              <w:t>952,417.91</w:t>
            </w:r>
          </w:p>
        </w:tc>
        <w:tc>
          <w:tcPr>
            <w:tcW w:w="1596" w:type="dxa"/>
            <w:tcBorders>
              <w:top w:val="nil"/>
              <w:left w:val="nil"/>
              <w:bottom w:val="nil"/>
              <w:right w:val="nil"/>
            </w:tcBorders>
            <w:shd w:val="clear" w:color="auto" w:fill="auto"/>
            <w:noWrap/>
            <w:vAlign w:val="bottom"/>
            <w:hideMark/>
          </w:tcPr>
          <w:p w:rsidR="009E2BC4" w:rsidRPr="002B40C9" w:rsidRDefault="009E2BC4" w:rsidP="009E2BC4">
            <w:pPr>
              <w:spacing w:after="0" w:line="240" w:lineRule="auto"/>
              <w:jc w:val="right"/>
              <w:rPr>
                <w:rFonts w:ascii="Calibri" w:eastAsia="Times New Roman" w:hAnsi="Calibri" w:cs="Times New Roman"/>
                <w:color w:val="000000"/>
                <w:sz w:val="16"/>
                <w:szCs w:val="16"/>
                <w:lang w:eastAsia="es-ES"/>
              </w:rPr>
            </w:pPr>
            <w:r w:rsidRPr="002B40C9">
              <w:rPr>
                <w:rFonts w:ascii="Calibri" w:eastAsia="Times New Roman" w:hAnsi="Calibri" w:cs="Times New Roman"/>
                <w:color w:val="000000"/>
                <w:sz w:val="16"/>
                <w:szCs w:val="16"/>
                <w:lang w:eastAsia="es-ES"/>
              </w:rPr>
              <w:t>1,320,862.06</w:t>
            </w:r>
          </w:p>
        </w:tc>
        <w:tc>
          <w:tcPr>
            <w:tcW w:w="1596" w:type="dxa"/>
            <w:tcBorders>
              <w:top w:val="nil"/>
              <w:left w:val="nil"/>
              <w:bottom w:val="nil"/>
              <w:right w:val="nil"/>
            </w:tcBorders>
            <w:shd w:val="clear" w:color="auto" w:fill="auto"/>
            <w:noWrap/>
            <w:vAlign w:val="bottom"/>
            <w:hideMark/>
          </w:tcPr>
          <w:p w:rsidR="009E2BC4" w:rsidRPr="002B40C9" w:rsidRDefault="009E2BC4" w:rsidP="009E2BC4">
            <w:pPr>
              <w:spacing w:after="0" w:line="240" w:lineRule="auto"/>
              <w:jc w:val="right"/>
              <w:rPr>
                <w:rFonts w:ascii="Calibri" w:eastAsia="Times New Roman" w:hAnsi="Calibri" w:cs="Times New Roman"/>
                <w:color w:val="000000"/>
                <w:sz w:val="16"/>
                <w:szCs w:val="16"/>
                <w:lang w:eastAsia="es-ES"/>
              </w:rPr>
            </w:pPr>
            <w:r w:rsidRPr="002B40C9">
              <w:rPr>
                <w:rFonts w:ascii="Calibri" w:eastAsia="Times New Roman" w:hAnsi="Calibri" w:cs="Times New Roman"/>
                <w:color w:val="000000"/>
                <w:sz w:val="16"/>
                <w:szCs w:val="16"/>
                <w:lang w:eastAsia="es-ES"/>
              </w:rPr>
              <w:t>1,418,320.63</w:t>
            </w:r>
          </w:p>
        </w:tc>
        <w:tc>
          <w:tcPr>
            <w:tcW w:w="1596" w:type="dxa"/>
            <w:tcBorders>
              <w:top w:val="nil"/>
              <w:left w:val="nil"/>
              <w:bottom w:val="nil"/>
              <w:right w:val="nil"/>
            </w:tcBorders>
            <w:shd w:val="clear" w:color="auto" w:fill="auto"/>
            <w:noWrap/>
            <w:vAlign w:val="bottom"/>
            <w:hideMark/>
          </w:tcPr>
          <w:p w:rsidR="009E2BC4" w:rsidRPr="002B40C9" w:rsidRDefault="009E2BC4" w:rsidP="009E2BC4">
            <w:pPr>
              <w:spacing w:after="0" w:line="240" w:lineRule="auto"/>
              <w:jc w:val="right"/>
              <w:rPr>
                <w:rFonts w:ascii="Calibri" w:eastAsia="Times New Roman" w:hAnsi="Calibri" w:cs="Times New Roman"/>
                <w:color w:val="000000"/>
                <w:sz w:val="16"/>
                <w:szCs w:val="16"/>
                <w:lang w:eastAsia="es-ES"/>
              </w:rPr>
            </w:pPr>
            <w:r w:rsidRPr="002B40C9">
              <w:rPr>
                <w:rFonts w:ascii="Calibri" w:eastAsia="Times New Roman" w:hAnsi="Calibri" w:cs="Times New Roman"/>
                <w:color w:val="000000"/>
                <w:sz w:val="16"/>
                <w:szCs w:val="16"/>
                <w:lang w:eastAsia="es-ES"/>
              </w:rPr>
              <w:t>1,354,164.85</w:t>
            </w:r>
          </w:p>
        </w:tc>
        <w:tc>
          <w:tcPr>
            <w:tcW w:w="1309" w:type="dxa"/>
            <w:tcBorders>
              <w:top w:val="nil"/>
              <w:left w:val="nil"/>
              <w:bottom w:val="nil"/>
              <w:right w:val="nil"/>
            </w:tcBorders>
            <w:shd w:val="clear" w:color="auto" w:fill="auto"/>
            <w:noWrap/>
            <w:vAlign w:val="bottom"/>
            <w:hideMark/>
          </w:tcPr>
          <w:p w:rsidR="009E2BC4" w:rsidRPr="002B40C9" w:rsidRDefault="009E2BC4" w:rsidP="009E2BC4">
            <w:pPr>
              <w:spacing w:after="0" w:line="240" w:lineRule="auto"/>
              <w:jc w:val="right"/>
              <w:rPr>
                <w:rFonts w:ascii="Calibri" w:eastAsia="Times New Roman" w:hAnsi="Calibri" w:cs="Times New Roman"/>
                <w:color w:val="000000"/>
                <w:sz w:val="16"/>
                <w:szCs w:val="16"/>
                <w:lang w:eastAsia="es-ES"/>
              </w:rPr>
            </w:pPr>
            <w:r w:rsidRPr="002B40C9">
              <w:rPr>
                <w:rFonts w:ascii="Calibri" w:eastAsia="Times New Roman" w:hAnsi="Calibri" w:cs="Times New Roman"/>
                <w:color w:val="000000"/>
                <w:sz w:val="16"/>
                <w:szCs w:val="16"/>
                <w:lang w:eastAsia="es-ES"/>
              </w:rPr>
              <w:t>1,459,589.72</w:t>
            </w:r>
          </w:p>
        </w:tc>
      </w:tr>
      <w:tr w:rsidR="009E2BC4" w:rsidRPr="002B40C9" w:rsidTr="009E2BC4">
        <w:trPr>
          <w:trHeight w:val="300"/>
          <w:jc w:val="center"/>
        </w:trPr>
        <w:tc>
          <w:tcPr>
            <w:tcW w:w="1421" w:type="dxa"/>
            <w:tcBorders>
              <w:top w:val="nil"/>
              <w:left w:val="nil"/>
              <w:bottom w:val="nil"/>
              <w:right w:val="nil"/>
            </w:tcBorders>
            <w:shd w:val="clear" w:color="auto" w:fill="auto"/>
            <w:noWrap/>
            <w:vAlign w:val="bottom"/>
            <w:hideMark/>
          </w:tcPr>
          <w:p w:rsidR="009E2BC4" w:rsidRPr="002B40C9" w:rsidRDefault="009E2BC4" w:rsidP="009E2BC4">
            <w:pPr>
              <w:spacing w:after="0" w:line="240" w:lineRule="auto"/>
              <w:rPr>
                <w:rFonts w:ascii="Calibri" w:eastAsia="Times New Roman" w:hAnsi="Calibri" w:cs="Times New Roman"/>
                <w:color w:val="000000"/>
                <w:sz w:val="16"/>
                <w:szCs w:val="16"/>
                <w:lang w:eastAsia="es-ES"/>
              </w:rPr>
            </w:pPr>
            <w:r w:rsidRPr="002B40C9">
              <w:rPr>
                <w:rFonts w:ascii="Calibri" w:eastAsia="Times New Roman" w:hAnsi="Calibri" w:cs="Times New Roman"/>
                <w:color w:val="000000"/>
                <w:sz w:val="16"/>
                <w:szCs w:val="16"/>
                <w:lang w:eastAsia="es-ES"/>
              </w:rPr>
              <w:t>Capital</w:t>
            </w:r>
          </w:p>
        </w:tc>
        <w:tc>
          <w:tcPr>
            <w:tcW w:w="1391" w:type="dxa"/>
            <w:tcBorders>
              <w:top w:val="nil"/>
              <w:left w:val="nil"/>
              <w:bottom w:val="nil"/>
              <w:right w:val="nil"/>
            </w:tcBorders>
            <w:shd w:val="clear" w:color="auto" w:fill="auto"/>
            <w:noWrap/>
            <w:vAlign w:val="bottom"/>
            <w:hideMark/>
          </w:tcPr>
          <w:p w:rsidR="009E2BC4" w:rsidRPr="002B40C9" w:rsidRDefault="009E2BC4" w:rsidP="009E2BC4">
            <w:pPr>
              <w:spacing w:after="0" w:line="240" w:lineRule="auto"/>
              <w:jc w:val="right"/>
              <w:rPr>
                <w:rFonts w:ascii="Calibri" w:eastAsia="Times New Roman" w:hAnsi="Calibri" w:cs="Times New Roman"/>
                <w:color w:val="000000"/>
                <w:sz w:val="16"/>
                <w:szCs w:val="16"/>
                <w:lang w:eastAsia="es-ES"/>
              </w:rPr>
            </w:pPr>
            <w:r w:rsidRPr="002B40C9">
              <w:rPr>
                <w:rFonts w:ascii="Calibri" w:eastAsia="Times New Roman" w:hAnsi="Calibri" w:cs="Times New Roman"/>
                <w:color w:val="000000"/>
                <w:sz w:val="16"/>
                <w:szCs w:val="16"/>
                <w:lang w:eastAsia="es-ES"/>
              </w:rPr>
              <w:t>740,661.39</w:t>
            </w:r>
          </w:p>
        </w:tc>
        <w:tc>
          <w:tcPr>
            <w:tcW w:w="1596" w:type="dxa"/>
            <w:tcBorders>
              <w:top w:val="nil"/>
              <w:left w:val="nil"/>
              <w:bottom w:val="nil"/>
              <w:right w:val="nil"/>
            </w:tcBorders>
            <w:shd w:val="clear" w:color="auto" w:fill="auto"/>
            <w:noWrap/>
            <w:vAlign w:val="bottom"/>
            <w:hideMark/>
          </w:tcPr>
          <w:p w:rsidR="009E2BC4" w:rsidRPr="002B40C9" w:rsidRDefault="009E2BC4" w:rsidP="009E2BC4">
            <w:pPr>
              <w:spacing w:after="0" w:line="240" w:lineRule="auto"/>
              <w:jc w:val="right"/>
              <w:rPr>
                <w:rFonts w:ascii="Calibri" w:eastAsia="Times New Roman" w:hAnsi="Calibri" w:cs="Times New Roman"/>
                <w:color w:val="000000"/>
                <w:sz w:val="16"/>
                <w:szCs w:val="16"/>
                <w:lang w:eastAsia="es-ES"/>
              </w:rPr>
            </w:pPr>
            <w:r w:rsidRPr="002B40C9">
              <w:rPr>
                <w:rFonts w:ascii="Calibri" w:eastAsia="Times New Roman" w:hAnsi="Calibri" w:cs="Times New Roman"/>
                <w:color w:val="000000"/>
                <w:sz w:val="16"/>
                <w:szCs w:val="16"/>
                <w:lang w:eastAsia="es-ES"/>
              </w:rPr>
              <w:t>1,101,488.19</w:t>
            </w:r>
          </w:p>
        </w:tc>
        <w:tc>
          <w:tcPr>
            <w:tcW w:w="1596" w:type="dxa"/>
            <w:tcBorders>
              <w:top w:val="nil"/>
              <w:left w:val="nil"/>
              <w:bottom w:val="nil"/>
              <w:right w:val="nil"/>
            </w:tcBorders>
            <w:shd w:val="clear" w:color="auto" w:fill="auto"/>
            <w:noWrap/>
            <w:vAlign w:val="bottom"/>
            <w:hideMark/>
          </w:tcPr>
          <w:p w:rsidR="009E2BC4" w:rsidRPr="002B40C9" w:rsidRDefault="009E2BC4" w:rsidP="009E2BC4">
            <w:pPr>
              <w:spacing w:after="0" w:line="240" w:lineRule="auto"/>
              <w:jc w:val="right"/>
              <w:rPr>
                <w:rFonts w:ascii="Calibri" w:eastAsia="Times New Roman" w:hAnsi="Calibri" w:cs="Times New Roman"/>
                <w:color w:val="000000"/>
                <w:sz w:val="16"/>
                <w:szCs w:val="16"/>
                <w:lang w:eastAsia="es-ES"/>
              </w:rPr>
            </w:pPr>
            <w:r w:rsidRPr="002B40C9">
              <w:rPr>
                <w:rFonts w:ascii="Calibri" w:eastAsia="Times New Roman" w:hAnsi="Calibri" w:cs="Times New Roman"/>
                <w:color w:val="000000"/>
                <w:sz w:val="16"/>
                <w:szCs w:val="16"/>
                <w:lang w:eastAsia="es-ES"/>
              </w:rPr>
              <w:t>1,775,016.63</w:t>
            </w:r>
          </w:p>
        </w:tc>
        <w:tc>
          <w:tcPr>
            <w:tcW w:w="1596" w:type="dxa"/>
            <w:tcBorders>
              <w:top w:val="nil"/>
              <w:left w:val="nil"/>
              <w:bottom w:val="nil"/>
              <w:right w:val="nil"/>
            </w:tcBorders>
            <w:shd w:val="clear" w:color="auto" w:fill="auto"/>
            <w:noWrap/>
            <w:vAlign w:val="bottom"/>
            <w:hideMark/>
          </w:tcPr>
          <w:p w:rsidR="009E2BC4" w:rsidRPr="002B40C9" w:rsidRDefault="009E2BC4" w:rsidP="009E2BC4">
            <w:pPr>
              <w:spacing w:after="0" w:line="240" w:lineRule="auto"/>
              <w:jc w:val="right"/>
              <w:rPr>
                <w:rFonts w:ascii="Calibri" w:eastAsia="Times New Roman" w:hAnsi="Calibri" w:cs="Times New Roman"/>
                <w:color w:val="000000"/>
                <w:sz w:val="16"/>
                <w:szCs w:val="16"/>
                <w:lang w:eastAsia="es-ES"/>
              </w:rPr>
            </w:pPr>
            <w:r w:rsidRPr="002B40C9">
              <w:rPr>
                <w:rFonts w:ascii="Calibri" w:eastAsia="Times New Roman" w:hAnsi="Calibri" w:cs="Times New Roman"/>
                <w:color w:val="000000"/>
                <w:sz w:val="16"/>
                <w:szCs w:val="16"/>
                <w:lang w:eastAsia="es-ES"/>
              </w:rPr>
              <w:t>1,930,871.86</w:t>
            </w:r>
          </w:p>
        </w:tc>
        <w:tc>
          <w:tcPr>
            <w:tcW w:w="1309" w:type="dxa"/>
            <w:tcBorders>
              <w:top w:val="nil"/>
              <w:left w:val="nil"/>
              <w:bottom w:val="nil"/>
              <w:right w:val="nil"/>
            </w:tcBorders>
            <w:shd w:val="clear" w:color="auto" w:fill="auto"/>
            <w:noWrap/>
            <w:vAlign w:val="bottom"/>
            <w:hideMark/>
          </w:tcPr>
          <w:p w:rsidR="009E2BC4" w:rsidRPr="002B40C9" w:rsidRDefault="009E2BC4" w:rsidP="009E2BC4">
            <w:pPr>
              <w:spacing w:after="0" w:line="240" w:lineRule="auto"/>
              <w:jc w:val="right"/>
              <w:rPr>
                <w:rFonts w:ascii="Calibri" w:eastAsia="Times New Roman" w:hAnsi="Calibri" w:cs="Times New Roman"/>
                <w:color w:val="000000"/>
                <w:sz w:val="16"/>
                <w:szCs w:val="16"/>
                <w:lang w:eastAsia="es-ES"/>
              </w:rPr>
            </w:pPr>
            <w:r w:rsidRPr="002B40C9">
              <w:rPr>
                <w:rFonts w:ascii="Calibri" w:eastAsia="Times New Roman" w:hAnsi="Calibri" w:cs="Times New Roman"/>
                <w:color w:val="000000"/>
                <w:sz w:val="16"/>
                <w:szCs w:val="16"/>
                <w:lang w:eastAsia="es-ES"/>
              </w:rPr>
              <w:t>1,390,762.24</w:t>
            </w:r>
          </w:p>
        </w:tc>
      </w:tr>
    </w:tbl>
    <w:p w:rsidR="00E50C0E" w:rsidRDefault="00E50C0E" w:rsidP="00E50C0E">
      <w:pPr>
        <w:spacing w:after="0"/>
        <w:rPr>
          <w:sz w:val="16"/>
          <w:szCs w:val="16"/>
          <w:lang w:eastAsia="es-ES"/>
        </w:rPr>
      </w:pPr>
    </w:p>
    <w:p w:rsidR="00B54FAC" w:rsidRPr="00B54FAC" w:rsidRDefault="00B54FAC" w:rsidP="00B54FAC">
      <w:pPr>
        <w:rPr>
          <w:sz w:val="16"/>
          <w:szCs w:val="16"/>
          <w:lang w:val="en-US" w:eastAsia="es-ES"/>
        </w:rPr>
      </w:pPr>
      <w:r w:rsidRPr="00B54FAC">
        <w:rPr>
          <w:sz w:val="16"/>
          <w:szCs w:val="16"/>
          <w:lang w:val="en-US" w:eastAsia="es-ES"/>
        </w:rPr>
        <w:t>Source: M</w:t>
      </w:r>
      <w:r>
        <w:rPr>
          <w:sz w:val="16"/>
          <w:szCs w:val="16"/>
          <w:lang w:val="en-US" w:eastAsia="es-ES"/>
        </w:rPr>
        <w:t>i</w:t>
      </w:r>
      <w:r w:rsidRPr="00B54FAC">
        <w:rPr>
          <w:sz w:val="16"/>
          <w:szCs w:val="16"/>
          <w:lang w:val="en-US" w:eastAsia="es-ES"/>
        </w:rPr>
        <w:t>nistry of Economics and Finan</w:t>
      </w:r>
      <w:r>
        <w:rPr>
          <w:sz w:val="16"/>
          <w:szCs w:val="16"/>
          <w:lang w:val="en-US" w:eastAsia="es-ES"/>
        </w:rPr>
        <w:t>ce</w:t>
      </w:r>
      <w:r w:rsidRPr="00B54FAC">
        <w:rPr>
          <w:sz w:val="16"/>
          <w:szCs w:val="16"/>
          <w:lang w:val="en-US" w:eastAsia="es-ES"/>
        </w:rPr>
        <w:t xml:space="preserve"> – </w:t>
      </w:r>
      <w:proofErr w:type="spellStart"/>
      <w:r w:rsidRPr="00B54FAC">
        <w:rPr>
          <w:sz w:val="16"/>
          <w:szCs w:val="16"/>
          <w:lang w:val="en-US" w:eastAsia="es-ES"/>
        </w:rPr>
        <w:t>Transparencia</w:t>
      </w:r>
      <w:proofErr w:type="spellEnd"/>
      <w:r w:rsidRPr="00B54FAC">
        <w:rPr>
          <w:sz w:val="16"/>
          <w:szCs w:val="16"/>
          <w:lang w:val="en-US" w:eastAsia="es-ES"/>
        </w:rPr>
        <w:t xml:space="preserve"> </w:t>
      </w:r>
      <w:proofErr w:type="spellStart"/>
      <w:r w:rsidRPr="00B54FAC">
        <w:rPr>
          <w:sz w:val="16"/>
          <w:szCs w:val="16"/>
          <w:lang w:val="en-US" w:eastAsia="es-ES"/>
        </w:rPr>
        <w:t>Económica</w:t>
      </w:r>
      <w:proofErr w:type="spellEnd"/>
    </w:p>
    <w:p w:rsidR="00C14361" w:rsidRDefault="00C14361" w:rsidP="002B40C9">
      <w:pPr>
        <w:jc w:val="both"/>
        <w:rPr>
          <w:bCs/>
          <w:szCs w:val="20"/>
          <w:lang w:val="en-US"/>
        </w:rPr>
      </w:pPr>
    </w:p>
    <w:p w:rsidR="002B40C9" w:rsidRPr="001838D7" w:rsidRDefault="002B40C9" w:rsidP="002B40C9">
      <w:pPr>
        <w:jc w:val="both"/>
        <w:rPr>
          <w:bCs/>
          <w:szCs w:val="20"/>
          <w:lang w:val="en-US"/>
        </w:rPr>
      </w:pPr>
      <w:r w:rsidRPr="001C7661">
        <w:rPr>
          <w:bCs/>
          <w:szCs w:val="20"/>
          <w:lang w:val="en-US"/>
        </w:rPr>
        <w:t xml:space="preserve">When </w:t>
      </w:r>
      <w:r>
        <w:rPr>
          <w:bCs/>
          <w:szCs w:val="20"/>
          <w:lang w:val="en-US"/>
        </w:rPr>
        <w:t>one analyzes budget on</w:t>
      </w:r>
      <w:r w:rsidRPr="001C7661">
        <w:rPr>
          <w:bCs/>
          <w:szCs w:val="20"/>
          <w:lang w:val="en-US"/>
        </w:rPr>
        <w:t xml:space="preserve"> </w:t>
      </w:r>
      <w:r>
        <w:rPr>
          <w:bCs/>
          <w:szCs w:val="20"/>
          <w:lang w:val="en-US"/>
        </w:rPr>
        <w:t xml:space="preserve">detail, it turns clear the lack of clarity and overlapping and behind budget items. </w:t>
      </w:r>
      <w:r w:rsidRPr="00384DD5">
        <w:rPr>
          <w:bCs/>
          <w:szCs w:val="20"/>
          <w:lang w:val="en-US"/>
        </w:rPr>
        <w:t>As it has been specified in the Assumptions section o</w:t>
      </w:r>
      <w:r>
        <w:rPr>
          <w:bCs/>
          <w:szCs w:val="20"/>
          <w:lang w:val="en-US"/>
        </w:rPr>
        <w:t xml:space="preserve">f this document, many assumptions must be made in order to clean the data to perform program analysis. </w:t>
      </w:r>
      <w:r w:rsidRPr="00C5328F">
        <w:rPr>
          <w:bCs/>
          <w:szCs w:val="20"/>
          <w:lang w:val="en-US"/>
        </w:rPr>
        <w:t xml:space="preserve">The program budgeting analysis let </w:t>
      </w:r>
      <w:r>
        <w:rPr>
          <w:bCs/>
          <w:szCs w:val="20"/>
          <w:lang w:val="en-US"/>
        </w:rPr>
        <w:t xml:space="preserve">one </w:t>
      </w:r>
      <w:r w:rsidRPr="00C5328F">
        <w:rPr>
          <w:bCs/>
          <w:szCs w:val="20"/>
          <w:lang w:val="en-US"/>
        </w:rPr>
        <w:t>understand the weight o</w:t>
      </w:r>
      <w:r>
        <w:rPr>
          <w:bCs/>
          <w:szCs w:val="20"/>
          <w:lang w:val="en-US"/>
        </w:rPr>
        <w:t xml:space="preserve">f each of the input expenditure on the program budget. </w:t>
      </w:r>
      <w:r w:rsidRPr="001838D7">
        <w:rPr>
          <w:bCs/>
          <w:szCs w:val="20"/>
          <w:lang w:val="en-US"/>
        </w:rPr>
        <w:t>This is a relevant analysis considering that, for example, i</w:t>
      </w:r>
      <w:r>
        <w:rPr>
          <w:bCs/>
          <w:szCs w:val="20"/>
          <w:lang w:val="en-US"/>
        </w:rPr>
        <w:t>n many sectors wages are fixed costs that have an important weight on the total costs of the sector. The following bullets are some of the main conclusions obtained from the program budgeting analysis and other linked issues currently on debate that must be mentioned to better understand the budget process and education sector performance:</w:t>
      </w:r>
    </w:p>
    <w:p w:rsidR="002B40C9" w:rsidRPr="002B40C9" w:rsidRDefault="002B40C9" w:rsidP="002B40C9">
      <w:pPr>
        <w:pStyle w:val="ListParagraph"/>
        <w:numPr>
          <w:ilvl w:val="0"/>
          <w:numId w:val="5"/>
        </w:numPr>
        <w:jc w:val="both"/>
        <w:rPr>
          <w:rFonts w:ascii="Calibri" w:eastAsia="Calibri" w:hAnsi="Calibri" w:cs="Times New Roman"/>
          <w:lang w:val="en-US"/>
        </w:rPr>
      </w:pPr>
      <w:r w:rsidRPr="00A36F03">
        <w:rPr>
          <w:i/>
          <w:lang w:val="en-US"/>
        </w:rPr>
        <w:t>Wages lead the Education budget</w:t>
      </w:r>
      <w:r w:rsidRPr="00A36F03">
        <w:rPr>
          <w:bCs/>
          <w:i/>
          <w:lang w:val="en-US"/>
        </w:rPr>
        <w:t xml:space="preserve">. </w:t>
      </w:r>
      <w:r w:rsidRPr="002A4DAE">
        <w:rPr>
          <w:bCs/>
          <w:lang w:val="en-US"/>
        </w:rPr>
        <w:t xml:space="preserve">As Crouch (2006) and Alvarado </w:t>
      </w:r>
      <w:r>
        <w:rPr>
          <w:bCs/>
          <w:lang w:val="en-US"/>
        </w:rPr>
        <w:t>and</w:t>
      </w:r>
      <w:r w:rsidRPr="002A4DAE">
        <w:rPr>
          <w:bCs/>
          <w:lang w:val="en-US"/>
        </w:rPr>
        <w:t xml:space="preserve"> </w:t>
      </w:r>
      <w:proofErr w:type="spellStart"/>
      <w:r w:rsidRPr="002A4DAE">
        <w:rPr>
          <w:bCs/>
          <w:lang w:val="en-US"/>
        </w:rPr>
        <w:t>Morón</w:t>
      </w:r>
      <w:proofErr w:type="spellEnd"/>
      <w:r w:rsidRPr="002A4DAE">
        <w:rPr>
          <w:bCs/>
          <w:lang w:val="en-US"/>
        </w:rPr>
        <w:t xml:space="preserve"> (2008) claim, </w:t>
      </w:r>
      <w:r>
        <w:rPr>
          <w:bCs/>
          <w:lang w:val="en-US"/>
        </w:rPr>
        <w:t>Education budget have been absorbed basically by teacher’s wages. Wages have inflated budget due to the salary raise as well as the reduction of the student/teacher ratio. Crouch (2006) compared those countries that were ranked at the top of PISA evaluation and concluded that salary spending should represent 65% or 70% of total expenditure and current expenses should be a maximum of 89%. Actually, this last point should be analyzed again for the Peruvian case, considering that there is still an infrastructure (investment) deficit in some areas of the country (mostly rural). In Peru, current expenses are 80% of total expenditure in Education sector and wages represent 82.42% of current expenditure, which means 67.61% of total expenses.</w:t>
      </w:r>
    </w:p>
    <w:p w:rsidR="002B40C9" w:rsidRPr="008A4ECF" w:rsidRDefault="002B40C9" w:rsidP="002B40C9">
      <w:pPr>
        <w:pStyle w:val="ListParagraph"/>
        <w:numPr>
          <w:ilvl w:val="0"/>
          <w:numId w:val="5"/>
        </w:numPr>
        <w:jc w:val="both"/>
        <w:rPr>
          <w:rFonts w:ascii="Calibri" w:eastAsia="Calibri" w:hAnsi="Calibri" w:cs="Times New Roman"/>
          <w:lang w:val="en-US"/>
        </w:rPr>
      </w:pPr>
      <w:r w:rsidRPr="008A4ECF">
        <w:rPr>
          <w:rFonts w:ascii="Calibri" w:eastAsia="Calibri" w:hAnsi="Calibri" w:cs="Times New Roman"/>
          <w:lang w:val="en-US"/>
        </w:rPr>
        <w:t xml:space="preserve">Although wages lead Education budget, Capital is the item that has increased faster, </w:t>
      </w:r>
      <w:r>
        <w:rPr>
          <w:rFonts w:ascii="Calibri" w:eastAsia="Calibri" w:hAnsi="Calibri" w:cs="Times New Roman"/>
          <w:lang w:val="en-US"/>
        </w:rPr>
        <w:t>in</w:t>
      </w:r>
      <w:r w:rsidRPr="008A4ECF">
        <w:rPr>
          <w:rFonts w:ascii="Calibri" w:eastAsia="Calibri" w:hAnsi="Calibri" w:cs="Times New Roman"/>
          <w:lang w:val="en-US"/>
        </w:rPr>
        <w:t xml:space="preserve"> 2009 </w:t>
      </w:r>
      <w:r>
        <w:rPr>
          <w:rFonts w:ascii="Calibri" w:eastAsia="Calibri" w:hAnsi="Calibri" w:cs="Times New Roman"/>
          <w:lang w:val="en-US"/>
        </w:rPr>
        <w:t xml:space="preserve">it reached </w:t>
      </w:r>
      <w:r w:rsidRPr="008A4ECF">
        <w:rPr>
          <w:rFonts w:ascii="Calibri" w:eastAsia="Calibri" w:hAnsi="Calibri" w:cs="Times New Roman"/>
          <w:lang w:val="en-US"/>
        </w:rPr>
        <w:t xml:space="preserve">almost three times the 2006 capital budget for the case of Preschool and four times for Primary school. This may be explained for the countercyclical policy implemented to counteract the international economic recession. Other Education Capital investment has also increased considerably, at an annual average of 80% (see Appendix A.2). In general, Primary is the level that has </w:t>
      </w:r>
      <w:r>
        <w:rPr>
          <w:rFonts w:ascii="Calibri" w:eastAsia="Calibri" w:hAnsi="Calibri" w:cs="Times New Roman"/>
          <w:lang w:val="en-US"/>
        </w:rPr>
        <w:t>the higher increase (</w:t>
      </w:r>
      <w:r w:rsidRPr="008A4ECF">
        <w:rPr>
          <w:rFonts w:ascii="Calibri" w:eastAsia="Calibri" w:hAnsi="Calibri" w:cs="Times New Roman"/>
          <w:lang w:val="en-US"/>
        </w:rPr>
        <w:t xml:space="preserve">an annual average rate of 13.38% for three years). In contrast, it was found that the Non-wage item (goods and services, basically) has decreased </w:t>
      </w:r>
      <w:r w:rsidRPr="008A4ECF">
        <w:rPr>
          <w:rFonts w:ascii="Calibri" w:eastAsia="Calibri" w:hAnsi="Calibri" w:cs="Times New Roman"/>
          <w:lang w:val="en-US"/>
        </w:rPr>
        <w:lastRenderedPageBreak/>
        <w:t>comparing with 2006, at an annual average of -7.93% for Preschool and -5.64% for Ministerial and Regional Administration</w:t>
      </w:r>
      <w:r w:rsidRPr="008A4ECF">
        <w:rPr>
          <w:rStyle w:val="FootnoteReference"/>
          <w:rFonts w:ascii="Calibri" w:eastAsia="Calibri" w:hAnsi="Calibri" w:cs="Times New Roman"/>
          <w:lang w:val="en-US"/>
        </w:rPr>
        <w:footnoteReference w:id="6"/>
      </w:r>
      <w:r w:rsidRPr="008A4ECF">
        <w:rPr>
          <w:rFonts w:ascii="Calibri" w:eastAsia="Calibri" w:hAnsi="Calibri" w:cs="Times New Roman"/>
          <w:lang w:val="en-US"/>
        </w:rPr>
        <w:t>.</w:t>
      </w:r>
    </w:p>
    <w:p w:rsidR="00E50C0E" w:rsidRPr="00B54FAC" w:rsidRDefault="00E50C0E" w:rsidP="00E50C0E">
      <w:pPr>
        <w:spacing w:after="0"/>
        <w:rPr>
          <w:sz w:val="16"/>
          <w:szCs w:val="16"/>
          <w:lang w:val="en-US" w:eastAsia="es-ES"/>
        </w:rPr>
      </w:pPr>
    </w:p>
    <w:p w:rsidR="00487FEC" w:rsidRPr="00E50C0E" w:rsidRDefault="00E50C0E" w:rsidP="00140865">
      <w:pPr>
        <w:pStyle w:val="Caption"/>
        <w:spacing w:after="0" w:line="276" w:lineRule="auto"/>
        <w:jc w:val="center"/>
        <w:rPr>
          <w:rFonts w:eastAsia="Times New Roman"/>
          <w:sz w:val="22"/>
          <w:szCs w:val="22"/>
          <w:lang w:val="en-US" w:eastAsia="es-ES"/>
        </w:rPr>
      </w:pPr>
      <w:r w:rsidRPr="00E50C0E">
        <w:rPr>
          <w:sz w:val="22"/>
          <w:szCs w:val="22"/>
          <w:lang w:val="en-US"/>
        </w:rPr>
        <w:t>Table 7</w:t>
      </w:r>
      <w:r w:rsidR="009E11BA" w:rsidRPr="00E50C0E">
        <w:rPr>
          <w:sz w:val="22"/>
          <w:szCs w:val="22"/>
          <w:lang w:val="en-US"/>
        </w:rPr>
        <w:t xml:space="preserve">: Recurrent and capital spending by sector, </w:t>
      </w:r>
      <w:r w:rsidR="00140865">
        <w:rPr>
          <w:sz w:val="22"/>
          <w:szCs w:val="22"/>
          <w:lang w:val="en-US"/>
        </w:rPr>
        <w:t xml:space="preserve">percentage </w:t>
      </w:r>
    </w:p>
    <w:tbl>
      <w:tblPr>
        <w:tblW w:w="7711" w:type="dxa"/>
        <w:jc w:val="center"/>
        <w:tblInd w:w="70" w:type="dxa"/>
        <w:tblCellMar>
          <w:left w:w="70" w:type="dxa"/>
          <w:right w:w="70" w:type="dxa"/>
        </w:tblCellMar>
        <w:tblLook w:val="04A0"/>
      </w:tblPr>
      <w:tblGrid>
        <w:gridCol w:w="1531"/>
        <w:gridCol w:w="884"/>
        <w:gridCol w:w="1197"/>
        <w:gridCol w:w="1196"/>
        <w:gridCol w:w="1653"/>
        <w:gridCol w:w="1250"/>
      </w:tblGrid>
      <w:tr w:rsidR="00140865" w:rsidRPr="002B40C9" w:rsidTr="00140865">
        <w:trPr>
          <w:trHeight w:val="660"/>
          <w:jc w:val="center"/>
        </w:trPr>
        <w:tc>
          <w:tcPr>
            <w:tcW w:w="1531" w:type="dxa"/>
            <w:tcBorders>
              <w:top w:val="nil"/>
              <w:left w:val="nil"/>
              <w:bottom w:val="nil"/>
              <w:right w:val="nil"/>
            </w:tcBorders>
            <w:shd w:val="clear" w:color="000000" w:fill="B2A1C7"/>
            <w:noWrap/>
            <w:vAlign w:val="bottom"/>
            <w:hideMark/>
          </w:tcPr>
          <w:p w:rsidR="00140865" w:rsidRPr="002B40C9" w:rsidRDefault="00140865" w:rsidP="00140865">
            <w:pPr>
              <w:spacing w:after="0" w:line="240" w:lineRule="auto"/>
              <w:rPr>
                <w:rFonts w:ascii="Calibri" w:eastAsia="Times New Roman" w:hAnsi="Calibri" w:cs="Times New Roman"/>
                <w:color w:val="000000"/>
                <w:sz w:val="16"/>
                <w:szCs w:val="16"/>
                <w:lang w:val="en-US" w:eastAsia="es-ES"/>
              </w:rPr>
            </w:pPr>
            <w:r w:rsidRPr="002B40C9">
              <w:rPr>
                <w:rFonts w:ascii="Calibri" w:eastAsia="Times New Roman" w:hAnsi="Calibri" w:cs="Times New Roman"/>
                <w:color w:val="000000"/>
                <w:sz w:val="16"/>
                <w:szCs w:val="16"/>
                <w:lang w:val="en-US" w:eastAsia="es-ES"/>
              </w:rPr>
              <w:t> </w:t>
            </w:r>
          </w:p>
        </w:tc>
        <w:tc>
          <w:tcPr>
            <w:tcW w:w="884" w:type="dxa"/>
            <w:tcBorders>
              <w:top w:val="nil"/>
              <w:left w:val="nil"/>
              <w:bottom w:val="nil"/>
              <w:right w:val="nil"/>
            </w:tcBorders>
            <w:shd w:val="clear" w:color="000000" w:fill="B2A1C7"/>
            <w:vAlign w:val="center"/>
            <w:hideMark/>
          </w:tcPr>
          <w:p w:rsidR="00140865" w:rsidRPr="002B40C9" w:rsidRDefault="00140865" w:rsidP="00140865">
            <w:pPr>
              <w:spacing w:after="0" w:line="240" w:lineRule="auto"/>
              <w:jc w:val="center"/>
              <w:rPr>
                <w:rFonts w:ascii="Calibri" w:eastAsia="Times New Roman" w:hAnsi="Calibri" w:cs="Times New Roman"/>
                <w:b/>
                <w:bCs/>
                <w:color w:val="000000"/>
                <w:sz w:val="16"/>
                <w:szCs w:val="16"/>
                <w:lang w:eastAsia="es-ES"/>
              </w:rPr>
            </w:pPr>
            <w:r w:rsidRPr="002B40C9">
              <w:rPr>
                <w:rFonts w:ascii="Calibri" w:eastAsia="Times New Roman" w:hAnsi="Calibri" w:cs="Times New Roman"/>
                <w:b/>
                <w:bCs/>
                <w:color w:val="000000"/>
                <w:sz w:val="16"/>
                <w:szCs w:val="16"/>
                <w:lang w:eastAsia="es-ES"/>
              </w:rPr>
              <w:t>2006</w:t>
            </w:r>
          </w:p>
        </w:tc>
        <w:tc>
          <w:tcPr>
            <w:tcW w:w="1197" w:type="dxa"/>
            <w:tcBorders>
              <w:top w:val="nil"/>
              <w:left w:val="nil"/>
              <w:bottom w:val="nil"/>
              <w:right w:val="nil"/>
            </w:tcBorders>
            <w:shd w:val="clear" w:color="000000" w:fill="B2A1C7"/>
            <w:vAlign w:val="center"/>
            <w:hideMark/>
          </w:tcPr>
          <w:p w:rsidR="00140865" w:rsidRPr="002B40C9" w:rsidRDefault="00140865" w:rsidP="00140865">
            <w:pPr>
              <w:spacing w:after="0" w:line="240" w:lineRule="auto"/>
              <w:jc w:val="center"/>
              <w:rPr>
                <w:rFonts w:ascii="Calibri" w:eastAsia="Times New Roman" w:hAnsi="Calibri" w:cs="Times New Roman"/>
                <w:b/>
                <w:bCs/>
                <w:color w:val="000000"/>
                <w:sz w:val="16"/>
                <w:szCs w:val="16"/>
                <w:lang w:eastAsia="es-ES"/>
              </w:rPr>
            </w:pPr>
            <w:r w:rsidRPr="002B40C9">
              <w:rPr>
                <w:rFonts w:ascii="Calibri" w:eastAsia="Times New Roman" w:hAnsi="Calibri" w:cs="Times New Roman"/>
                <w:b/>
                <w:bCs/>
                <w:color w:val="000000"/>
                <w:sz w:val="16"/>
                <w:szCs w:val="16"/>
                <w:lang w:eastAsia="es-ES"/>
              </w:rPr>
              <w:t>2007</w:t>
            </w:r>
          </w:p>
        </w:tc>
        <w:tc>
          <w:tcPr>
            <w:tcW w:w="1196" w:type="dxa"/>
            <w:tcBorders>
              <w:top w:val="nil"/>
              <w:left w:val="nil"/>
              <w:bottom w:val="nil"/>
              <w:right w:val="nil"/>
            </w:tcBorders>
            <w:shd w:val="clear" w:color="000000" w:fill="B2A1C7"/>
            <w:vAlign w:val="center"/>
            <w:hideMark/>
          </w:tcPr>
          <w:p w:rsidR="00140865" w:rsidRPr="002B40C9" w:rsidRDefault="00140865" w:rsidP="00140865">
            <w:pPr>
              <w:spacing w:after="0" w:line="240" w:lineRule="auto"/>
              <w:jc w:val="center"/>
              <w:rPr>
                <w:rFonts w:ascii="Calibri" w:eastAsia="Times New Roman" w:hAnsi="Calibri" w:cs="Times New Roman"/>
                <w:b/>
                <w:bCs/>
                <w:color w:val="000000"/>
                <w:sz w:val="16"/>
                <w:szCs w:val="16"/>
                <w:lang w:eastAsia="es-ES"/>
              </w:rPr>
            </w:pPr>
            <w:r w:rsidRPr="002B40C9">
              <w:rPr>
                <w:rFonts w:ascii="Calibri" w:eastAsia="Times New Roman" w:hAnsi="Calibri" w:cs="Times New Roman"/>
                <w:b/>
                <w:bCs/>
                <w:color w:val="000000"/>
                <w:sz w:val="16"/>
                <w:szCs w:val="16"/>
                <w:lang w:eastAsia="es-ES"/>
              </w:rPr>
              <w:t>2008</w:t>
            </w:r>
          </w:p>
        </w:tc>
        <w:tc>
          <w:tcPr>
            <w:tcW w:w="1653" w:type="dxa"/>
            <w:tcBorders>
              <w:top w:val="nil"/>
              <w:left w:val="nil"/>
              <w:bottom w:val="nil"/>
              <w:right w:val="nil"/>
            </w:tcBorders>
            <w:shd w:val="clear" w:color="000000" w:fill="B2A1C7"/>
            <w:vAlign w:val="center"/>
            <w:hideMark/>
          </w:tcPr>
          <w:p w:rsidR="00140865" w:rsidRPr="002B40C9" w:rsidRDefault="00140865" w:rsidP="00140865">
            <w:pPr>
              <w:spacing w:after="0" w:line="240" w:lineRule="auto"/>
              <w:jc w:val="center"/>
              <w:rPr>
                <w:rFonts w:ascii="Calibri" w:eastAsia="Times New Roman" w:hAnsi="Calibri" w:cs="Times New Roman"/>
                <w:b/>
                <w:bCs/>
                <w:color w:val="000000"/>
                <w:sz w:val="16"/>
                <w:szCs w:val="16"/>
                <w:lang w:eastAsia="es-ES"/>
              </w:rPr>
            </w:pPr>
            <w:r w:rsidRPr="002B40C9">
              <w:rPr>
                <w:rFonts w:ascii="Calibri" w:eastAsia="Times New Roman" w:hAnsi="Calibri" w:cs="Times New Roman"/>
                <w:b/>
                <w:bCs/>
                <w:color w:val="000000"/>
                <w:sz w:val="16"/>
                <w:szCs w:val="16"/>
                <w:lang w:eastAsia="es-ES"/>
              </w:rPr>
              <w:t>2009</w:t>
            </w:r>
          </w:p>
        </w:tc>
        <w:tc>
          <w:tcPr>
            <w:tcW w:w="1250" w:type="dxa"/>
            <w:tcBorders>
              <w:top w:val="nil"/>
              <w:left w:val="nil"/>
              <w:bottom w:val="nil"/>
              <w:right w:val="nil"/>
            </w:tcBorders>
            <w:shd w:val="clear" w:color="000000" w:fill="B2A1C7"/>
            <w:vAlign w:val="center"/>
            <w:hideMark/>
          </w:tcPr>
          <w:p w:rsidR="00140865" w:rsidRPr="002B40C9" w:rsidRDefault="00140865" w:rsidP="00140865">
            <w:pPr>
              <w:spacing w:after="0" w:line="240" w:lineRule="auto"/>
              <w:jc w:val="center"/>
              <w:rPr>
                <w:rFonts w:ascii="Calibri" w:eastAsia="Times New Roman" w:hAnsi="Calibri" w:cs="Times New Roman"/>
                <w:b/>
                <w:bCs/>
                <w:color w:val="000000"/>
                <w:sz w:val="16"/>
                <w:szCs w:val="16"/>
                <w:lang w:eastAsia="es-ES"/>
              </w:rPr>
            </w:pPr>
            <w:r w:rsidRPr="002B40C9">
              <w:rPr>
                <w:rFonts w:ascii="Calibri" w:eastAsia="Times New Roman" w:hAnsi="Calibri" w:cs="Times New Roman"/>
                <w:b/>
                <w:bCs/>
                <w:color w:val="000000"/>
                <w:sz w:val="16"/>
                <w:szCs w:val="16"/>
                <w:lang w:eastAsia="es-ES"/>
              </w:rPr>
              <w:t>2010 (</w:t>
            </w:r>
            <w:proofErr w:type="spellStart"/>
            <w:r w:rsidRPr="002B40C9">
              <w:rPr>
                <w:rFonts w:ascii="Calibri" w:eastAsia="Times New Roman" w:hAnsi="Calibri" w:cs="Times New Roman"/>
                <w:b/>
                <w:bCs/>
                <w:color w:val="000000"/>
                <w:sz w:val="16"/>
                <w:szCs w:val="16"/>
                <w:lang w:eastAsia="es-ES"/>
              </w:rPr>
              <w:t>Budgeted</w:t>
            </w:r>
            <w:proofErr w:type="spellEnd"/>
            <w:r w:rsidRPr="002B40C9">
              <w:rPr>
                <w:rFonts w:ascii="Calibri" w:eastAsia="Times New Roman" w:hAnsi="Calibri" w:cs="Times New Roman"/>
                <w:b/>
                <w:bCs/>
                <w:color w:val="000000"/>
                <w:sz w:val="16"/>
                <w:szCs w:val="16"/>
                <w:lang w:eastAsia="es-ES"/>
              </w:rPr>
              <w:t>)</w:t>
            </w:r>
          </w:p>
        </w:tc>
      </w:tr>
      <w:tr w:rsidR="00140865" w:rsidRPr="002B40C9" w:rsidTr="00140865">
        <w:trPr>
          <w:trHeight w:val="315"/>
          <w:jc w:val="center"/>
        </w:trPr>
        <w:tc>
          <w:tcPr>
            <w:tcW w:w="3612" w:type="dxa"/>
            <w:gridSpan w:val="3"/>
            <w:tcBorders>
              <w:top w:val="nil"/>
              <w:left w:val="nil"/>
              <w:bottom w:val="nil"/>
              <w:right w:val="nil"/>
            </w:tcBorders>
            <w:shd w:val="clear" w:color="000000" w:fill="CCCCFF"/>
            <w:noWrap/>
            <w:vAlign w:val="bottom"/>
            <w:hideMark/>
          </w:tcPr>
          <w:p w:rsidR="00140865" w:rsidRPr="002B40C9" w:rsidRDefault="00140865" w:rsidP="00140865">
            <w:pPr>
              <w:spacing w:after="0" w:line="240" w:lineRule="auto"/>
              <w:rPr>
                <w:rFonts w:ascii="Calibri" w:eastAsia="Times New Roman" w:hAnsi="Calibri" w:cs="Times New Roman"/>
                <w:b/>
                <w:bCs/>
                <w:color w:val="000000"/>
                <w:sz w:val="16"/>
                <w:szCs w:val="16"/>
                <w:lang w:eastAsia="es-ES"/>
              </w:rPr>
            </w:pPr>
            <w:r w:rsidRPr="002B40C9">
              <w:rPr>
                <w:rFonts w:ascii="Calibri" w:eastAsia="Times New Roman" w:hAnsi="Calibri" w:cs="Times New Roman"/>
                <w:b/>
                <w:bCs/>
                <w:color w:val="000000"/>
                <w:sz w:val="16"/>
                <w:szCs w:val="16"/>
                <w:lang w:eastAsia="es-ES"/>
              </w:rPr>
              <w:t xml:space="preserve">TOTAL </w:t>
            </w:r>
            <w:proofErr w:type="spellStart"/>
            <w:r w:rsidRPr="002B40C9">
              <w:rPr>
                <w:rFonts w:ascii="Calibri" w:eastAsia="Times New Roman" w:hAnsi="Calibri" w:cs="Times New Roman"/>
                <w:b/>
                <w:bCs/>
                <w:color w:val="000000"/>
                <w:sz w:val="16"/>
                <w:szCs w:val="16"/>
                <w:lang w:eastAsia="es-ES"/>
              </w:rPr>
              <w:t>Education</w:t>
            </w:r>
            <w:proofErr w:type="spellEnd"/>
            <w:r w:rsidRPr="002B40C9">
              <w:rPr>
                <w:rFonts w:ascii="Calibri" w:eastAsia="Times New Roman" w:hAnsi="Calibri" w:cs="Times New Roman"/>
                <w:b/>
                <w:bCs/>
                <w:color w:val="000000"/>
                <w:sz w:val="16"/>
                <w:szCs w:val="16"/>
                <w:lang w:eastAsia="es-ES"/>
              </w:rPr>
              <w:t xml:space="preserve"> </w:t>
            </w:r>
            <w:proofErr w:type="spellStart"/>
            <w:r w:rsidRPr="002B40C9">
              <w:rPr>
                <w:rFonts w:ascii="Calibri" w:eastAsia="Times New Roman" w:hAnsi="Calibri" w:cs="Times New Roman"/>
                <w:b/>
                <w:bCs/>
                <w:color w:val="000000"/>
                <w:sz w:val="16"/>
                <w:szCs w:val="16"/>
                <w:lang w:eastAsia="es-ES"/>
              </w:rPr>
              <w:t>Expenditures</w:t>
            </w:r>
            <w:proofErr w:type="spellEnd"/>
          </w:p>
        </w:tc>
        <w:tc>
          <w:tcPr>
            <w:tcW w:w="1196" w:type="dxa"/>
            <w:tcBorders>
              <w:top w:val="nil"/>
              <w:left w:val="nil"/>
              <w:bottom w:val="nil"/>
              <w:right w:val="nil"/>
            </w:tcBorders>
            <w:shd w:val="clear" w:color="000000" w:fill="CCCCFF"/>
            <w:noWrap/>
            <w:vAlign w:val="bottom"/>
            <w:hideMark/>
          </w:tcPr>
          <w:p w:rsidR="00140865" w:rsidRPr="002B40C9" w:rsidRDefault="00140865" w:rsidP="00140865">
            <w:pPr>
              <w:spacing w:after="0" w:line="240" w:lineRule="auto"/>
              <w:rPr>
                <w:rFonts w:ascii="Calibri" w:eastAsia="Times New Roman" w:hAnsi="Calibri" w:cs="Times New Roman"/>
                <w:color w:val="000000"/>
                <w:sz w:val="16"/>
                <w:szCs w:val="16"/>
                <w:lang w:eastAsia="es-ES"/>
              </w:rPr>
            </w:pPr>
            <w:r w:rsidRPr="002B40C9">
              <w:rPr>
                <w:rFonts w:ascii="Calibri" w:eastAsia="Times New Roman" w:hAnsi="Calibri" w:cs="Times New Roman"/>
                <w:color w:val="000000"/>
                <w:sz w:val="16"/>
                <w:szCs w:val="16"/>
                <w:lang w:eastAsia="es-ES"/>
              </w:rPr>
              <w:t> </w:t>
            </w:r>
          </w:p>
        </w:tc>
        <w:tc>
          <w:tcPr>
            <w:tcW w:w="1653" w:type="dxa"/>
            <w:tcBorders>
              <w:top w:val="nil"/>
              <w:left w:val="nil"/>
              <w:bottom w:val="nil"/>
              <w:right w:val="nil"/>
            </w:tcBorders>
            <w:shd w:val="clear" w:color="000000" w:fill="CCCCFF"/>
            <w:noWrap/>
            <w:vAlign w:val="bottom"/>
            <w:hideMark/>
          </w:tcPr>
          <w:p w:rsidR="00140865" w:rsidRPr="002B40C9" w:rsidRDefault="00140865" w:rsidP="00140865">
            <w:pPr>
              <w:spacing w:after="0" w:line="240" w:lineRule="auto"/>
              <w:rPr>
                <w:rFonts w:ascii="Calibri" w:eastAsia="Times New Roman" w:hAnsi="Calibri" w:cs="Times New Roman"/>
                <w:color w:val="000000"/>
                <w:sz w:val="16"/>
                <w:szCs w:val="16"/>
                <w:lang w:eastAsia="es-ES"/>
              </w:rPr>
            </w:pPr>
            <w:r w:rsidRPr="002B40C9">
              <w:rPr>
                <w:rFonts w:ascii="Calibri" w:eastAsia="Times New Roman" w:hAnsi="Calibri" w:cs="Times New Roman"/>
                <w:color w:val="000000"/>
                <w:sz w:val="16"/>
                <w:szCs w:val="16"/>
                <w:lang w:eastAsia="es-ES"/>
              </w:rPr>
              <w:t> </w:t>
            </w:r>
          </w:p>
        </w:tc>
        <w:tc>
          <w:tcPr>
            <w:tcW w:w="1250" w:type="dxa"/>
            <w:tcBorders>
              <w:top w:val="nil"/>
              <w:left w:val="nil"/>
              <w:bottom w:val="nil"/>
              <w:right w:val="nil"/>
            </w:tcBorders>
            <w:shd w:val="clear" w:color="000000" w:fill="CCCCFF"/>
            <w:noWrap/>
            <w:vAlign w:val="bottom"/>
            <w:hideMark/>
          </w:tcPr>
          <w:p w:rsidR="00140865" w:rsidRPr="002B40C9" w:rsidRDefault="00140865" w:rsidP="00140865">
            <w:pPr>
              <w:spacing w:after="0" w:line="240" w:lineRule="auto"/>
              <w:rPr>
                <w:rFonts w:ascii="Calibri" w:eastAsia="Times New Roman" w:hAnsi="Calibri" w:cs="Times New Roman"/>
                <w:color w:val="000000"/>
                <w:sz w:val="16"/>
                <w:szCs w:val="16"/>
                <w:lang w:eastAsia="es-ES"/>
              </w:rPr>
            </w:pPr>
            <w:r w:rsidRPr="002B40C9">
              <w:rPr>
                <w:rFonts w:ascii="Calibri" w:eastAsia="Times New Roman" w:hAnsi="Calibri" w:cs="Times New Roman"/>
                <w:color w:val="000000"/>
                <w:sz w:val="16"/>
                <w:szCs w:val="16"/>
                <w:lang w:eastAsia="es-ES"/>
              </w:rPr>
              <w:t> </w:t>
            </w:r>
          </w:p>
        </w:tc>
      </w:tr>
      <w:tr w:rsidR="00140865" w:rsidRPr="002B40C9" w:rsidTr="00140865">
        <w:trPr>
          <w:trHeight w:val="300"/>
          <w:jc w:val="center"/>
        </w:trPr>
        <w:tc>
          <w:tcPr>
            <w:tcW w:w="1531" w:type="dxa"/>
            <w:tcBorders>
              <w:top w:val="nil"/>
              <w:left w:val="nil"/>
              <w:bottom w:val="nil"/>
              <w:right w:val="nil"/>
            </w:tcBorders>
            <w:shd w:val="clear" w:color="auto" w:fill="auto"/>
            <w:noWrap/>
            <w:vAlign w:val="bottom"/>
            <w:hideMark/>
          </w:tcPr>
          <w:p w:rsidR="00140865" w:rsidRPr="002B40C9" w:rsidRDefault="00140865" w:rsidP="00140865">
            <w:pPr>
              <w:spacing w:after="0" w:line="240" w:lineRule="auto"/>
              <w:rPr>
                <w:rFonts w:ascii="Calibri" w:eastAsia="Times New Roman" w:hAnsi="Calibri" w:cs="Times New Roman"/>
                <w:color w:val="000000"/>
                <w:sz w:val="16"/>
                <w:szCs w:val="16"/>
                <w:lang w:eastAsia="es-ES"/>
              </w:rPr>
            </w:pPr>
            <w:r w:rsidRPr="002B40C9">
              <w:rPr>
                <w:rFonts w:ascii="Calibri" w:eastAsia="Times New Roman" w:hAnsi="Calibri" w:cs="Times New Roman"/>
                <w:color w:val="000000"/>
                <w:sz w:val="16"/>
                <w:szCs w:val="16"/>
                <w:lang w:eastAsia="es-ES"/>
              </w:rPr>
              <w:t>% Total</w:t>
            </w:r>
          </w:p>
        </w:tc>
        <w:tc>
          <w:tcPr>
            <w:tcW w:w="884" w:type="dxa"/>
            <w:tcBorders>
              <w:top w:val="nil"/>
              <w:left w:val="nil"/>
              <w:bottom w:val="nil"/>
              <w:right w:val="nil"/>
            </w:tcBorders>
            <w:shd w:val="clear" w:color="auto" w:fill="auto"/>
            <w:noWrap/>
            <w:vAlign w:val="bottom"/>
            <w:hideMark/>
          </w:tcPr>
          <w:p w:rsidR="00140865" w:rsidRPr="002B40C9" w:rsidRDefault="00140865" w:rsidP="00140865">
            <w:pPr>
              <w:spacing w:after="0" w:line="240" w:lineRule="auto"/>
              <w:rPr>
                <w:rFonts w:ascii="Calibri" w:eastAsia="Times New Roman" w:hAnsi="Calibri" w:cs="Times New Roman"/>
                <w:color w:val="000000"/>
                <w:sz w:val="16"/>
                <w:szCs w:val="16"/>
                <w:lang w:eastAsia="es-ES"/>
              </w:rPr>
            </w:pPr>
          </w:p>
        </w:tc>
        <w:tc>
          <w:tcPr>
            <w:tcW w:w="1197" w:type="dxa"/>
            <w:tcBorders>
              <w:top w:val="nil"/>
              <w:left w:val="nil"/>
              <w:bottom w:val="nil"/>
              <w:right w:val="nil"/>
            </w:tcBorders>
            <w:shd w:val="clear" w:color="auto" w:fill="auto"/>
            <w:noWrap/>
            <w:vAlign w:val="bottom"/>
            <w:hideMark/>
          </w:tcPr>
          <w:p w:rsidR="00140865" w:rsidRPr="002B40C9" w:rsidRDefault="00140865" w:rsidP="00140865">
            <w:pPr>
              <w:spacing w:after="0" w:line="240" w:lineRule="auto"/>
              <w:rPr>
                <w:rFonts w:ascii="Calibri" w:eastAsia="Times New Roman" w:hAnsi="Calibri" w:cs="Times New Roman"/>
                <w:color w:val="000000"/>
                <w:sz w:val="16"/>
                <w:szCs w:val="16"/>
                <w:lang w:eastAsia="es-ES"/>
              </w:rPr>
            </w:pPr>
          </w:p>
        </w:tc>
        <w:tc>
          <w:tcPr>
            <w:tcW w:w="1196" w:type="dxa"/>
            <w:tcBorders>
              <w:top w:val="nil"/>
              <w:left w:val="nil"/>
              <w:bottom w:val="nil"/>
              <w:right w:val="nil"/>
            </w:tcBorders>
            <w:shd w:val="clear" w:color="auto" w:fill="auto"/>
            <w:noWrap/>
            <w:vAlign w:val="bottom"/>
            <w:hideMark/>
          </w:tcPr>
          <w:p w:rsidR="00140865" w:rsidRPr="002B40C9" w:rsidRDefault="00140865" w:rsidP="00140865">
            <w:pPr>
              <w:spacing w:after="0" w:line="240" w:lineRule="auto"/>
              <w:rPr>
                <w:rFonts w:ascii="Calibri" w:eastAsia="Times New Roman" w:hAnsi="Calibri" w:cs="Times New Roman"/>
                <w:color w:val="000000"/>
                <w:sz w:val="16"/>
                <w:szCs w:val="16"/>
                <w:lang w:eastAsia="es-ES"/>
              </w:rPr>
            </w:pPr>
          </w:p>
        </w:tc>
        <w:tc>
          <w:tcPr>
            <w:tcW w:w="1653" w:type="dxa"/>
            <w:tcBorders>
              <w:top w:val="nil"/>
              <w:left w:val="nil"/>
              <w:bottom w:val="nil"/>
              <w:right w:val="nil"/>
            </w:tcBorders>
            <w:shd w:val="clear" w:color="auto" w:fill="auto"/>
            <w:noWrap/>
            <w:vAlign w:val="bottom"/>
            <w:hideMark/>
          </w:tcPr>
          <w:p w:rsidR="00140865" w:rsidRPr="002B40C9" w:rsidRDefault="00140865" w:rsidP="00140865">
            <w:pPr>
              <w:spacing w:after="0" w:line="240" w:lineRule="auto"/>
              <w:rPr>
                <w:rFonts w:ascii="Calibri" w:eastAsia="Times New Roman" w:hAnsi="Calibri" w:cs="Times New Roman"/>
                <w:color w:val="000000"/>
                <w:sz w:val="16"/>
                <w:szCs w:val="16"/>
                <w:lang w:eastAsia="es-ES"/>
              </w:rPr>
            </w:pPr>
          </w:p>
        </w:tc>
        <w:tc>
          <w:tcPr>
            <w:tcW w:w="1250" w:type="dxa"/>
            <w:tcBorders>
              <w:top w:val="nil"/>
              <w:left w:val="nil"/>
              <w:bottom w:val="nil"/>
              <w:right w:val="nil"/>
            </w:tcBorders>
            <w:shd w:val="clear" w:color="auto" w:fill="auto"/>
            <w:noWrap/>
            <w:vAlign w:val="bottom"/>
            <w:hideMark/>
          </w:tcPr>
          <w:p w:rsidR="00140865" w:rsidRPr="002B40C9" w:rsidRDefault="00140865" w:rsidP="00140865">
            <w:pPr>
              <w:spacing w:after="0" w:line="240" w:lineRule="auto"/>
              <w:rPr>
                <w:rFonts w:ascii="Calibri" w:eastAsia="Times New Roman" w:hAnsi="Calibri" w:cs="Times New Roman"/>
                <w:color w:val="000000"/>
                <w:sz w:val="16"/>
                <w:szCs w:val="16"/>
                <w:lang w:eastAsia="es-ES"/>
              </w:rPr>
            </w:pPr>
          </w:p>
        </w:tc>
      </w:tr>
      <w:tr w:rsidR="00140865" w:rsidRPr="002B40C9" w:rsidTr="00140865">
        <w:trPr>
          <w:trHeight w:val="300"/>
          <w:jc w:val="center"/>
        </w:trPr>
        <w:tc>
          <w:tcPr>
            <w:tcW w:w="1531" w:type="dxa"/>
            <w:tcBorders>
              <w:top w:val="nil"/>
              <w:left w:val="nil"/>
              <w:bottom w:val="nil"/>
              <w:right w:val="nil"/>
            </w:tcBorders>
            <w:shd w:val="clear" w:color="auto" w:fill="auto"/>
            <w:noWrap/>
            <w:vAlign w:val="bottom"/>
            <w:hideMark/>
          </w:tcPr>
          <w:p w:rsidR="00140865" w:rsidRPr="002B40C9" w:rsidRDefault="00140865" w:rsidP="00140865">
            <w:pPr>
              <w:spacing w:after="0" w:line="240" w:lineRule="auto"/>
              <w:rPr>
                <w:rFonts w:ascii="Calibri" w:eastAsia="Times New Roman" w:hAnsi="Calibri" w:cs="Times New Roman"/>
                <w:color w:val="000000"/>
                <w:sz w:val="16"/>
                <w:szCs w:val="16"/>
                <w:lang w:eastAsia="es-ES"/>
              </w:rPr>
            </w:pPr>
            <w:proofErr w:type="spellStart"/>
            <w:r w:rsidRPr="002B40C9">
              <w:rPr>
                <w:rFonts w:ascii="Calibri" w:eastAsia="Times New Roman" w:hAnsi="Calibri" w:cs="Times New Roman"/>
                <w:color w:val="000000"/>
                <w:sz w:val="16"/>
                <w:szCs w:val="16"/>
                <w:lang w:eastAsia="es-ES"/>
              </w:rPr>
              <w:t>Recurrent</w:t>
            </w:r>
            <w:proofErr w:type="spellEnd"/>
          </w:p>
        </w:tc>
        <w:tc>
          <w:tcPr>
            <w:tcW w:w="884" w:type="dxa"/>
            <w:tcBorders>
              <w:top w:val="nil"/>
              <w:left w:val="nil"/>
              <w:bottom w:val="nil"/>
              <w:right w:val="nil"/>
            </w:tcBorders>
            <w:shd w:val="clear" w:color="auto" w:fill="auto"/>
            <w:noWrap/>
            <w:vAlign w:val="bottom"/>
            <w:hideMark/>
          </w:tcPr>
          <w:p w:rsidR="00140865" w:rsidRPr="002B40C9" w:rsidRDefault="00140865" w:rsidP="00140865">
            <w:pPr>
              <w:spacing w:after="0" w:line="240" w:lineRule="auto"/>
              <w:jc w:val="right"/>
              <w:rPr>
                <w:rFonts w:ascii="Calibri" w:eastAsia="Times New Roman" w:hAnsi="Calibri" w:cs="Times New Roman"/>
                <w:color w:val="000000"/>
                <w:sz w:val="16"/>
                <w:szCs w:val="16"/>
                <w:lang w:eastAsia="es-ES"/>
              </w:rPr>
            </w:pPr>
            <w:r w:rsidRPr="002B40C9">
              <w:rPr>
                <w:rFonts w:ascii="Calibri" w:eastAsia="Times New Roman" w:hAnsi="Calibri" w:cs="Times New Roman"/>
                <w:color w:val="000000"/>
                <w:sz w:val="16"/>
                <w:szCs w:val="16"/>
                <w:lang w:eastAsia="es-ES"/>
              </w:rPr>
              <w:t>91.13%</w:t>
            </w:r>
          </w:p>
        </w:tc>
        <w:tc>
          <w:tcPr>
            <w:tcW w:w="1197" w:type="dxa"/>
            <w:tcBorders>
              <w:top w:val="nil"/>
              <w:left w:val="nil"/>
              <w:bottom w:val="nil"/>
              <w:right w:val="nil"/>
            </w:tcBorders>
            <w:shd w:val="clear" w:color="auto" w:fill="auto"/>
            <w:noWrap/>
            <w:vAlign w:val="bottom"/>
            <w:hideMark/>
          </w:tcPr>
          <w:p w:rsidR="00140865" w:rsidRPr="002B40C9" w:rsidRDefault="00140865" w:rsidP="00140865">
            <w:pPr>
              <w:spacing w:after="0" w:line="240" w:lineRule="auto"/>
              <w:jc w:val="right"/>
              <w:rPr>
                <w:rFonts w:ascii="Calibri" w:eastAsia="Times New Roman" w:hAnsi="Calibri" w:cs="Times New Roman"/>
                <w:color w:val="000000"/>
                <w:sz w:val="16"/>
                <w:szCs w:val="16"/>
                <w:lang w:eastAsia="es-ES"/>
              </w:rPr>
            </w:pPr>
            <w:r w:rsidRPr="002B40C9">
              <w:rPr>
                <w:rFonts w:ascii="Calibri" w:eastAsia="Times New Roman" w:hAnsi="Calibri" w:cs="Times New Roman"/>
                <w:color w:val="000000"/>
                <w:sz w:val="16"/>
                <w:szCs w:val="16"/>
                <w:lang w:eastAsia="es-ES"/>
              </w:rPr>
              <w:t>87.99%</w:t>
            </w:r>
          </w:p>
        </w:tc>
        <w:tc>
          <w:tcPr>
            <w:tcW w:w="1196" w:type="dxa"/>
            <w:tcBorders>
              <w:top w:val="nil"/>
              <w:left w:val="nil"/>
              <w:bottom w:val="nil"/>
              <w:right w:val="nil"/>
            </w:tcBorders>
            <w:shd w:val="clear" w:color="auto" w:fill="auto"/>
            <w:noWrap/>
            <w:vAlign w:val="bottom"/>
            <w:hideMark/>
          </w:tcPr>
          <w:p w:rsidR="00140865" w:rsidRPr="002B40C9" w:rsidRDefault="00140865" w:rsidP="00140865">
            <w:pPr>
              <w:spacing w:after="0" w:line="240" w:lineRule="auto"/>
              <w:jc w:val="right"/>
              <w:rPr>
                <w:rFonts w:ascii="Calibri" w:eastAsia="Times New Roman" w:hAnsi="Calibri" w:cs="Times New Roman"/>
                <w:color w:val="000000"/>
                <w:sz w:val="16"/>
                <w:szCs w:val="16"/>
                <w:lang w:eastAsia="es-ES"/>
              </w:rPr>
            </w:pPr>
            <w:r w:rsidRPr="002B40C9">
              <w:rPr>
                <w:rFonts w:ascii="Calibri" w:eastAsia="Times New Roman" w:hAnsi="Calibri" w:cs="Times New Roman"/>
                <w:color w:val="000000"/>
                <w:sz w:val="16"/>
                <w:szCs w:val="16"/>
                <w:lang w:eastAsia="es-ES"/>
              </w:rPr>
              <w:t>82.00%</w:t>
            </w:r>
          </w:p>
        </w:tc>
        <w:tc>
          <w:tcPr>
            <w:tcW w:w="1653" w:type="dxa"/>
            <w:tcBorders>
              <w:top w:val="nil"/>
              <w:left w:val="nil"/>
              <w:bottom w:val="nil"/>
              <w:right w:val="nil"/>
            </w:tcBorders>
            <w:shd w:val="clear" w:color="auto" w:fill="auto"/>
            <w:noWrap/>
            <w:vAlign w:val="bottom"/>
            <w:hideMark/>
          </w:tcPr>
          <w:p w:rsidR="00140865" w:rsidRPr="002B40C9" w:rsidRDefault="00140865" w:rsidP="00140865">
            <w:pPr>
              <w:spacing w:after="0" w:line="240" w:lineRule="auto"/>
              <w:jc w:val="right"/>
              <w:rPr>
                <w:rFonts w:ascii="Calibri" w:eastAsia="Times New Roman" w:hAnsi="Calibri" w:cs="Times New Roman"/>
                <w:color w:val="000000"/>
                <w:sz w:val="16"/>
                <w:szCs w:val="16"/>
                <w:lang w:eastAsia="es-ES"/>
              </w:rPr>
            </w:pPr>
            <w:r w:rsidRPr="002B40C9">
              <w:rPr>
                <w:rFonts w:ascii="Calibri" w:eastAsia="Times New Roman" w:hAnsi="Calibri" w:cs="Times New Roman"/>
                <w:color w:val="000000"/>
                <w:sz w:val="16"/>
                <w:szCs w:val="16"/>
                <w:lang w:eastAsia="es-ES"/>
              </w:rPr>
              <w:t>86.64%</w:t>
            </w:r>
          </w:p>
        </w:tc>
        <w:tc>
          <w:tcPr>
            <w:tcW w:w="1250" w:type="dxa"/>
            <w:tcBorders>
              <w:top w:val="nil"/>
              <w:left w:val="nil"/>
              <w:bottom w:val="nil"/>
              <w:right w:val="nil"/>
            </w:tcBorders>
            <w:shd w:val="clear" w:color="auto" w:fill="auto"/>
            <w:noWrap/>
            <w:vAlign w:val="bottom"/>
            <w:hideMark/>
          </w:tcPr>
          <w:p w:rsidR="00140865" w:rsidRPr="002B40C9" w:rsidRDefault="00140865" w:rsidP="00140865">
            <w:pPr>
              <w:spacing w:after="0" w:line="240" w:lineRule="auto"/>
              <w:jc w:val="right"/>
              <w:rPr>
                <w:rFonts w:ascii="Calibri" w:eastAsia="Times New Roman" w:hAnsi="Calibri" w:cs="Times New Roman"/>
                <w:color w:val="000000"/>
                <w:sz w:val="16"/>
                <w:szCs w:val="16"/>
                <w:lang w:eastAsia="es-ES"/>
              </w:rPr>
            </w:pPr>
            <w:r w:rsidRPr="002B40C9">
              <w:rPr>
                <w:rFonts w:ascii="Calibri" w:eastAsia="Times New Roman" w:hAnsi="Calibri" w:cs="Times New Roman"/>
                <w:color w:val="000000"/>
                <w:sz w:val="16"/>
                <w:szCs w:val="16"/>
                <w:lang w:eastAsia="es-ES"/>
              </w:rPr>
              <w:t>86.64%</w:t>
            </w:r>
          </w:p>
        </w:tc>
      </w:tr>
      <w:tr w:rsidR="00140865" w:rsidRPr="002B40C9" w:rsidTr="00140865">
        <w:trPr>
          <w:trHeight w:val="300"/>
          <w:jc w:val="center"/>
        </w:trPr>
        <w:tc>
          <w:tcPr>
            <w:tcW w:w="1531" w:type="dxa"/>
            <w:tcBorders>
              <w:top w:val="nil"/>
              <w:left w:val="nil"/>
              <w:bottom w:val="nil"/>
              <w:right w:val="nil"/>
            </w:tcBorders>
            <w:shd w:val="clear" w:color="auto" w:fill="auto"/>
            <w:noWrap/>
            <w:vAlign w:val="bottom"/>
            <w:hideMark/>
          </w:tcPr>
          <w:p w:rsidR="00140865" w:rsidRPr="002B40C9" w:rsidRDefault="00140865" w:rsidP="00140865">
            <w:pPr>
              <w:spacing w:after="0" w:line="240" w:lineRule="auto"/>
              <w:rPr>
                <w:rFonts w:ascii="Calibri" w:eastAsia="Times New Roman" w:hAnsi="Calibri" w:cs="Times New Roman"/>
                <w:color w:val="000000"/>
                <w:sz w:val="16"/>
                <w:szCs w:val="16"/>
                <w:lang w:eastAsia="es-ES"/>
              </w:rPr>
            </w:pPr>
            <w:r w:rsidRPr="002B40C9">
              <w:rPr>
                <w:rFonts w:ascii="Calibri" w:eastAsia="Times New Roman" w:hAnsi="Calibri" w:cs="Times New Roman"/>
                <w:color w:val="000000"/>
                <w:sz w:val="16"/>
                <w:szCs w:val="16"/>
                <w:lang w:eastAsia="es-ES"/>
              </w:rPr>
              <w:t>Capital</w:t>
            </w:r>
          </w:p>
        </w:tc>
        <w:tc>
          <w:tcPr>
            <w:tcW w:w="884" w:type="dxa"/>
            <w:tcBorders>
              <w:top w:val="nil"/>
              <w:left w:val="nil"/>
              <w:bottom w:val="nil"/>
              <w:right w:val="nil"/>
            </w:tcBorders>
            <w:shd w:val="clear" w:color="auto" w:fill="auto"/>
            <w:noWrap/>
            <w:vAlign w:val="bottom"/>
            <w:hideMark/>
          </w:tcPr>
          <w:p w:rsidR="00140865" w:rsidRPr="002B40C9" w:rsidRDefault="00140865" w:rsidP="00140865">
            <w:pPr>
              <w:spacing w:after="0" w:line="240" w:lineRule="auto"/>
              <w:jc w:val="right"/>
              <w:rPr>
                <w:rFonts w:ascii="Calibri" w:eastAsia="Times New Roman" w:hAnsi="Calibri" w:cs="Times New Roman"/>
                <w:color w:val="000000"/>
                <w:sz w:val="16"/>
                <w:szCs w:val="16"/>
                <w:lang w:eastAsia="es-ES"/>
              </w:rPr>
            </w:pPr>
            <w:r w:rsidRPr="002B40C9">
              <w:rPr>
                <w:rFonts w:ascii="Calibri" w:eastAsia="Times New Roman" w:hAnsi="Calibri" w:cs="Times New Roman"/>
                <w:color w:val="000000"/>
                <w:sz w:val="16"/>
                <w:szCs w:val="16"/>
                <w:lang w:eastAsia="es-ES"/>
              </w:rPr>
              <w:t>8.87%</w:t>
            </w:r>
          </w:p>
        </w:tc>
        <w:tc>
          <w:tcPr>
            <w:tcW w:w="1197" w:type="dxa"/>
            <w:tcBorders>
              <w:top w:val="nil"/>
              <w:left w:val="nil"/>
              <w:bottom w:val="nil"/>
              <w:right w:val="nil"/>
            </w:tcBorders>
            <w:shd w:val="clear" w:color="auto" w:fill="auto"/>
            <w:noWrap/>
            <w:vAlign w:val="bottom"/>
            <w:hideMark/>
          </w:tcPr>
          <w:p w:rsidR="00140865" w:rsidRPr="002B40C9" w:rsidRDefault="00140865" w:rsidP="00140865">
            <w:pPr>
              <w:spacing w:after="0" w:line="240" w:lineRule="auto"/>
              <w:jc w:val="right"/>
              <w:rPr>
                <w:rFonts w:ascii="Calibri" w:eastAsia="Times New Roman" w:hAnsi="Calibri" w:cs="Times New Roman"/>
                <w:color w:val="000000"/>
                <w:sz w:val="16"/>
                <w:szCs w:val="16"/>
                <w:lang w:eastAsia="es-ES"/>
              </w:rPr>
            </w:pPr>
            <w:r w:rsidRPr="002B40C9">
              <w:rPr>
                <w:rFonts w:ascii="Calibri" w:eastAsia="Times New Roman" w:hAnsi="Calibri" w:cs="Times New Roman"/>
                <w:color w:val="000000"/>
                <w:sz w:val="16"/>
                <w:szCs w:val="16"/>
                <w:lang w:eastAsia="es-ES"/>
              </w:rPr>
              <w:t>12.01%</w:t>
            </w:r>
          </w:p>
        </w:tc>
        <w:tc>
          <w:tcPr>
            <w:tcW w:w="1196" w:type="dxa"/>
            <w:tcBorders>
              <w:top w:val="nil"/>
              <w:left w:val="nil"/>
              <w:bottom w:val="nil"/>
              <w:right w:val="nil"/>
            </w:tcBorders>
            <w:shd w:val="clear" w:color="auto" w:fill="auto"/>
            <w:noWrap/>
            <w:vAlign w:val="bottom"/>
            <w:hideMark/>
          </w:tcPr>
          <w:p w:rsidR="00140865" w:rsidRPr="002B40C9" w:rsidRDefault="00140865" w:rsidP="00140865">
            <w:pPr>
              <w:spacing w:after="0" w:line="240" w:lineRule="auto"/>
              <w:jc w:val="right"/>
              <w:rPr>
                <w:rFonts w:ascii="Calibri" w:eastAsia="Times New Roman" w:hAnsi="Calibri" w:cs="Times New Roman"/>
                <w:color w:val="000000"/>
                <w:sz w:val="16"/>
                <w:szCs w:val="16"/>
                <w:lang w:eastAsia="es-ES"/>
              </w:rPr>
            </w:pPr>
            <w:r w:rsidRPr="002B40C9">
              <w:rPr>
                <w:rFonts w:ascii="Calibri" w:eastAsia="Times New Roman" w:hAnsi="Calibri" w:cs="Times New Roman"/>
                <w:color w:val="000000"/>
                <w:sz w:val="16"/>
                <w:szCs w:val="16"/>
                <w:lang w:eastAsia="es-ES"/>
              </w:rPr>
              <w:t>18.00%</w:t>
            </w:r>
          </w:p>
        </w:tc>
        <w:tc>
          <w:tcPr>
            <w:tcW w:w="1653" w:type="dxa"/>
            <w:tcBorders>
              <w:top w:val="nil"/>
              <w:left w:val="nil"/>
              <w:bottom w:val="nil"/>
              <w:right w:val="nil"/>
            </w:tcBorders>
            <w:shd w:val="clear" w:color="auto" w:fill="auto"/>
            <w:noWrap/>
            <w:vAlign w:val="bottom"/>
            <w:hideMark/>
          </w:tcPr>
          <w:p w:rsidR="00140865" w:rsidRPr="002B40C9" w:rsidRDefault="00140865" w:rsidP="00140865">
            <w:pPr>
              <w:spacing w:after="0" w:line="240" w:lineRule="auto"/>
              <w:jc w:val="right"/>
              <w:rPr>
                <w:rFonts w:ascii="Calibri" w:eastAsia="Times New Roman" w:hAnsi="Calibri" w:cs="Times New Roman"/>
                <w:color w:val="000000"/>
                <w:sz w:val="16"/>
                <w:szCs w:val="16"/>
                <w:lang w:eastAsia="es-ES"/>
              </w:rPr>
            </w:pPr>
            <w:r w:rsidRPr="002B40C9">
              <w:rPr>
                <w:rFonts w:ascii="Calibri" w:eastAsia="Times New Roman" w:hAnsi="Calibri" w:cs="Times New Roman"/>
                <w:color w:val="000000"/>
                <w:sz w:val="16"/>
                <w:szCs w:val="16"/>
                <w:lang w:eastAsia="es-ES"/>
              </w:rPr>
              <w:t>13.36%</w:t>
            </w:r>
          </w:p>
        </w:tc>
        <w:tc>
          <w:tcPr>
            <w:tcW w:w="1250" w:type="dxa"/>
            <w:tcBorders>
              <w:top w:val="nil"/>
              <w:left w:val="nil"/>
              <w:bottom w:val="nil"/>
              <w:right w:val="nil"/>
            </w:tcBorders>
            <w:shd w:val="clear" w:color="auto" w:fill="auto"/>
            <w:noWrap/>
            <w:vAlign w:val="bottom"/>
            <w:hideMark/>
          </w:tcPr>
          <w:p w:rsidR="00140865" w:rsidRPr="002B40C9" w:rsidRDefault="00140865" w:rsidP="00140865">
            <w:pPr>
              <w:spacing w:after="0" w:line="240" w:lineRule="auto"/>
              <w:jc w:val="right"/>
              <w:rPr>
                <w:rFonts w:ascii="Calibri" w:eastAsia="Times New Roman" w:hAnsi="Calibri" w:cs="Times New Roman"/>
                <w:color w:val="000000"/>
                <w:sz w:val="16"/>
                <w:szCs w:val="16"/>
                <w:lang w:eastAsia="es-ES"/>
              </w:rPr>
            </w:pPr>
            <w:r w:rsidRPr="002B40C9">
              <w:rPr>
                <w:rFonts w:ascii="Calibri" w:eastAsia="Times New Roman" w:hAnsi="Calibri" w:cs="Times New Roman"/>
                <w:color w:val="000000"/>
                <w:sz w:val="16"/>
                <w:szCs w:val="16"/>
                <w:lang w:eastAsia="es-ES"/>
              </w:rPr>
              <w:t>13.36%</w:t>
            </w:r>
          </w:p>
        </w:tc>
      </w:tr>
      <w:tr w:rsidR="00140865" w:rsidRPr="002B40C9" w:rsidTr="00140865">
        <w:trPr>
          <w:trHeight w:val="300"/>
          <w:jc w:val="center"/>
        </w:trPr>
        <w:tc>
          <w:tcPr>
            <w:tcW w:w="1531" w:type="dxa"/>
            <w:tcBorders>
              <w:top w:val="nil"/>
              <w:left w:val="nil"/>
              <w:bottom w:val="nil"/>
              <w:right w:val="nil"/>
            </w:tcBorders>
            <w:shd w:val="clear" w:color="auto" w:fill="auto"/>
            <w:noWrap/>
            <w:vAlign w:val="bottom"/>
            <w:hideMark/>
          </w:tcPr>
          <w:p w:rsidR="00140865" w:rsidRPr="002B40C9" w:rsidRDefault="00140865" w:rsidP="00140865">
            <w:pPr>
              <w:spacing w:after="0" w:line="240" w:lineRule="auto"/>
              <w:rPr>
                <w:rFonts w:ascii="Calibri" w:eastAsia="Times New Roman" w:hAnsi="Calibri" w:cs="Times New Roman"/>
                <w:color w:val="000000"/>
                <w:sz w:val="16"/>
                <w:szCs w:val="16"/>
                <w:lang w:eastAsia="es-ES"/>
              </w:rPr>
            </w:pPr>
            <w:r w:rsidRPr="002B40C9">
              <w:rPr>
                <w:rFonts w:ascii="Calibri" w:eastAsia="Times New Roman" w:hAnsi="Calibri" w:cs="Times New Roman"/>
                <w:color w:val="000000"/>
                <w:sz w:val="16"/>
                <w:szCs w:val="16"/>
                <w:lang w:eastAsia="es-ES"/>
              </w:rPr>
              <w:t xml:space="preserve">% </w:t>
            </w:r>
            <w:proofErr w:type="spellStart"/>
            <w:r w:rsidRPr="002B40C9">
              <w:rPr>
                <w:rFonts w:ascii="Calibri" w:eastAsia="Times New Roman" w:hAnsi="Calibri" w:cs="Times New Roman"/>
                <w:color w:val="000000"/>
                <w:sz w:val="16"/>
                <w:szCs w:val="16"/>
                <w:lang w:eastAsia="es-ES"/>
              </w:rPr>
              <w:t>Recurrent</w:t>
            </w:r>
            <w:proofErr w:type="spellEnd"/>
          </w:p>
        </w:tc>
        <w:tc>
          <w:tcPr>
            <w:tcW w:w="884" w:type="dxa"/>
            <w:tcBorders>
              <w:top w:val="nil"/>
              <w:left w:val="nil"/>
              <w:bottom w:val="nil"/>
              <w:right w:val="nil"/>
            </w:tcBorders>
            <w:shd w:val="clear" w:color="auto" w:fill="auto"/>
            <w:noWrap/>
            <w:vAlign w:val="bottom"/>
            <w:hideMark/>
          </w:tcPr>
          <w:p w:rsidR="00140865" w:rsidRPr="002B40C9" w:rsidRDefault="00140865" w:rsidP="00140865">
            <w:pPr>
              <w:spacing w:after="0" w:line="240" w:lineRule="auto"/>
              <w:rPr>
                <w:rFonts w:ascii="Calibri" w:eastAsia="Times New Roman" w:hAnsi="Calibri" w:cs="Times New Roman"/>
                <w:color w:val="000000"/>
                <w:sz w:val="16"/>
                <w:szCs w:val="16"/>
                <w:lang w:eastAsia="es-ES"/>
              </w:rPr>
            </w:pPr>
          </w:p>
        </w:tc>
        <w:tc>
          <w:tcPr>
            <w:tcW w:w="1197" w:type="dxa"/>
            <w:tcBorders>
              <w:top w:val="nil"/>
              <w:left w:val="nil"/>
              <w:bottom w:val="nil"/>
              <w:right w:val="nil"/>
            </w:tcBorders>
            <w:shd w:val="clear" w:color="auto" w:fill="auto"/>
            <w:noWrap/>
            <w:vAlign w:val="bottom"/>
            <w:hideMark/>
          </w:tcPr>
          <w:p w:rsidR="00140865" w:rsidRPr="002B40C9" w:rsidRDefault="00140865" w:rsidP="00140865">
            <w:pPr>
              <w:spacing w:after="0" w:line="240" w:lineRule="auto"/>
              <w:rPr>
                <w:rFonts w:ascii="Calibri" w:eastAsia="Times New Roman" w:hAnsi="Calibri" w:cs="Times New Roman"/>
                <w:color w:val="000000"/>
                <w:sz w:val="16"/>
                <w:szCs w:val="16"/>
                <w:lang w:eastAsia="es-ES"/>
              </w:rPr>
            </w:pPr>
          </w:p>
        </w:tc>
        <w:tc>
          <w:tcPr>
            <w:tcW w:w="1196" w:type="dxa"/>
            <w:tcBorders>
              <w:top w:val="nil"/>
              <w:left w:val="nil"/>
              <w:bottom w:val="nil"/>
              <w:right w:val="nil"/>
            </w:tcBorders>
            <w:shd w:val="clear" w:color="auto" w:fill="auto"/>
            <w:noWrap/>
            <w:vAlign w:val="bottom"/>
            <w:hideMark/>
          </w:tcPr>
          <w:p w:rsidR="00140865" w:rsidRPr="002B40C9" w:rsidRDefault="00140865" w:rsidP="00140865">
            <w:pPr>
              <w:spacing w:after="0" w:line="240" w:lineRule="auto"/>
              <w:rPr>
                <w:rFonts w:ascii="Calibri" w:eastAsia="Times New Roman" w:hAnsi="Calibri" w:cs="Times New Roman"/>
                <w:color w:val="000000"/>
                <w:sz w:val="16"/>
                <w:szCs w:val="16"/>
                <w:lang w:eastAsia="es-ES"/>
              </w:rPr>
            </w:pPr>
          </w:p>
        </w:tc>
        <w:tc>
          <w:tcPr>
            <w:tcW w:w="1653" w:type="dxa"/>
            <w:tcBorders>
              <w:top w:val="nil"/>
              <w:left w:val="nil"/>
              <w:bottom w:val="nil"/>
              <w:right w:val="nil"/>
            </w:tcBorders>
            <w:shd w:val="clear" w:color="auto" w:fill="auto"/>
            <w:noWrap/>
            <w:vAlign w:val="bottom"/>
            <w:hideMark/>
          </w:tcPr>
          <w:p w:rsidR="00140865" w:rsidRPr="002B40C9" w:rsidRDefault="00140865" w:rsidP="00140865">
            <w:pPr>
              <w:spacing w:after="0" w:line="240" w:lineRule="auto"/>
              <w:rPr>
                <w:rFonts w:ascii="Calibri" w:eastAsia="Times New Roman" w:hAnsi="Calibri" w:cs="Times New Roman"/>
                <w:color w:val="000000"/>
                <w:sz w:val="16"/>
                <w:szCs w:val="16"/>
                <w:lang w:eastAsia="es-ES"/>
              </w:rPr>
            </w:pPr>
          </w:p>
        </w:tc>
        <w:tc>
          <w:tcPr>
            <w:tcW w:w="1250" w:type="dxa"/>
            <w:tcBorders>
              <w:top w:val="nil"/>
              <w:left w:val="nil"/>
              <w:bottom w:val="nil"/>
              <w:right w:val="nil"/>
            </w:tcBorders>
            <w:shd w:val="clear" w:color="auto" w:fill="auto"/>
            <w:noWrap/>
            <w:vAlign w:val="bottom"/>
            <w:hideMark/>
          </w:tcPr>
          <w:p w:rsidR="00140865" w:rsidRPr="002B40C9" w:rsidRDefault="00140865" w:rsidP="00140865">
            <w:pPr>
              <w:spacing w:after="0" w:line="240" w:lineRule="auto"/>
              <w:rPr>
                <w:rFonts w:ascii="Calibri" w:eastAsia="Times New Roman" w:hAnsi="Calibri" w:cs="Times New Roman"/>
                <w:color w:val="000000"/>
                <w:sz w:val="16"/>
                <w:szCs w:val="16"/>
                <w:lang w:eastAsia="es-ES"/>
              </w:rPr>
            </w:pPr>
          </w:p>
        </w:tc>
      </w:tr>
      <w:tr w:rsidR="00140865" w:rsidRPr="002B40C9" w:rsidTr="00140865">
        <w:trPr>
          <w:trHeight w:val="300"/>
          <w:jc w:val="center"/>
        </w:trPr>
        <w:tc>
          <w:tcPr>
            <w:tcW w:w="1531" w:type="dxa"/>
            <w:tcBorders>
              <w:top w:val="nil"/>
              <w:left w:val="nil"/>
              <w:bottom w:val="nil"/>
              <w:right w:val="nil"/>
            </w:tcBorders>
            <w:shd w:val="clear" w:color="auto" w:fill="auto"/>
            <w:noWrap/>
            <w:vAlign w:val="bottom"/>
            <w:hideMark/>
          </w:tcPr>
          <w:p w:rsidR="00140865" w:rsidRPr="002B40C9" w:rsidRDefault="00140865" w:rsidP="00140865">
            <w:pPr>
              <w:spacing w:after="0" w:line="240" w:lineRule="auto"/>
              <w:rPr>
                <w:rFonts w:ascii="Calibri" w:eastAsia="Times New Roman" w:hAnsi="Calibri" w:cs="Times New Roman"/>
                <w:color w:val="000000"/>
                <w:sz w:val="16"/>
                <w:szCs w:val="16"/>
                <w:lang w:eastAsia="es-ES"/>
              </w:rPr>
            </w:pPr>
            <w:proofErr w:type="spellStart"/>
            <w:r w:rsidRPr="002B40C9">
              <w:rPr>
                <w:rFonts w:ascii="Calibri" w:eastAsia="Times New Roman" w:hAnsi="Calibri" w:cs="Times New Roman"/>
                <w:color w:val="000000"/>
                <w:sz w:val="16"/>
                <w:szCs w:val="16"/>
                <w:lang w:eastAsia="es-ES"/>
              </w:rPr>
              <w:t>Wages</w:t>
            </w:r>
            <w:proofErr w:type="spellEnd"/>
          </w:p>
        </w:tc>
        <w:tc>
          <w:tcPr>
            <w:tcW w:w="884" w:type="dxa"/>
            <w:tcBorders>
              <w:top w:val="nil"/>
              <w:left w:val="nil"/>
              <w:bottom w:val="nil"/>
              <w:right w:val="nil"/>
            </w:tcBorders>
            <w:shd w:val="clear" w:color="auto" w:fill="auto"/>
            <w:noWrap/>
            <w:vAlign w:val="bottom"/>
            <w:hideMark/>
          </w:tcPr>
          <w:p w:rsidR="00140865" w:rsidRPr="002B40C9" w:rsidRDefault="00140865" w:rsidP="00140865">
            <w:pPr>
              <w:spacing w:after="0" w:line="240" w:lineRule="auto"/>
              <w:jc w:val="right"/>
              <w:rPr>
                <w:rFonts w:ascii="Calibri" w:eastAsia="Times New Roman" w:hAnsi="Calibri" w:cs="Times New Roman"/>
                <w:color w:val="000000"/>
                <w:sz w:val="16"/>
                <w:szCs w:val="16"/>
                <w:lang w:eastAsia="es-ES"/>
              </w:rPr>
            </w:pPr>
            <w:r w:rsidRPr="002B40C9">
              <w:rPr>
                <w:rFonts w:ascii="Calibri" w:eastAsia="Times New Roman" w:hAnsi="Calibri" w:cs="Times New Roman"/>
                <w:color w:val="000000"/>
                <w:sz w:val="16"/>
                <w:szCs w:val="16"/>
                <w:lang w:eastAsia="es-ES"/>
              </w:rPr>
              <w:t>87.48%</w:t>
            </w:r>
          </w:p>
        </w:tc>
        <w:tc>
          <w:tcPr>
            <w:tcW w:w="1197" w:type="dxa"/>
            <w:tcBorders>
              <w:top w:val="nil"/>
              <w:left w:val="nil"/>
              <w:bottom w:val="nil"/>
              <w:right w:val="nil"/>
            </w:tcBorders>
            <w:shd w:val="clear" w:color="auto" w:fill="auto"/>
            <w:noWrap/>
            <w:vAlign w:val="bottom"/>
            <w:hideMark/>
          </w:tcPr>
          <w:p w:rsidR="00140865" w:rsidRPr="002B40C9" w:rsidRDefault="00140865" w:rsidP="00140865">
            <w:pPr>
              <w:spacing w:after="0" w:line="240" w:lineRule="auto"/>
              <w:jc w:val="right"/>
              <w:rPr>
                <w:rFonts w:ascii="Calibri" w:eastAsia="Times New Roman" w:hAnsi="Calibri" w:cs="Times New Roman"/>
                <w:color w:val="000000"/>
                <w:sz w:val="16"/>
                <w:szCs w:val="16"/>
                <w:lang w:eastAsia="es-ES"/>
              </w:rPr>
            </w:pPr>
            <w:r w:rsidRPr="002B40C9">
              <w:rPr>
                <w:rFonts w:ascii="Calibri" w:eastAsia="Times New Roman" w:hAnsi="Calibri" w:cs="Times New Roman"/>
                <w:color w:val="000000"/>
                <w:sz w:val="16"/>
                <w:szCs w:val="16"/>
                <w:lang w:eastAsia="es-ES"/>
              </w:rPr>
              <w:t>83.63%</w:t>
            </w:r>
          </w:p>
        </w:tc>
        <w:tc>
          <w:tcPr>
            <w:tcW w:w="1196" w:type="dxa"/>
            <w:tcBorders>
              <w:top w:val="nil"/>
              <w:left w:val="nil"/>
              <w:bottom w:val="nil"/>
              <w:right w:val="nil"/>
            </w:tcBorders>
            <w:shd w:val="clear" w:color="auto" w:fill="auto"/>
            <w:noWrap/>
            <w:vAlign w:val="bottom"/>
            <w:hideMark/>
          </w:tcPr>
          <w:p w:rsidR="00140865" w:rsidRPr="002B40C9" w:rsidRDefault="00140865" w:rsidP="00140865">
            <w:pPr>
              <w:spacing w:after="0" w:line="240" w:lineRule="auto"/>
              <w:jc w:val="right"/>
              <w:rPr>
                <w:rFonts w:ascii="Calibri" w:eastAsia="Times New Roman" w:hAnsi="Calibri" w:cs="Times New Roman"/>
                <w:color w:val="000000"/>
                <w:sz w:val="16"/>
                <w:szCs w:val="16"/>
                <w:lang w:eastAsia="es-ES"/>
              </w:rPr>
            </w:pPr>
            <w:r w:rsidRPr="002B40C9">
              <w:rPr>
                <w:rFonts w:ascii="Calibri" w:eastAsia="Times New Roman" w:hAnsi="Calibri" w:cs="Times New Roman"/>
                <w:color w:val="000000"/>
                <w:sz w:val="16"/>
                <w:szCs w:val="16"/>
                <w:lang w:eastAsia="es-ES"/>
              </w:rPr>
              <w:t>82.46%</w:t>
            </w:r>
          </w:p>
        </w:tc>
        <w:tc>
          <w:tcPr>
            <w:tcW w:w="1653" w:type="dxa"/>
            <w:tcBorders>
              <w:top w:val="nil"/>
              <w:left w:val="nil"/>
              <w:bottom w:val="nil"/>
              <w:right w:val="nil"/>
            </w:tcBorders>
            <w:shd w:val="clear" w:color="auto" w:fill="auto"/>
            <w:noWrap/>
            <w:vAlign w:val="bottom"/>
            <w:hideMark/>
          </w:tcPr>
          <w:p w:rsidR="00140865" w:rsidRPr="002B40C9" w:rsidRDefault="00140865" w:rsidP="00140865">
            <w:pPr>
              <w:spacing w:after="0" w:line="240" w:lineRule="auto"/>
              <w:jc w:val="right"/>
              <w:rPr>
                <w:rFonts w:ascii="Calibri" w:eastAsia="Times New Roman" w:hAnsi="Calibri" w:cs="Times New Roman"/>
                <w:color w:val="000000"/>
                <w:sz w:val="16"/>
                <w:szCs w:val="16"/>
                <w:lang w:eastAsia="es-ES"/>
              </w:rPr>
            </w:pPr>
            <w:r w:rsidRPr="002B40C9">
              <w:rPr>
                <w:rFonts w:ascii="Calibri" w:eastAsia="Times New Roman" w:hAnsi="Calibri" w:cs="Times New Roman"/>
                <w:color w:val="000000"/>
                <w:sz w:val="16"/>
                <w:szCs w:val="16"/>
                <w:lang w:eastAsia="es-ES"/>
              </w:rPr>
              <w:t>82.15%</w:t>
            </w:r>
          </w:p>
        </w:tc>
        <w:tc>
          <w:tcPr>
            <w:tcW w:w="1250" w:type="dxa"/>
            <w:tcBorders>
              <w:top w:val="nil"/>
              <w:left w:val="nil"/>
              <w:bottom w:val="nil"/>
              <w:right w:val="nil"/>
            </w:tcBorders>
            <w:shd w:val="clear" w:color="auto" w:fill="auto"/>
            <w:noWrap/>
            <w:vAlign w:val="bottom"/>
            <w:hideMark/>
          </w:tcPr>
          <w:p w:rsidR="00140865" w:rsidRPr="002B40C9" w:rsidRDefault="00140865" w:rsidP="00140865">
            <w:pPr>
              <w:spacing w:after="0" w:line="240" w:lineRule="auto"/>
              <w:jc w:val="right"/>
              <w:rPr>
                <w:rFonts w:ascii="Calibri" w:eastAsia="Times New Roman" w:hAnsi="Calibri" w:cs="Times New Roman"/>
                <w:color w:val="000000"/>
                <w:sz w:val="16"/>
                <w:szCs w:val="16"/>
                <w:lang w:eastAsia="es-ES"/>
              </w:rPr>
            </w:pPr>
            <w:r w:rsidRPr="002B40C9">
              <w:rPr>
                <w:rFonts w:ascii="Calibri" w:eastAsia="Times New Roman" w:hAnsi="Calibri" w:cs="Times New Roman"/>
                <w:color w:val="000000"/>
                <w:sz w:val="16"/>
                <w:szCs w:val="16"/>
                <w:lang w:eastAsia="es-ES"/>
              </w:rPr>
              <w:t>82.15%</w:t>
            </w:r>
          </w:p>
        </w:tc>
      </w:tr>
      <w:tr w:rsidR="00140865" w:rsidRPr="002B40C9" w:rsidTr="00140865">
        <w:trPr>
          <w:trHeight w:val="300"/>
          <w:jc w:val="center"/>
        </w:trPr>
        <w:tc>
          <w:tcPr>
            <w:tcW w:w="1531" w:type="dxa"/>
            <w:tcBorders>
              <w:top w:val="nil"/>
              <w:left w:val="nil"/>
              <w:bottom w:val="nil"/>
              <w:right w:val="nil"/>
            </w:tcBorders>
            <w:shd w:val="clear" w:color="auto" w:fill="auto"/>
            <w:noWrap/>
            <w:vAlign w:val="bottom"/>
            <w:hideMark/>
          </w:tcPr>
          <w:p w:rsidR="00140865" w:rsidRPr="002B40C9" w:rsidRDefault="00140865" w:rsidP="00140865">
            <w:pPr>
              <w:spacing w:after="0" w:line="240" w:lineRule="auto"/>
              <w:rPr>
                <w:rFonts w:ascii="Calibri" w:eastAsia="Times New Roman" w:hAnsi="Calibri" w:cs="Times New Roman"/>
                <w:color w:val="000000"/>
                <w:sz w:val="16"/>
                <w:szCs w:val="16"/>
                <w:lang w:eastAsia="es-ES"/>
              </w:rPr>
            </w:pPr>
            <w:r w:rsidRPr="002B40C9">
              <w:rPr>
                <w:rFonts w:ascii="Calibri" w:eastAsia="Times New Roman" w:hAnsi="Calibri" w:cs="Times New Roman"/>
                <w:color w:val="000000"/>
                <w:sz w:val="16"/>
                <w:szCs w:val="16"/>
                <w:lang w:eastAsia="es-ES"/>
              </w:rPr>
              <w:t>Non-</w:t>
            </w:r>
            <w:proofErr w:type="spellStart"/>
            <w:r w:rsidRPr="002B40C9">
              <w:rPr>
                <w:rFonts w:ascii="Calibri" w:eastAsia="Times New Roman" w:hAnsi="Calibri" w:cs="Times New Roman"/>
                <w:color w:val="000000"/>
                <w:sz w:val="16"/>
                <w:szCs w:val="16"/>
                <w:lang w:eastAsia="es-ES"/>
              </w:rPr>
              <w:t>Wages</w:t>
            </w:r>
            <w:proofErr w:type="spellEnd"/>
          </w:p>
        </w:tc>
        <w:tc>
          <w:tcPr>
            <w:tcW w:w="884" w:type="dxa"/>
            <w:tcBorders>
              <w:top w:val="nil"/>
              <w:left w:val="nil"/>
              <w:bottom w:val="nil"/>
              <w:right w:val="nil"/>
            </w:tcBorders>
            <w:shd w:val="clear" w:color="auto" w:fill="auto"/>
            <w:noWrap/>
            <w:vAlign w:val="bottom"/>
            <w:hideMark/>
          </w:tcPr>
          <w:p w:rsidR="00140865" w:rsidRPr="002B40C9" w:rsidRDefault="00140865" w:rsidP="00140865">
            <w:pPr>
              <w:spacing w:after="0" w:line="240" w:lineRule="auto"/>
              <w:jc w:val="right"/>
              <w:rPr>
                <w:rFonts w:ascii="Calibri" w:eastAsia="Times New Roman" w:hAnsi="Calibri" w:cs="Times New Roman"/>
                <w:color w:val="000000"/>
                <w:sz w:val="16"/>
                <w:szCs w:val="16"/>
                <w:lang w:eastAsia="es-ES"/>
              </w:rPr>
            </w:pPr>
            <w:r w:rsidRPr="002B40C9">
              <w:rPr>
                <w:rFonts w:ascii="Calibri" w:eastAsia="Times New Roman" w:hAnsi="Calibri" w:cs="Times New Roman"/>
                <w:color w:val="000000"/>
                <w:sz w:val="16"/>
                <w:szCs w:val="16"/>
                <w:lang w:eastAsia="es-ES"/>
              </w:rPr>
              <w:t>12.52%</w:t>
            </w:r>
          </w:p>
        </w:tc>
        <w:tc>
          <w:tcPr>
            <w:tcW w:w="1197" w:type="dxa"/>
            <w:tcBorders>
              <w:top w:val="nil"/>
              <w:left w:val="nil"/>
              <w:bottom w:val="nil"/>
              <w:right w:val="nil"/>
            </w:tcBorders>
            <w:shd w:val="clear" w:color="auto" w:fill="auto"/>
            <w:noWrap/>
            <w:vAlign w:val="bottom"/>
            <w:hideMark/>
          </w:tcPr>
          <w:p w:rsidR="00140865" w:rsidRPr="002B40C9" w:rsidRDefault="00140865" w:rsidP="00140865">
            <w:pPr>
              <w:spacing w:after="0" w:line="240" w:lineRule="auto"/>
              <w:jc w:val="right"/>
              <w:rPr>
                <w:rFonts w:ascii="Calibri" w:eastAsia="Times New Roman" w:hAnsi="Calibri" w:cs="Times New Roman"/>
                <w:color w:val="000000"/>
                <w:sz w:val="16"/>
                <w:szCs w:val="16"/>
                <w:lang w:eastAsia="es-ES"/>
              </w:rPr>
            </w:pPr>
            <w:r w:rsidRPr="002B40C9">
              <w:rPr>
                <w:rFonts w:ascii="Calibri" w:eastAsia="Times New Roman" w:hAnsi="Calibri" w:cs="Times New Roman"/>
                <w:color w:val="000000"/>
                <w:sz w:val="16"/>
                <w:szCs w:val="16"/>
                <w:lang w:eastAsia="es-ES"/>
              </w:rPr>
              <w:t>16.37%</w:t>
            </w:r>
          </w:p>
        </w:tc>
        <w:tc>
          <w:tcPr>
            <w:tcW w:w="1196" w:type="dxa"/>
            <w:tcBorders>
              <w:top w:val="nil"/>
              <w:left w:val="nil"/>
              <w:bottom w:val="nil"/>
              <w:right w:val="nil"/>
            </w:tcBorders>
            <w:shd w:val="clear" w:color="auto" w:fill="auto"/>
            <w:noWrap/>
            <w:vAlign w:val="bottom"/>
            <w:hideMark/>
          </w:tcPr>
          <w:p w:rsidR="00140865" w:rsidRPr="002B40C9" w:rsidRDefault="00140865" w:rsidP="00140865">
            <w:pPr>
              <w:spacing w:after="0" w:line="240" w:lineRule="auto"/>
              <w:jc w:val="right"/>
              <w:rPr>
                <w:rFonts w:ascii="Calibri" w:eastAsia="Times New Roman" w:hAnsi="Calibri" w:cs="Times New Roman"/>
                <w:color w:val="000000"/>
                <w:sz w:val="16"/>
                <w:szCs w:val="16"/>
                <w:lang w:eastAsia="es-ES"/>
              </w:rPr>
            </w:pPr>
            <w:r w:rsidRPr="002B40C9">
              <w:rPr>
                <w:rFonts w:ascii="Calibri" w:eastAsia="Times New Roman" w:hAnsi="Calibri" w:cs="Times New Roman"/>
                <w:color w:val="000000"/>
                <w:sz w:val="16"/>
                <w:szCs w:val="16"/>
                <w:lang w:eastAsia="es-ES"/>
              </w:rPr>
              <w:t>17.54%</w:t>
            </w:r>
          </w:p>
        </w:tc>
        <w:tc>
          <w:tcPr>
            <w:tcW w:w="1653" w:type="dxa"/>
            <w:tcBorders>
              <w:top w:val="nil"/>
              <w:left w:val="nil"/>
              <w:bottom w:val="nil"/>
              <w:right w:val="nil"/>
            </w:tcBorders>
            <w:shd w:val="clear" w:color="auto" w:fill="auto"/>
            <w:noWrap/>
            <w:vAlign w:val="bottom"/>
            <w:hideMark/>
          </w:tcPr>
          <w:p w:rsidR="00140865" w:rsidRPr="002B40C9" w:rsidRDefault="00140865" w:rsidP="00140865">
            <w:pPr>
              <w:spacing w:after="0" w:line="240" w:lineRule="auto"/>
              <w:jc w:val="right"/>
              <w:rPr>
                <w:rFonts w:ascii="Calibri" w:eastAsia="Times New Roman" w:hAnsi="Calibri" w:cs="Times New Roman"/>
                <w:color w:val="000000"/>
                <w:sz w:val="16"/>
                <w:szCs w:val="16"/>
                <w:lang w:eastAsia="es-ES"/>
              </w:rPr>
            </w:pPr>
            <w:r w:rsidRPr="002B40C9">
              <w:rPr>
                <w:rFonts w:ascii="Calibri" w:eastAsia="Times New Roman" w:hAnsi="Calibri" w:cs="Times New Roman"/>
                <w:color w:val="000000"/>
                <w:sz w:val="16"/>
                <w:szCs w:val="16"/>
                <w:lang w:eastAsia="es-ES"/>
              </w:rPr>
              <w:t>17.85%</w:t>
            </w:r>
          </w:p>
        </w:tc>
        <w:tc>
          <w:tcPr>
            <w:tcW w:w="1250" w:type="dxa"/>
            <w:tcBorders>
              <w:top w:val="nil"/>
              <w:left w:val="nil"/>
              <w:bottom w:val="nil"/>
              <w:right w:val="nil"/>
            </w:tcBorders>
            <w:shd w:val="clear" w:color="auto" w:fill="auto"/>
            <w:noWrap/>
            <w:vAlign w:val="bottom"/>
            <w:hideMark/>
          </w:tcPr>
          <w:p w:rsidR="00140865" w:rsidRPr="002B40C9" w:rsidRDefault="00140865" w:rsidP="00140865">
            <w:pPr>
              <w:spacing w:after="0" w:line="240" w:lineRule="auto"/>
              <w:jc w:val="right"/>
              <w:rPr>
                <w:rFonts w:ascii="Calibri" w:eastAsia="Times New Roman" w:hAnsi="Calibri" w:cs="Times New Roman"/>
                <w:color w:val="000000"/>
                <w:sz w:val="16"/>
                <w:szCs w:val="16"/>
                <w:lang w:eastAsia="es-ES"/>
              </w:rPr>
            </w:pPr>
            <w:r w:rsidRPr="002B40C9">
              <w:rPr>
                <w:rFonts w:ascii="Calibri" w:eastAsia="Times New Roman" w:hAnsi="Calibri" w:cs="Times New Roman"/>
                <w:color w:val="000000"/>
                <w:sz w:val="16"/>
                <w:szCs w:val="16"/>
                <w:lang w:eastAsia="es-ES"/>
              </w:rPr>
              <w:t>17.85%</w:t>
            </w:r>
          </w:p>
        </w:tc>
      </w:tr>
    </w:tbl>
    <w:p w:rsidR="00892AAC" w:rsidRDefault="00892AAC" w:rsidP="00640AF6">
      <w:pPr>
        <w:pStyle w:val="NoSpacing"/>
        <w:spacing w:line="276" w:lineRule="auto"/>
        <w:rPr>
          <w:lang w:eastAsia="es-ES"/>
        </w:rPr>
      </w:pPr>
    </w:p>
    <w:p w:rsidR="00B54FAC" w:rsidRPr="00B54FAC" w:rsidRDefault="00B54FAC" w:rsidP="00B54FAC">
      <w:pPr>
        <w:rPr>
          <w:sz w:val="16"/>
          <w:szCs w:val="16"/>
          <w:lang w:val="en-US" w:eastAsia="es-ES"/>
        </w:rPr>
      </w:pPr>
      <w:r w:rsidRPr="00B54FAC">
        <w:rPr>
          <w:sz w:val="16"/>
          <w:szCs w:val="16"/>
          <w:lang w:val="en-US" w:eastAsia="es-ES"/>
        </w:rPr>
        <w:t>Source: M</w:t>
      </w:r>
      <w:r>
        <w:rPr>
          <w:sz w:val="16"/>
          <w:szCs w:val="16"/>
          <w:lang w:val="en-US" w:eastAsia="es-ES"/>
        </w:rPr>
        <w:t>i</w:t>
      </w:r>
      <w:r w:rsidRPr="00B54FAC">
        <w:rPr>
          <w:sz w:val="16"/>
          <w:szCs w:val="16"/>
          <w:lang w:val="en-US" w:eastAsia="es-ES"/>
        </w:rPr>
        <w:t>nistry of Economics and Finan</w:t>
      </w:r>
      <w:r>
        <w:rPr>
          <w:sz w:val="16"/>
          <w:szCs w:val="16"/>
          <w:lang w:val="en-US" w:eastAsia="es-ES"/>
        </w:rPr>
        <w:t>ce</w:t>
      </w:r>
      <w:r w:rsidRPr="00B54FAC">
        <w:rPr>
          <w:sz w:val="16"/>
          <w:szCs w:val="16"/>
          <w:lang w:val="en-US" w:eastAsia="es-ES"/>
        </w:rPr>
        <w:t xml:space="preserve"> – </w:t>
      </w:r>
      <w:proofErr w:type="spellStart"/>
      <w:r w:rsidRPr="00B54FAC">
        <w:rPr>
          <w:sz w:val="16"/>
          <w:szCs w:val="16"/>
          <w:lang w:val="en-US" w:eastAsia="es-ES"/>
        </w:rPr>
        <w:t>Transparencia</w:t>
      </w:r>
      <w:proofErr w:type="spellEnd"/>
      <w:r w:rsidRPr="00B54FAC">
        <w:rPr>
          <w:sz w:val="16"/>
          <w:szCs w:val="16"/>
          <w:lang w:val="en-US" w:eastAsia="es-ES"/>
        </w:rPr>
        <w:t xml:space="preserve"> </w:t>
      </w:r>
      <w:proofErr w:type="spellStart"/>
      <w:r w:rsidRPr="00B54FAC">
        <w:rPr>
          <w:sz w:val="16"/>
          <w:szCs w:val="16"/>
          <w:lang w:val="en-US" w:eastAsia="es-ES"/>
        </w:rPr>
        <w:t>Económica</w:t>
      </w:r>
      <w:proofErr w:type="spellEnd"/>
    </w:p>
    <w:p w:rsidR="00A2568D" w:rsidRPr="00B54FAC" w:rsidRDefault="00A2568D" w:rsidP="00E50C0E">
      <w:pPr>
        <w:spacing w:after="0"/>
        <w:ind w:firstLine="708"/>
        <w:rPr>
          <w:sz w:val="16"/>
          <w:szCs w:val="16"/>
          <w:lang w:val="en-US" w:eastAsia="es-ES"/>
        </w:rPr>
      </w:pPr>
    </w:p>
    <w:p w:rsidR="00B10D1A" w:rsidRPr="002A4DAE" w:rsidRDefault="00B10D1A" w:rsidP="00B10D1A">
      <w:pPr>
        <w:pStyle w:val="ListParagraph"/>
        <w:jc w:val="both"/>
        <w:rPr>
          <w:rFonts w:ascii="Calibri" w:eastAsia="Calibri" w:hAnsi="Calibri" w:cs="Times New Roman"/>
          <w:lang w:val="en-US"/>
        </w:rPr>
      </w:pPr>
    </w:p>
    <w:p w:rsidR="00211EAE" w:rsidRDefault="00211EAE" w:rsidP="00211EAE">
      <w:pPr>
        <w:pStyle w:val="ListParagraph"/>
        <w:numPr>
          <w:ilvl w:val="0"/>
          <w:numId w:val="5"/>
        </w:numPr>
        <w:jc w:val="both"/>
        <w:rPr>
          <w:lang w:val="en-US"/>
        </w:rPr>
      </w:pPr>
      <w:r w:rsidRPr="00202C36">
        <w:rPr>
          <w:lang w:val="en-US"/>
        </w:rPr>
        <w:t xml:space="preserve">The unclear decentralization process regarding who spend and how much </w:t>
      </w:r>
      <w:r w:rsidR="006732E9">
        <w:rPr>
          <w:lang w:val="en-US"/>
        </w:rPr>
        <w:t>is still an issue</w:t>
      </w:r>
      <w:r w:rsidRPr="00202C36">
        <w:rPr>
          <w:lang w:val="en-US"/>
        </w:rPr>
        <w:t xml:space="preserve">. The </w:t>
      </w:r>
      <w:r w:rsidR="00532FAF" w:rsidRPr="00202C36">
        <w:rPr>
          <w:lang w:val="en-US"/>
        </w:rPr>
        <w:t>amount</w:t>
      </w:r>
      <w:r w:rsidRPr="00202C36">
        <w:rPr>
          <w:lang w:val="en-US"/>
        </w:rPr>
        <w:t xml:space="preserve"> of money allocated is not the problem, but </w:t>
      </w:r>
      <w:r w:rsidR="00963F08" w:rsidRPr="00202C36">
        <w:rPr>
          <w:lang w:val="en-US"/>
        </w:rPr>
        <w:t>the autonomy of functions and the spending power</w:t>
      </w:r>
      <w:r w:rsidR="006732E9">
        <w:rPr>
          <w:lang w:val="en-US"/>
        </w:rPr>
        <w:t xml:space="preserve"> are</w:t>
      </w:r>
      <w:r w:rsidR="00963F08" w:rsidRPr="00202C36">
        <w:rPr>
          <w:lang w:val="en-US"/>
        </w:rPr>
        <w:t>.</w:t>
      </w:r>
      <w:r w:rsidR="005C2F95" w:rsidRPr="00202C36">
        <w:rPr>
          <w:lang w:val="en-US"/>
        </w:rPr>
        <w:t xml:space="preserve"> </w:t>
      </w:r>
      <w:r w:rsidR="00202C36" w:rsidRPr="00202C36">
        <w:rPr>
          <w:lang w:val="en-US"/>
        </w:rPr>
        <w:t>In m</w:t>
      </w:r>
      <w:r w:rsidR="005C2F95" w:rsidRPr="00202C36">
        <w:rPr>
          <w:lang w:val="en-US"/>
        </w:rPr>
        <w:t>any co</w:t>
      </w:r>
      <w:r w:rsidR="00532FAF">
        <w:rPr>
          <w:lang w:val="en-US"/>
        </w:rPr>
        <w:t>u</w:t>
      </w:r>
      <w:r w:rsidR="005C2F95" w:rsidRPr="00202C36">
        <w:rPr>
          <w:lang w:val="en-US"/>
        </w:rPr>
        <w:t xml:space="preserve">ntries, Peru included, </w:t>
      </w:r>
      <w:r w:rsidR="00202C36" w:rsidRPr="00202C36">
        <w:rPr>
          <w:lang w:val="en-US"/>
        </w:rPr>
        <w:t>central government is in charge of fundraising</w:t>
      </w:r>
      <w:r w:rsidR="00202C36">
        <w:rPr>
          <w:lang w:val="en-US"/>
        </w:rPr>
        <w:t>. That system works pretty well in Peru</w:t>
      </w:r>
      <w:r w:rsidR="00A67C35">
        <w:rPr>
          <w:lang w:val="en-US"/>
        </w:rPr>
        <w:t xml:space="preserve"> (otherwise, it has been proved that some regional governments would be in fiscal deficit</w:t>
      </w:r>
      <w:r w:rsidR="00671DFF">
        <w:rPr>
          <w:lang w:val="en-US"/>
        </w:rPr>
        <w:t xml:space="preserve"> if they were self-financed</w:t>
      </w:r>
      <w:r w:rsidR="00A67C35">
        <w:rPr>
          <w:lang w:val="en-US"/>
        </w:rPr>
        <w:t>)</w:t>
      </w:r>
      <w:r w:rsidR="00671DFF">
        <w:rPr>
          <w:lang w:val="en-US"/>
        </w:rPr>
        <w:t>. However, there is a strong debate about the power of regions for deciding their spending priorities.</w:t>
      </w:r>
    </w:p>
    <w:p w:rsidR="00671DFF" w:rsidRPr="00671DFF" w:rsidRDefault="00671DFF" w:rsidP="00671DFF">
      <w:pPr>
        <w:pStyle w:val="ListParagraph"/>
        <w:rPr>
          <w:lang w:val="en-US"/>
        </w:rPr>
      </w:pPr>
    </w:p>
    <w:p w:rsidR="00671DFF" w:rsidRDefault="00052091" w:rsidP="00211EAE">
      <w:pPr>
        <w:pStyle w:val="ListParagraph"/>
        <w:numPr>
          <w:ilvl w:val="0"/>
          <w:numId w:val="5"/>
        </w:numPr>
        <w:jc w:val="both"/>
        <w:rPr>
          <w:lang w:val="en-US"/>
        </w:rPr>
      </w:pPr>
      <w:r>
        <w:rPr>
          <w:lang w:val="en-US"/>
        </w:rPr>
        <w:t>There are</w:t>
      </w:r>
      <w:r w:rsidR="00671DFF">
        <w:rPr>
          <w:lang w:val="en-US"/>
        </w:rPr>
        <w:t xml:space="preserve"> some restrictions for budget execution, like the fact that some funding sources (like canon and royalties) cannot be used except for investment purposes.</w:t>
      </w:r>
      <w:r w:rsidR="00CB6CA4">
        <w:rPr>
          <w:lang w:val="en-US"/>
        </w:rPr>
        <w:t xml:space="preserve"> The problem is that there is a misspecification </w:t>
      </w:r>
      <w:r>
        <w:rPr>
          <w:lang w:val="en-US"/>
        </w:rPr>
        <w:t>of what investment means. For example, those programs related to investmen</w:t>
      </w:r>
      <w:r w:rsidR="007B5CD0">
        <w:rPr>
          <w:lang w:val="en-US"/>
        </w:rPr>
        <w:t>t in human capital (like coaching</w:t>
      </w:r>
      <w:r>
        <w:rPr>
          <w:lang w:val="en-US"/>
        </w:rPr>
        <w:t xml:space="preserve"> for teachers) are actually considered current expenses and hence they cannot have access to those funding sources. It is not intended to suggest that canon and royalties should be able for any kind of spending, but certainly it is suggested that some programs that are considered current expenditure should actually be reconsidered as investments.</w:t>
      </w:r>
    </w:p>
    <w:p w:rsidR="004B517C" w:rsidRDefault="004B517C">
      <w:pPr>
        <w:rPr>
          <w:b/>
          <w:bCs/>
          <w:color w:val="4F81BD" w:themeColor="accent1"/>
          <w:lang w:val="en-US"/>
        </w:rPr>
      </w:pPr>
      <w:r>
        <w:rPr>
          <w:lang w:val="en-US"/>
        </w:rPr>
        <w:br w:type="page"/>
      </w:r>
    </w:p>
    <w:p w:rsidR="00602F06" w:rsidRPr="00220AD4" w:rsidRDefault="00052091" w:rsidP="00220AD4">
      <w:pPr>
        <w:pStyle w:val="Caption"/>
        <w:spacing w:after="0" w:line="276" w:lineRule="auto"/>
        <w:jc w:val="center"/>
        <w:rPr>
          <w:sz w:val="22"/>
          <w:szCs w:val="22"/>
          <w:lang w:val="en-US"/>
        </w:rPr>
      </w:pPr>
      <w:r w:rsidRPr="00220AD4">
        <w:rPr>
          <w:sz w:val="22"/>
          <w:szCs w:val="22"/>
          <w:lang w:val="en-US"/>
        </w:rPr>
        <w:lastRenderedPageBreak/>
        <w:t>Figure</w:t>
      </w:r>
      <w:r w:rsidR="000524F1" w:rsidRPr="00220AD4">
        <w:rPr>
          <w:sz w:val="22"/>
          <w:szCs w:val="22"/>
          <w:lang w:val="en-US"/>
        </w:rPr>
        <w:t xml:space="preserve"> 7</w:t>
      </w:r>
      <w:r w:rsidR="00602F06" w:rsidRPr="00220AD4">
        <w:rPr>
          <w:sz w:val="22"/>
          <w:szCs w:val="22"/>
          <w:lang w:val="en-US"/>
        </w:rPr>
        <w:t xml:space="preserve">: </w:t>
      </w:r>
      <w:r w:rsidR="00220AD4" w:rsidRPr="00220AD4">
        <w:rPr>
          <w:sz w:val="22"/>
          <w:szCs w:val="22"/>
          <w:lang w:val="en-US"/>
        </w:rPr>
        <w:t xml:space="preserve">Preschool Spending per </w:t>
      </w:r>
      <w:r w:rsidR="00220AD4">
        <w:rPr>
          <w:sz w:val="22"/>
          <w:szCs w:val="22"/>
          <w:lang w:val="en-US"/>
        </w:rPr>
        <w:t>student</w:t>
      </w:r>
      <w:r w:rsidR="00220AD4" w:rsidRPr="00220AD4">
        <w:rPr>
          <w:sz w:val="22"/>
          <w:szCs w:val="22"/>
          <w:lang w:val="en-US"/>
        </w:rPr>
        <w:t xml:space="preserve">, by regional </w:t>
      </w:r>
      <w:proofErr w:type="spellStart"/>
      <w:r w:rsidR="00220AD4" w:rsidRPr="00220AD4">
        <w:rPr>
          <w:sz w:val="22"/>
          <w:szCs w:val="22"/>
          <w:lang w:val="en-US"/>
        </w:rPr>
        <w:t>rurality</w:t>
      </w:r>
      <w:proofErr w:type="spellEnd"/>
      <w:r w:rsidR="00220AD4" w:rsidRPr="00220AD4">
        <w:rPr>
          <w:sz w:val="22"/>
          <w:szCs w:val="22"/>
          <w:lang w:val="en-US"/>
        </w:rPr>
        <w:t xml:space="preserve"> index</w:t>
      </w:r>
      <w:r w:rsidR="00602F06" w:rsidRPr="00220AD4">
        <w:rPr>
          <w:sz w:val="22"/>
          <w:szCs w:val="22"/>
          <w:lang w:val="en-US"/>
        </w:rPr>
        <w:t xml:space="preserve"> (2008)</w:t>
      </w:r>
    </w:p>
    <w:p w:rsidR="00602F06" w:rsidRPr="00043499" w:rsidRDefault="00043499" w:rsidP="00640AF6">
      <w:pPr>
        <w:pStyle w:val="NoSpacing"/>
        <w:spacing w:line="276" w:lineRule="auto"/>
        <w:jc w:val="center"/>
        <w:rPr>
          <w:lang w:val="en-US"/>
        </w:rPr>
      </w:pPr>
      <w:r w:rsidRPr="00043499">
        <w:rPr>
          <w:noProof/>
          <w:lang w:val="en-US"/>
        </w:rPr>
        <w:drawing>
          <wp:inline distT="0" distB="0" distL="0" distR="0">
            <wp:extent cx="5292725" cy="2825855"/>
            <wp:effectExtent l="19050" t="0" r="22225" b="0"/>
            <wp:docPr id="34"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5F043F" w:rsidRPr="00D05CDF" w:rsidRDefault="00854BAF" w:rsidP="00640AF6">
      <w:pPr>
        <w:pStyle w:val="NoSpacing"/>
        <w:spacing w:line="276" w:lineRule="auto"/>
        <w:rPr>
          <w:sz w:val="16"/>
          <w:szCs w:val="16"/>
          <w:lang w:val="en-US"/>
        </w:rPr>
      </w:pPr>
      <w:r w:rsidRPr="00D05CDF">
        <w:rPr>
          <w:sz w:val="16"/>
          <w:szCs w:val="16"/>
          <w:lang w:val="en-US"/>
        </w:rPr>
        <w:t xml:space="preserve">Source: </w:t>
      </w:r>
      <w:r w:rsidR="00D05CDF" w:rsidRPr="00D05CDF">
        <w:rPr>
          <w:sz w:val="16"/>
          <w:szCs w:val="16"/>
          <w:lang w:val="en-US"/>
        </w:rPr>
        <w:t xml:space="preserve">Ministry of Economics and Finance – </w:t>
      </w:r>
      <w:r w:rsidRPr="00D05CDF">
        <w:rPr>
          <w:sz w:val="16"/>
          <w:szCs w:val="16"/>
          <w:lang w:val="en-US"/>
        </w:rPr>
        <w:t>SIAF</w:t>
      </w:r>
      <w:r w:rsidR="00D05CDF" w:rsidRPr="00D05CDF">
        <w:rPr>
          <w:sz w:val="16"/>
          <w:szCs w:val="16"/>
          <w:lang w:val="en-US"/>
        </w:rPr>
        <w:t>.</w:t>
      </w:r>
      <w:r w:rsidR="006732E9">
        <w:rPr>
          <w:sz w:val="16"/>
          <w:szCs w:val="16"/>
          <w:lang w:val="en-US"/>
        </w:rPr>
        <w:t xml:space="preserve"> </w:t>
      </w:r>
      <w:proofErr w:type="gramStart"/>
      <w:r w:rsidR="006732E9">
        <w:rPr>
          <w:sz w:val="16"/>
          <w:szCs w:val="16"/>
          <w:lang w:val="en-US"/>
        </w:rPr>
        <w:t>Elaborated by authors.</w:t>
      </w:r>
      <w:proofErr w:type="gramEnd"/>
    </w:p>
    <w:p w:rsidR="00E74E1A" w:rsidRPr="00D05CDF" w:rsidRDefault="00E74E1A" w:rsidP="00640AF6">
      <w:pPr>
        <w:pStyle w:val="NoSpacing"/>
        <w:spacing w:line="276" w:lineRule="auto"/>
        <w:rPr>
          <w:lang w:val="en-US"/>
        </w:rPr>
      </w:pPr>
    </w:p>
    <w:p w:rsidR="005F043F" w:rsidRPr="008D5654" w:rsidRDefault="00532FAF" w:rsidP="00FD30EB">
      <w:pPr>
        <w:pStyle w:val="ListParagraph"/>
        <w:numPr>
          <w:ilvl w:val="0"/>
          <w:numId w:val="6"/>
        </w:numPr>
        <w:jc w:val="both"/>
        <w:rPr>
          <w:lang w:val="en-US"/>
        </w:rPr>
      </w:pPr>
      <w:r w:rsidRPr="008D5654">
        <w:rPr>
          <w:lang w:val="en-US"/>
        </w:rPr>
        <w:t>The funding allocation is very unequal.</w:t>
      </w:r>
      <w:r w:rsidR="004A0649">
        <w:rPr>
          <w:lang w:val="en-US"/>
        </w:rPr>
        <w:t xml:space="preserve"> I</w:t>
      </w:r>
      <w:r w:rsidRPr="008D5654">
        <w:rPr>
          <w:lang w:val="en-US"/>
        </w:rPr>
        <w:t xml:space="preserve">t is not taken into account the real costs per student or neither the poverty index by region. That problem is more serious knowing that educational costs have not been standardized. As Figure 8 shows, </w:t>
      </w:r>
      <w:r w:rsidR="00A31294" w:rsidRPr="008D5654">
        <w:rPr>
          <w:lang w:val="en-US"/>
        </w:rPr>
        <w:t xml:space="preserve">there is </w:t>
      </w:r>
      <w:r w:rsidR="00DF7D4C" w:rsidRPr="008D5654">
        <w:rPr>
          <w:lang w:val="en-US"/>
        </w:rPr>
        <w:t xml:space="preserve">apparently </w:t>
      </w:r>
      <w:r w:rsidR="00A31294" w:rsidRPr="008D5654">
        <w:rPr>
          <w:lang w:val="en-US"/>
        </w:rPr>
        <w:t>a</w:t>
      </w:r>
      <w:r w:rsidR="00DF7D4C" w:rsidRPr="008D5654">
        <w:rPr>
          <w:lang w:val="en-US"/>
        </w:rPr>
        <w:t xml:space="preserve"> </w:t>
      </w:r>
      <w:r w:rsidR="00A31294" w:rsidRPr="008D5654">
        <w:rPr>
          <w:lang w:val="en-US"/>
        </w:rPr>
        <w:t>slight</w:t>
      </w:r>
      <w:r w:rsidR="00DF7D4C" w:rsidRPr="008D5654">
        <w:rPr>
          <w:lang w:val="en-US"/>
        </w:rPr>
        <w:t xml:space="preserve"> inverse correlation between the </w:t>
      </w:r>
      <w:proofErr w:type="spellStart"/>
      <w:r w:rsidR="00DF7D4C" w:rsidRPr="008D5654">
        <w:rPr>
          <w:lang w:val="en-US"/>
        </w:rPr>
        <w:t>rurality</w:t>
      </w:r>
      <w:proofErr w:type="spellEnd"/>
      <w:r w:rsidR="00DF7D4C" w:rsidRPr="008D5654">
        <w:rPr>
          <w:lang w:val="en-US"/>
        </w:rPr>
        <w:t xml:space="preserve"> index and the expenditure per student.</w:t>
      </w:r>
      <w:r w:rsidR="004C4252" w:rsidRPr="008D5654">
        <w:rPr>
          <w:lang w:val="en-US"/>
        </w:rPr>
        <w:t xml:space="preserve"> </w:t>
      </w:r>
      <w:r w:rsidR="00DD584C" w:rsidRPr="008D5654">
        <w:rPr>
          <w:lang w:val="en-US"/>
        </w:rPr>
        <w:t>The next figure, which shows for example the re</w:t>
      </w:r>
      <w:r w:rsidR="00FA5E5B" w:rsidRPr="008D5654">
        <w:rPr>
          <w:lang w:val="en-US"/>
        </w:rPr>
        <w:t>la</w:t>
      </w:r>
      <w:r w:rsidR="00DD584C" w:rsidRPr="008D5654">
        <w:rPr>
          <w:lang w:val="en-US"/>
        </w:rPr>
        <w:t xml:space="preserve">tionship between </w:t>
      </w:r>
      <w:proofErr w:type="spellStart"/>
      <w:r w:rsidR="00DD584C" w:rsidRPr="008D5654">
        <w:rPr>
          <w:lang w:val="en-US"/>
        </w:rPr>
        <w:t>rurality</w:t>
      </w:r>
      <w:proofErr w:type="spellEnd"/>
      <w:r w:rsidR="00DD584C" w:rsidRPr="008D5654">
        <w:rPr>
          <w:lang w:val="en-US"/>
        </w:rPr>
        <w:t xml:space="preserve"> (measured by the % of rural population) and the per capita budget in primary.  The first </w:t>
      </w:r>
      <w:r w:rsidR="007B5CD0">
        <w:rPr>
          <w:lang w:val="en-US"/>
        </w:rPr>
        <w:t>conclusion</w:t>
      </w:r>
      <w:r w:rsidR="006732E9">
        <w:rPr>
          <w:lang w:val="en-US"/>
        </w:rPr>
        <w:t xml:space="preserve"> is that the financing is</w:t>
      </w:r>
      <w:r w:rsidR="00FA5E5B" w:rsidRPr="008D5654">
        <w:rPr>
          <w:lang w:val="en-US"/>
        </w:rPr>
        <w:t xml:space="preserve"> favorin</w:t>
      </w:r>
      <w:r w:rsidR="0049067C">
        <w:rPr>
          <w:lang w:val="en-US"/>
        </w:rPr>
        <w:t>g the more dense areas or urban</w:t>
      </w:r>
      <w:r w:rsidR="00FA5E5B" w:rsidRPr="008D5654">
        <w:rPr>
          <w:lang w:val="en-US"/>
        </w:rPr>
        <w:t xml:space="preserve"> areas, even</w:t>
      </w:r>
      <w:r w:rsidR="0049067C">
        <w:rPr>
          <w:lang w:val="en-US"/>
        </w:rPr>
        <w:t xml:space="preserve"> </w:t>
      </w:r>
      <w:r w:rsidR="00FA5E5B" w:rsidRPr="008D5654">
        <w:rPr>
          <w:lang w:val="en-US"/>
        </w:rPr>
        <w:t>thoug</w:t>
      </w:r>
      <w:r w:rsidR="0049067C">
        <w:rPr>
          <w:lang w:val="en-US"/>
        </w:rPr>
        <w:t>h</w:t>
      </w:r>
      <w:r w:rsidR="00FA5E5B" w:rsidRPr="008D5654">
        <w:rPr>
          <w:lang w:val="en-US"/>
        </w:rPr>
        <w:t xml:space="preserve"> the costs to provide the service in rural areas are higher due to the low density and number of students per teacher.</w:t>
      </w:r>
      <w:r w:rsidR="005F043F" w:rsidRPr="008D5654">
        <w:rPr>
          <w:lang w:val="en-US"/>
        </w:rPr>
        <w:t xml:space="preserve"> </w:t>
      </w:r>
      <w:r w:rsidR="00FA5E5B" w:rsidRPr="008D5654">
        <w:rPr>
          <w:lang w:val="en-US"/>
        </w:rPr>
        <w:t>The figure shows that some regions have received twice or more in comparison to others.</w:t>
      </w:r>
      <w:r w:rsidR="005F043F" w:rsidRPr="008D5654">
        <w:rPr>
          <w:lang w:val="en-US"/>
        </w:rPr>
        <w:t xml:space="preserve"> </w:t>
      </w:r>
    </w:p>
    <w:p w:rsidR="00FD30EB" w:rsidRPr="00FA5E5B" w:rsidRDefault="00FD30EB" w:rsidP="00FD30EB">
      <w:pPr>
        <w:pStyle w:val="ListParagraph"/>
        <w:ind w:left="0"/>
        <w:jc w:val="both"/>
        <w:rPr>
          <w:i/>
          <w:lang w:val="en-US"/>
        </w:rPr>
      </w:pPr>
    </w:p>
    <w:p w:rsidR="002B479D" w:rsidRPr="006732E9" w:rsidRDefault="00BD0237" w:rsidP="006732E9">
      <w:pPr>
        <w:pStyle w:val="ListParagraph"/>
        <w:numPr>
          <w:ilvl w:val="0"/>
          <w:numId w:val="6"/>
        </w:numPr>
        <w:jc w:val="both"/>
        <w:rPr>
          <w:b/>
          <w:bCs/>
          <w:color w:val="4F81BD" w:themeColor="accent1"/>
          <w:lang w:val="en-US"/>
        </w:rPr>
      </w:pPr>
      <w:r w:rsidRPr="006732E9">
        <w:rPr>
          <w:lang w:val="en-US"/>
        </w:rPr>
        <w:t xml:space="preserve">Budget is planned annually and </w:t>
      </w:r>
      <w:r w:rsidR="005509B1" w:rsidRPr="006732E9">
        <w:rPr>
          <w:lang w:val="en-US"/>
        </w:rPr>
        <w:t xml:space="preserve">it does not seem to </w:t>
      </w:r>
      <w:r w:rsidR="0051254A" w:rsidRPr="006732E9">
        <w:rPr>
          <w:lang w:val="en-US"/>
        </w:rPr>
        <w:t xml:space="preserve">be linked with a long-run </w:t>
      </w:r>
      <w:r w:rsidR="00EA0D28" w:rsidRPr="006732E9">
        <w:rPr>
          <w:lang w:val="en-US"/>
        </w:rPr>
        <w:t xml:space="preserve">or a medium-term </w:t>
      </w:r>
      <w:r w:rsidR="0051254A" w:rsidRPr="006732E9">
        <w:rPr>
          <w:lang w:val="en-US"/>
        </w:rPr>
        <w:t>educational plan.</w:t>
      </w:r>
      <w:r w:rsidR="002552AD" w:rsidRPr="006732E9">
        <w:rPr>
          <w:lang w:val="en-US"/>
        </w:rPr>
        <w:t xml:space="preserve"> </w:t>
      </w:r>
      <w:r w:rsidR="00EA0D28" w:rsidRPr="006732E9">
        <w:rPr>
          <w:lang w:val="en-US"/>
        </w:rPr>
        <w:t>That is why the Ministry of Education ha</w:t>
      </w:r>
      <w:r w:rsidR="007B5CD0">
        <w:rPr>
          <w:lang w:val="en-US"/>
        </w:rPr>
        <w:t>s proposed a multiannual budget</w:t>
      </w:r>
      <w:r w:rsidR="00DA2AF0" w:rsidRPr="006732E9">
        <w:rPr>
          <w:lang w:val="en-US"/>
        </w:rPr>
        <w:t>, which would be planned for a period of three years.</w:t>
      </w:r>
      <w:r w:rsidR="00181B3E" w:rsidRPr="006732E9">
        <w:rPr>
          <w:lang w:val="en-US"/>
        </w:rPr>
        <w:t xml:space="preserve"> </w:t>
      </w:r>
      <w:r w:rsidR="002B479D" w:rsidRPr="006732E9">
        <w:rPr>
          <w:lang w:val="en-US"/>
        </w:rPr>
        <w:br w:type="page"/>
      </w:r>
    </w:p>
    <w:p w:rsidR="00602F06" w:rsidRPr="009737AF" w:rsidRDefault="009737AF" w:rsidP="009737AF">
      <w:pPr>
        <w:pStyle w:val="Caption"/>
        <w:spacing w:after="0" w:line="276" w:lineRule="auto"/>
        <w:jc w:val="center"/>
        <w:rPr>
          <w:sz w:val="22"/>
          <w:szCs w:val="22"/>
          <w:lang w:val="en-US"/>
        </w:rPr>
      </w:pPr>
      <w:r w:rsidRPr="009737AF">
        <w:rPr>
          <w:sz w:val="22"/>
          <w:szCs w:val="22"/>
          <w:lang w:val="en-US"/>
        </w:rPr>
        <w:lastRenderedPageBreak/>
        <w:t>Figure 8</w:t>
      </w:r>
      <w:r w:rsidR="00602F06" w:rsidRPr="009737AF">
        <w:rPr>
          <w:sz w:val="22"/>
          <w:szCs w:val="22"/>
          <w:lang w:val="en-US"/>
        </w:rPr>
        <w:t xml:space="preserve">: </w:t>
      </w:r>
      <w:r w:rsidRPr="009737AF">
        <w:rPr>
          <w:sz w:val="22"/>
          <w:szCs w:val="22"/>
          <w:lang w:val="en-US"/>
        </w:rPr>
        <w:t xml:space="preserve">Primary spending per student, by regional </w:t>
      </w:r>
      <w:proofErr w:type="spellStart"/>
      <w:r w:rsidRPr="009737AF">
        <w:rPr>
          <w:sz w:val="22"/>
          <w:szCs w:val="22"/>
          <w:lang w:val="en-US"/>
        </w:rPr>
        <w:t>rurality</w:t>
      </w:r>
      <w:proofErr w:type="spellEnd"/>
      <w:r w:rsidRPr="009737AF">
        <w:rPr>
          <w:sz w:val="22"/>
          <w:szCs w:val="22"/>
          <w:lang w:val="en-US"/>
        </w:rPr>
        <w:t xml:space="preserve"> index</w:t>
      </w:r>
      <w:r w:rsidR="00602F06" w:rsidRPr="009737AF">
        <w:rPr>
          <w:sz w:val="22"/>
          <w:szCs w:val="22"/>
          <w:lang w:val="en-US"/>
        </w:rPr>
        <w:t xml:space="preserve"> (2008)</w:t>
      </w:r>
    </w:p>
    <w:p w:rsidR="00602F06" w:rsidRDefault="001C262D" w:rsidP="00640AF6">
      <w:pPr>
        <w:pStyle w:val="NoSpacing"/>
        <w:spacing w:line="276" w:lineRule="auto"/>
        <w:jc w:val="center"/>
        <w:rPr>
          <w:lang w:val="es-PE"/>
        </w:rPr>
      </w:pPr>
      <w:r w:rsidRPr="001C262D">
        <w:rPr>
          <w:noProof/>
          <w:lang w:val="en-US"/>
        </w:rPr>
        <w:drawing>
          <wp:inline distT="0" distB="0" distL="0" distR="0">
            <wp:extent cx="5292725" cy="2610111"/>
            <wp:effectExtent l="19050" t="0" r="22225" b="0"/>
            <wp:docPr id="26"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B775A4" w:rsidRPr="006732E9" w:rsidRDefault="009737AF" w:rsidP="00640AF6">
      <w:pPr>
        <w:pStyle w:val="NoSpacing"/>
        <w:spacing w:line="276" w:lineRule="auto"/>
        <w:rPr>
          <w:sz w:val="16"/>
          <w:szCs w:val="16"/>
          <w:lang w:val="en-US"/>
        </w:rPr>
      </w:pPr>
      <w:r w:rsidRPr="006732E9">
        <w:rPr>
          <w:sz w:val="16"/>
          <w:szCs w:val="16"/>
          <w:lang w:val="en-US"/>
        </w:rPr>
        <w:t>Source</w:t>
      </w:r>
      <w:r w:rsidR="00B775A4" w:rsidRPr="006732E9">
        <w:rPr>
          <w:sz w:val="16"/>
          <w:szCs w:val="16"/>
          <w:lang w:val="en-US"/>
        </w:rPr>
        <w:t xml:space="preserve">: SIAF. </w:t>
      </w:r>
      <w:proofErr w:type="gramStart"/>
      <w:r w:rsidR="006732E9" w:rsidRPr="006732E9">
        <w:rPr>
          <w:sz w:val="16"/>
          <w:szCs w:val="16"/>
          <w:lang w:val="en-US"/>
        </w:rPr>
        <w:t>Elaborated by a</w:t>
      </w:r>
      <w:r w:rsidR="006732E9">
        <w:rPr>
          <w:sz w:val="16"/>
          <w:szCs w:val="16"/>
          <w:lang w:val="en-US"/>
        </w:rPr>
        <w:t>uthors.</w:t>
      </w:r>
      <w:proofErr w:type="gramEnd"/>
    </w:p>
    <w:p w:rsidR="00B775A4" w:rsidRPr="006732E9" w:rsidRDefault="00B775A4" w:rsidP="00640AF6">
      <w:pPr>
        <w:rPr>
          <w:lang w:val="en-US"/>
        </w:rPr>
      </w:pPr>
    </w:p>
    <w:p w:rsidR="00FD30EB" w:rsidRDefault="006B75B2" w:rsidP="00FD30EB">
      <w:pPr>
        <w:pStyle w:val="ListParagraph"/>
        <w:numPr>
          <w:ilvl w:val="0"/>
          <w:numId w:val="7"/>
        </w:numPr>
        <w:jc w:val="both"/>
        <w:rPr>
          <w:lang w:val="en-US"/>
        </w:rPr>
      </w:pPr>
      <w:r w:rsidRPr="006732E9">
        <w:rPr>
          <w:lang w:val="en-US"/>
        </w:rPr>
        <w:t xml:space="preserve">The </w:t>
      </w:r>
      <w:r w:rsidR="004A0649" w:rsidRPr="006732E9">
        <w:rPr>
          <w:lang w:val="en-US"/>
        </w:rPr>
        <w:t xml:space="preserve">regional autonomy </w:t>
      </w:r>
      <w:r w:rsidR="009C2741">
        <w:rPr>
          <w:lang w:val="en-US"/>
        </w:rPr>
        <w:t xml:space="preserve">in </w:t>
      </w:r>
      <w:r w:rsidRPr="006732E9">
        <w:rPr>
          <w:lang w:val="en-US"/>
        </w:rPr>
        <w:t>expendi</w:t>
      </w:r>
      <w:r w:rsidR="004A0649">
        <w:rPr>
          <w:lang w:val="en-US"/>
        </w:rPr>
        <w:t>ng</w:t>
      </w:r>
      <w:r w:rsidRPr="006732E9">
        <w:rPr>
          <w:lang w:val="en-US"/>
        </w:rPr>
        <w:t xml:space="preserve"> is another critical point. Regional governments have </w:t>
      </w:r>
      <w:r w:rsidR="007B5CD0">
        <w:rPr>
          <w:lang w:val="en-US"/>
        </w:rPr>
        <w:t>many</w:t>
      </w:r>
      <w:r w:rsidRPr="006732E9">
        <w:rPr>
          <w:lang w:val="en-US"/>
        </w:rPr>
        <w:t xml:space="preserve"> restrictions for deciding </w:t>
      </w:r>
      <w:r w:rsidR="00426ED5" w:rsidRPr="006732E9">
        <w:rPr>
          <w:lang w:val="en-US"/>
        </w:rPr>
        <w:t>what to do with their</w:t>
      </w:r>
      <w:r w:rsidR="003F39E9" w:rsidRPr="006732E9">
        <w:rPr>
          <w:lang w:val="en-US"/>
        </w:rPr>
        <w:t xml:space="preserve"> funding sources</w:t>
      </w:r>
      <w:r w:rsidR="00D41ED3" w:rsidRPr="006732E9">
        <w:rPr>
          <w:lang w:val="en-US"/>
        </w:rPr>
        <w:t>. This problem represents a limitatio</w:t>
      </w:r>
      <w:r w:rsidR="007B5CD0">
        <w:rPr>
          <w:lang w:val="en-US"/>
        </w:rPr>
        <w:t>n for any regional management initiative</w:t>
      </w:r>
      <w:r w:rsidR="008D134E" w:rsidRPr="006732E9">
        <w:rPr>
          <w:lang w:val="en-US"/>
        </w:rPr>
        <w:t xml:space="preserve">, which includes a system of performance incentives, meritocracy, etc. </w:t>
      </w:r>
    </w:p>
    <w:p w:rsidR="006732E9" w:rsidRPr="006732E9" w:rsidRDefault="006732E9" w:rsidP="006732E9">
      <w:pPr>
        <w:pStyle w:val="ListParagraph"/>
        <w:jc w:val="both"/>
        <w:rPr>
          <w:lang w:val="en-US"/>
        </w:rPr>
      </w:pPr>
    </w:p>
    <w:p w:rsidR="009E09B1" w:rsidRPr="009E09B1" w:rsidRDefault="009E09B1" w:rsidP="00FD30EB">
      <w:pPr>
        <w:pStyle w:val="ListParagraph"/>
        <w:numPr>
          <w:ilvl w:val="0"/>
          <w:numId w:val="7"/>
        </w:numPr>
        <w:jc w:val="both"/>
        <w:rPr>
          <w:lang w:val="en-US"/>
        </w:rPr>
      </w:pPr>
      <w:r w:rsidRPr="009E09B1">
        <w:rPr>
          <w:lang w:val="en-US"/>
        </w:rPr>
        <w:t xml:space="preserve">As it has been </w:t>
      </w:r>
      <w:r>
        <w:rPr>
          <w:lang w:val="en-US"/>
        </w:rPr>
        <w:t xml:space="preserve">already </w:t>
      </w:r>
      <w:r w:rsidRPr="009E09B1">
        <w:rPr>
          <w:lang w:val="en-US"/>
        </w:rPr>
        <w:t xml:space="preserve">mentioned in this document, </w:t>
      </w:r>
      <w:r>
        <w:rPr>
          <w:lang w:val="en-US"/>
        </w:rPr>
        <w:t xml:space="preserve">there is not a performance incentive system that links funding access with specific achievements. France and New Zealand have well-implemented this system, including incentives and disincentives depending on </w:t>
      </w:r>
      <w:r w:rsidR="00331E69">
        <w:rPr>
          <w:lang w:val="en-US"/>
        </w:rPr>
        <w:t>a</w:t>
      </w:r>
      <w:r>
        <w:rPr>
          <w:lang w:val="en-US"/>
        </w:rPr>
        <w:t xml:space="preserve"> good or bad performance. </w:t>
      </w:r>
    </w:p>
    <w:p w:rsidR="00FD30EB" w:rsidRDefault="00FD30EB" w:rsidP="00640AF6">
      <w:pPr>
        <w:pStyle w:val="ListParagraph"/>
        <w:ind w:left="0"/>
        <w:jc w:val="both"/>
        <w:rPr>
          <w:lang w:val="en-US"/>
        </w:rPr>
      </w:pPr>
    </w:p>
    <w:p w:rsidR="00FD30EB" w:rsidRPr="00B57979" w:rsidRDefault="00FA5E5B" w:rsidP="00162A9A">
      <w:pPr>
        <w:pStyle w:val="ListParagraph"/>
        <w:ind w:left="0"/>
        <w:jc w:val="both"/>
        <w:rPr>
          <w:color w:val="FF0000"/>
          <w:lang w:val="en-US"/>
        </w:rPr>
      </w:pPr>
      <w:r w:rsidRPr="008D5654">
        <w:rPr>
          <w:lang w:val="en-US"/>
        </w:rPr>
        <w:t xml:space="preserve">Other related issue is that the sector has to </w:t>
      </w:r>
      <w:r w:rsidR="00105005" w:rsidRPr="008D5654">
        <w:rPr>
          <w:lang w:val="en-US"/>
        </w:rPr>
        <w:t xml:space="preserve">have a better picture of </w:t>
      </w:r>
      <w:r w:rsidR="009C2741">
        <w:rPr>
          <w:lang w:val="en-US"/>
        </w:rPr>
        <w:t xml:space="preserve">what the </w:t>
      </w:r>
      <w:r w:rsidR="00105005" w:rsidRPr="008D5654">
        <w:rPr>
          <w:lang w:val="en-US"/>
        </w:rPr>
        <w:t>cost</w:t>
      </w:r>
      <w:r w:rsidR="00162A9A" w:rsidRPr="008D5654">
        <w:rPr>
          <w:lang w:val="en-US"/>
        </w:rPr>
        <w:t xml:space="preserve">s </w:t>
      </w:r>
      <w:r w:rsidR="009C2741">
        <w:rPr>
          <w:lang w:val="en-US"/>
        </w:rPr>
        <w:t>-</w:t>
      </w:r>
      <w:r w:rsidR="00162A9A" w:rsidRPr="008D5654">
        <w:rPr>
          <w:lang w:val="en-US"/>
        </w:rPr>
        <w:t xml:space="preserve">measured by the indicator “cost per student” </w:t>
      </w:r>
      <w:r w:rsidR="009C2741">
        <w:rPr>
          <w:lang w:val="en-US"/>
        </w:rPr>
        <w:t xml:space="preserve">- </w:t>
      </w:r>
      <w:r w:rsidR="00162A9A" w:rsidRPr="008D5654">
        <w:rPr>
          <w:lang w:val="en-US"/>
        </w:rPr>
        <w:t>and</w:t>
      </w:r>
      <w:r w:rsidR="00105005" w:rsidRPr="008D5654">
        <w:rPr>
          <w:lang w:val="en-US"/>
        </w:rPr>
        <w:t xml:space="preserve"> its </w:t>
      </w:r>
      <w:r w:rsidR="00162A9A" w:rsidRPr="008D5654">
        <w:rPr>
          <w:lang w:val="en-US"/>
        </w:rPr>
        <w:t xml:space="preserve">cost </w:t>
      </w:r>
      <w:r w:rsidR="00105005" w:rsidRPr="008D5654">
        <w:rPr>
          <w:lang w:val="en-US"/>
        </w:rPr>
        <w:t>structure</w:t>
      </w:r>
      <w:r w:rsidR="009C2741">
        <w:rPr>
          <w:lang w:val="en-US"/>
        </w:rPr>
        <w:t xml:space="preserve"> are -</w:t>
      </w:r>
      <w:r w:rsidR="00162A9A" w:rsidRPr="008D5654">
        <w:rPr>
          <w:lang w:val="en-US"/>
        </w:rPr>
        <w:t>for example direc</w:t>
      </w:r>
      <w:r w:rsidR="00DA1781">
        <w:rPr>
          <w:lang w:val="en-US"/>
        </w:rPr>
        <w:t>t and indirect</w:t>
      </w:r>
      <w:r w:rsidR="00105005" w:rsidRPr="008D5654">
        <w:rPr>
          <w:lang w:val="en-US"/>
        </w:rPr>
        <w:t xml:space="preserve">.   Having the information of costs </w:t>
      </w:r>
      <w:r w:rsidR="00162A9A" w:rsidRPr="008D5654">
        <w:rPr>
          <w:lang w:val="en-US"/>
        </w:rPr>
        <w:t xml:space="preserve">per students </w:t>
      </w:r>
      <w:r w:rsidR="00105005" w:rsidRPr="008D5654">
        <w:rPr>
          <w:lang w:val="en-US"/>
        </w:rPr>
        <w:t xml:space="preserve">will </w:t>
      </w:r>
      <w:r w:rsidR="00162A9A" w:rsidRPr="008D5654">
        <w:rPr>
          <w:lang w:val="en-US"/>
        </w:rPr>
        <w:t>improve the allocation</w:t>
      </w:r>
      <w:r w:rsidR="00105005" w:rsidRPr="008D5654">
        <w:rPr>
          <w:lang w:val="en-US"/>
        </w:rPr>
        <w:t xml:space="preserve"> </w:t>
      </w:r>
      <w:r w:rsidR="00162A9A" w:rsidRPr="008D5654">
        <w:rPr>
          <w:lang w:val="en-US"/>
        </w:rPr>
        <w:t>process, and not merely following the costs of inputs such as teacher wages. Likewise, the allocation will consider the difference between urban and rural settings, due</w:t>
      </w:r>
      <w:r w:rsidR="009C2741">
        <w:rPr>
          <w:lang w:val="en-US"/>
        </w:rPr>
        <w:t xml:space="preserve"> to</w:t>
      </w:r>
      <w:r w:rsidR="00162A9A" w:rsidRPr="008D5654">
        <w:rPr>
          <w:lang w:val="en-US"/>
        </w:rPr>
        <w:t xml:space="preserve"> their difference in cost structure; less dense communities will have more expensive system. As a recommendation, and agreed by several public officials, there is a need to have standard costs based on the better practice. An important contribution will be to analyze the real costs of learning materials, and not only human resources.  </w:t>
      </w:r>
      <w:r w:rsidR="00DA1781">
        <w:rPr>
          <w:lang w:val="en-US"/>
        </w:rPr>
        <w:t>T</w:t>
      </w:r>
      <w:r w:rsidR="00162A9A" w:rsidRPr="008D5654">
        <w:rPr>
          <w:lang w:val="en-US"/>
        </w:rPr>
        <w:t>eacher</w:t>
      </w:r>
      <w:r w:rsidR="00DA1781">
        <w:rPr>
          <w:lang w:val="en-US"/>
        </w:rPr>
        <w:t>’</w:t>
      </w:r>
      <w:r w:rsidR="00162A9A" w:rsidRPr="008D5654">
        <w:rPr>
          <w:lang w:val="en-US"/>
        </w:rPr>
        <w:t xml:space="preserve">s </w:t>
      </w:r>
      <w:r w:rsidR="00DA1781">
        <w:rPr>
          <w:lang w:val="en-US"/>
        </w:rPr>
        <w:t>p</w:t>
      </w:r>
      <w:r w:rsidR="00DA1781" w:rsidRPr="008D5654">
        <w:rPr>
          <w:lang w:val="en-US"/>
        </w:rPr>
        <w:t xml:space="preserve">roductivity </w:t>
      </w:r>
      <w:r w:rsidR="00DA1781">
        <w:rPr>
          <w:lang w:val="en-US"/>
        </w:rPr>
        <w:t>improves</w:t>
      </w:r>
      <w:r w:rsidR="00162A9A" w:rsidRPr="008D5654">
        <w:rPr>
          <w:lang w:val="en-US"/>
        </w:rPr>
        <w:t xml:space="preserve"> when they have the right inputs in the classroom.  Contrary to that vision, in Peru, the items of goods and services, and infrastructure has been always very low.</w:t>
      </w:r>
      <w:r w:rsidR="00FD30EB" w:rsidRPr="00B57979">
        <w:rPr>
          <w:color w:val="FF0000"/>
          <w:lang w:val="en-US"/>
        </w:rPr>
        <w:t xml:space="preserve"> </w:t>
      </w:r>
    </w:p>
    <w:p w:rsidR="00FD440C" w:rsidRPr="00B57979" w:rsidRDefault="00FD440C" w:rsidP="00640AF6">
      <w:pPr>
        <w:pStyle w:val="ListParagraph"/>
        <w:ind w:left="0"/>
        <w:jc w:val="both"/>
        <w:rPr>
          <w:lang w:val="en-US"/>
        </w:rPr>
      </w:pPr>
    </w:p>
    <w:p w:rsidR="00AC6A82" w:rsidRPr="00AC6A82" w:rsidRDefault="00AC6A82" w:rsidP="00640AF6">
      <w:pPr>
        <w:pStyle w:val="ListParagraph"/>
        <w:ind w:left="0"/>
        <w:jc w:val="both"/>
        <w:rPr>
          <w:lang w:val="en-US"/>
        </w:rPr>
      </w:pPr>
      <w:r w:rsidRPr="00AC6A82">
        <w:rPr>
          <w:lang w:val="en-US"/>
        </w:rPr>
        <w:t>Budget management is limited b</w:t>
      </w:r>
      <w:r>
        <w:rPr>
          <w:lang w:val="en-US"/>
        </w:rPr>
        <w:t>y the institutional bottlenecks and the lack of flexibility of the administrative systems</w:t>
      </w:r>
      <w:r>
        <w:rPr>
          <w:rStyle w:val="FootnoteReference"/>
          <w:lang w:val="en-US"/>
        </w:rPr>
        <w:footnoteReference w:id="7"/>
      </w:r>
      <w:r w:rsidR="0092364B">
        <w:rPr>
          <w:lang w:val="en-US"/>
        </w:rPr>
        <w:t xml:space="preserve">. One of the problems mentioned constantly by public technical and elected authorities at the regions is the transaction cost which occurs along the </w:t>
      </w:r>
      <w:r w:rsidR="0092364B">
        <w:rPr>
          <w:lang w:val="en-US"/>
        </w:rPr>
        <w:lastRenderedPageBreak/>
        <w:t xml:space="preserve">implementation budget process.  In a recent </w:t>
      </w:r>
      <w:r w:rsidR="009041AB">
        <w:rPr>
          <w:lang w:val="en-US"/>
        </w:rPr>
        <w:t>speech</w:t>
      </w:r>
      <w:r w:rsidR="0092364B">
        <w:rPr>
          <w:lang w:val="en-US"/>
        </w:rPr>
        <w:t xml:space="preserve"> of Allen </w:t>
      </w:r>
      <w:r w:rsidR="0092364B" w:rsidRPr="00B643B0">
        <w:rPr>
          <w:lang w:val="en-US"/>
        </w:rPr>
        <w:t>Schick</w:t>
      </w:r>
      <w:r w:rsidR="0092364B" w:rsidRPr="00B643B0">
        <w:rPr>
          <w:rStyle w:val="FootnoteReference"/>
          <w:lang w:val="es-PE"/>
        </w:rPr>
        <w:footnoteReference w:id="8"/>
      </w:r>
      <w:r w:rsidR="0092364B" w:rsidRPr="00B643B0">
        <w:rPr>
          <w:lang w:val="en-US"/>
        </w:rPr>
        <w:t xml:space="preserve">  in</w:t>
      </w:r>
      <w:r w:rsidR="009C2741">
        <w:rPr>
          <w:lang w:val="en-US"/>
        </w:rPr>
        <w:t xml:space="preserve"> </w:t>
      </w:r>
      <w:proofErr w:type="spellStart"/>
      <w:r w:rsidR="009C2741">
        <w:rPr>
          <w:lang w:val="en-US"/>
        </w:rPr>
        <w:t>Perú</w:t>
      </w:r>
      <w:proofErr w:type="spellEnd"/>
      <w:r w:rsidR="009C2741">
        <w:rPr>
          <w:lang w:val="en-US"/>
        </w:rPr>
        <w:t xml:space="preserve"> (J</w:t>
      </w:r>
      <w:r w:rsidR="0092364B">
        <w:rPr>
          <w:lang w:val="en-US"/>
        </w:rPr>
        <w:t xml:space="preserve">uly 2009), about the Result Based Budget in Peru, </w:t>
      </w:r>
      <w:r w:rsidR="009041AB">
        <w:rPr>
          <w:lang w:val="en-US"/>
        </w:rPr>
        <w:t>made reference to the complicated and excessive normative Peruvian sch</w:t>
      </w:r>
      <w:r w:rsidR="009C2741">
        <w:rPr>
          <w:lang w:val="en-US"/>
        </w:rPr>
        <w:t xml:space="preserve">eme; concluding that </w:t>
      </w:r>
      <w:r w:rsidR="009041AB">
        <w:rPr>
          <w:lang w:val="en-US"/>
        </w:rPr>
        <w:t>the problem is not the programming but the implementation.</w:t>
      </w:r>
    </w:p>
    <w:p w:rsidR="008D5654" w:rsidRDefault="008D5654" w:rsidP="009041AB">
      <w:pPr>
        <w:pStyle w:val="ListParagraph"/>
        <w:ind w:left="0"/>
        <w:jc w:val="both"/>
        <w:rPr>
          <w:lang w:val="en-US"/>
        </w:rPr>
      </w:pPr>
    </w:p>
    <w:p w:rsidR="00E06614" w:rsidRPr="009041AB" w:rsidRDefault="009041AB" w:rsidP="009041AB">
      <w:pPr>
        <w:pStyle w:val="ListParagraph"/>
        <w:ind w:left="0"/>
        <w:jc w:val="both"/>
        <w:rPr>
          <w:lang w:val="en-US"/>
        </w:rPr>
      </w:pPr>
      <w:r>
        <w:rPr>
          <w:lang w:val="en-US"/>
        </w:rPr>
        <w:t xml:space="preserve">The institutional </w:t>
      </w:r>
      <w:r w:rsidR="008D5654">
        <w:rPr>
          <w:lang w:val="en-US"/>
        </w:rPr>
        <w:t>bottleneck at the end makes</w:t>
      </w:r>
      <w:r>
        <w:rPr>
          <w:lang w:val="en-US"/>
        </w:rPr>
        <w:t xml:space="preserve"> every sol or dollar less effective at the school level due to factors such as lack of opportunity. </w:t>
      </w:r>
    </w:p>
    <w:p w:rsidR="00FD30EB" w:rsidRPr="00B57979" w:rsidRDefault="00FD30EB" w:rsidP="00FD30EB">
      <w:pPr>
        <w:pStyle w:val="ListParagraph"/>
        <w:jc w:val="both"/>
        <w:rPr>
          <w:lang w:val="en-US"/>
        </w:rPr>
      </w:pPr>
    </w:p>
    <w:p w:rsidR="00F11B63" w:rsidRPr="00F11B63" w:rsidRDefault="00F11B63" w:rsidP="00FD30EB">
      <w:pPr>
        <w:pStyle w:val="ListParagraph"/>
        <w:numPr>
          <w:ilvl w:val="0"/>
          <w:numId w:val="7"/>
        </w:numPr>
        <w:jc w:val="both"/>
        <w:rPr>
          <w:lang w:val="en-US"/>
        </w:rPr>
      </w:pPr>
      <w:r w:rsidRPr="00F11B63">
        <w:rPr>
          <w:lang w:val="en-US"/>
        </w:rPr>
        <w:t>There is no link b</w:t>
      </w:r>
      <w:r>
        <w:rPr>
          <w:lang w:val="en-US"/>
        </w:rPr>
        <w:t xml:space="preserve">etween the responsibility on budget and the responsibility on achievements. As it has been explained, not all the UGEL’s are </w:t>
      </w:r>
      <w:proofErr w:type="spellStart"/>
      <w:r w:rsidRPr="00F11B63">
        <w:rPr>
          <w:i/>
          <w:lang w:val="en-US"/>
        </w:rPr>
        <w:t>Unidades</w:t>
      </w:r>
      <w:proofErr w:type="spellEnd"/>
      <w:r w:rsidRPr="00F11B63">
        <w:rPr>
          <w:i/>
          <w:lang w:val="en-US"/>
        </w:rPr>
        <w:t xml:space="preserve"> </w:t>
      </w:r>
      <w:proofErr w:type="spellStart"/>
      <w:r w:rsidRPr="00F11B63">
        <w:rPr>
          <w:i/>
          <w:lang w:val="en-US"/>
        </w:rPr>
        <w:t>Ejecutoras</w:t>
      </w:r>
      <w:proofErr w:type="spellEnd"/>
      <w:r>
        <w:rPr>
          <w:lang w:val="en-US"/>
        </w:rPr>
        <w:t xml:space="preserve">. </w:t>
      </w:r>
      <w:r w:rsidR="00B03DC2">
        <w:rPr>
          <w:lang w:val="en-US"/>
        </w:rPr>
        <w:t>For t</w:t>
      </w:r>
      <w:r>
        <w:rPr>
          <w:lang w:val="en-US"/>
        </w:rPr>
        <w:t xml:space="preserve">hose UGEL’s that has budget execution power (that is, they are UE) </w:t>
      </w:r>
      <w:r w:rsidR="00B03DC2">
        <w:rPr>
          <w:lang w:val="en-US"/>
        </w:rPr>
        <w:t>is more likely that they can process their funding needs faster than those UGEL’s that are not UE (these last ones have to make and additional step in order to get more funding).</w:t>
      </w:r>
    </w:p>
    <w:p w:rsidR="00F11B63" w:rsidRPr="00F11B63" w:rsidRDefault="00F11B63" w:rsidP="00F11B63">
      <w:pPr>
        <w:pStyle w:val="ListParagraph"/>
        <w:rPr>
          <w:lang w:val="en-US"/>
        </w:rPr>
      </w:pPr>
    </w:p>
    <w:p w:rsidR="009C2741" w:rsidRDefault="00CF706B" w:rsidP="009C2741">
      <w:pPr>
        <w:pStyle w:val="ListParagraph"/>
        <w:numPr>
          <w:ilvl w:val="0"/>
          <w:numId w:val="7"/>
        </w:numPr>
        <w:jc w:val="both"/>
        <w:rPr>
          <w:lang w:val="en-US"/>
        </w:rPr>
      </w:pPr>
      <w:r w:rsidRPr="009C2741">
        <w:rPr>
          <w:lang w:val="en-US"/>
        </w:rPr>
        <w:t xml:space="preserve">Institutional strengthening is necessary, as well as the strengthening </w:t>
      </w:r>
      <w:r w:rsidR="00073814" w:rsidRPr="009C2741">
        <w:rPr>
          <w:lang w:val="en-US"/>
        </w:rPr>
        <w:t xml:space="preserve">of manpower, information technologies, etc. There is no information system that facilitates the linkage between performance indicators </w:t>
      </w:r>
      <w:r w:rsidR="005B1B9F" w:rsidRPr="009C2741">
        <w:rPr>
          <w:lang w:val="en-US"/>
        </w:rPr>
        <w:t xml:space="preserve">and funding access. </w:t>
      </w:r>
      <w:r w:rsidR="00776240" w:rsidRPr="009C2741">
        <w:rPr>
          <w:lang w:val="en-US"/>
        </w:rPr>
        <w:t xml:space="preserve">International experience suggests </w:t>
      </w:r>
      <w:r w:rsidR="008F446E" w:rsidRPr="009C2741">
        <w:rPr>
          <w:lang w:val="en-US"/>
        </w:rPr>
        <w:t>successful monitoring systems for education sector, but i</w:t>
      </w:r>
      <w:r w:rsidR="009C2741">
        <w:rPr>
          <w:lang w:val="en-US"/>
        </w:rPr>
        <w:t>t still lacks a managing system.</w:t>
      </w:r>
    </w:p>
    <w:p w:rsidR="009C2741" w:rsidRPr="009C2741" w:rsidRDefault="009C2741" w:rsidP="009C2741">
      <w:pPr>
        <w:pStyle w:val="ListParagraph"/>
        <w:rPr>
          <w:lang w:val="en-US"/>
        </w:rPr>
      </w:pPr>
    </w:p>
    <w:p w:rsidR="008F446E" w:rsidRPr="008F446E" w:rsidRDefault="008F446E" w:rsidP="00640AF6">
      <w:pPr>
        <w:pStyle w:val="ListParagraph"/>
        <w:numPr>
          <w:ilvl w:val="0"/>
          <w:numId w:val="7"/>
        </w:numPr>
        <w:jc w:val="both"/>
        <w:rPr>
          <w:lang w:val="en-US"/>
        </w:rPr>
      </w:pPr>
      <w:r w:rsidRPr="008F446E">
        <w:rPr>
          <w:lang w:val="en-US"/>
        </w:rPr>
        <w:t xml:space="preserve">Parental involvement also can be </w:t>
      </w:r>
      <w:r w:rsidR="00AB74C4">
        <w:rPr>
          <w:lang w:val="en-US"/>
        </w:rPr>
        <w:t>an extra-monitoring system</w:t>
      </w:r>
      <w:r w:rsidR="003725AF">
        <w:rPr>
          <w:lang w:val="en-US"/>
        </w:rPr>
        <w:t xml:space="preserve">. </w:t>
      </w:r>
      <w:r w:rsidR="007736BE">
        <w:rPr>
          <w:lang w:val="en-US"/>
        </w:rPr>
        <w:t>At present, p</w:t>
      </w:r>
      <w:r w:rsidR="003725AF">
        <w:rPr>
          <w:lang w:val="en-US"/>
        </w:rPr>
        <w:t>articipatory budget</w:t>
      </w:r>
      <w:r w:rsidR="007736BE">
        <w:rPr>
          <w:lang w:val="en-US"/>
        </w:rPr>
        <w:t xml:space="preserve"> has been an instrument for prioritizing and legitimizing investments, but it can also be useful for monitoring both spending and school operation.</w:t>
      </w:r>
      <w:r w:rsidR="009C145D">
        <w:rPr>
          <w:lang w:val="en-US"/>
        </w:rPr>
        <w:t xml:space="preserve"> </w:t>
      </w:r>
    </w:p>
    <w:p w:rsidR="002B479D" w:rsidRDefault="002B479D">
      <w:pPr>
        <w:rPr>
          <w:rFonts w:asciiTheme="majorHAnsi" w:eastAsiaTheme="majorEastAsia" w:hAnsiTheme="majorHAnsi" w:cstheme="majorBidi"/>
          <w:b/>
          <w:bCs/>
          <w:color w:val="365F91" w:themeColor="accent1" w:themeShade="BF"/>
          <w:sz w:val="28"/>
          <w:szCs w:val="28"/>
          <w:lang w:val="en-US"/>
        </w:rPr>
      </w:pPr>
      <w:r>
        <w:rPr>
          <w:lang w:val="en-US"/>
        </w:rPr>
        <w:br w:type="page"/>
      </w:r>
    </w:p>
    <w:p w:rsidR="00AF5D0D" w:rsidRPr="00D14B6A" w:rsidRDefault="008D5654" w:rsidP="00640AF6">
      <w:pPr>
        <w:pStyle w:val="Heading1"/>
        <w:rPr>
          <w:lang w:val="en-US"/>
        </w:rPr>
      </w:pPr>
      <w:bookmarkStart w:id="16" w:name="_Toc255446166"/>
      <w:r>
        <w:rPr>
          <w:lang w:val="en-US"/>
        </w:rPr>
        <w:lastRenderedPageBreak/>
        <w:t xml:space="preserve">III. </w:t>
      </w:r>
      <w:r w:rsidR="00AF5D0D" w:rsidRPr="00D14B6A">
        <w:rPr>
          <w:lang w:val="en-US"/>
        </w:rPr>
        <w:t>BENEFIT INCIDENCE ANALYSIS</w:t>
      </w:r>
      <w:bookmarkEnd w:id="16"/>
    </w:p>
    <w:p w:rsidR="00AF5D0D" w:rsidRPr="00D14B6A" w:rsidRDefault="00AF5D0D" w:rsidP="008D5654">
      <w:pPr>
        <w:spacing w:after="0"/>
        <w:rPr>
          <w:sz w:val="24"/>
          <w:szCs w:val="24"/>
          <w:lang w:val="en-US"/>
        </w:rPr>
      </w:pPr>
    </w:p>
    <w:p w:rsidR="00AF5D0D" w:rsidRPr="00D95425" w:rsidRDefault="008D5654" w:rsidP="008D5654">
      <w:pPr>
        <w:pStyle w:val="Heading2"/>
        <w:numPr>
          <w:ilvl w:val="0"/>
          <w:numId w:val="15"/>
        </w:numPr>
        <w:spacing w:before="0"/>
        <w:rPr>
          <w:rFonts w:eastAsia="Times New Roman"/>
          <w:lang w:val="en-US" w:eastAsia="es-ES"/>
        </w:rPr>
      </w:pPr>
      <w:bookmarkStart w:id="17" w:name="_Toc255446167"/>
      <w:r>
        <w:rPr>
          <w:rFonts w:eastAsia="Times New Roman"/>
          <w:lang w:val="en-US" w:eastAsia="es-ES"/>
        </w:rPr>
        <w:t>M</w:t>
      </w:r>
      <w:r w:rsidR="00AF5D0D" w:rsidRPr="00D95425">
        <w:rPr>
          <w:rFonts w:eastAsia="Times New Roman"/>
          <w:lang w:val="en-US" w:eastAsia="es-ES"/>
        </w:rPr>
        <w:t>et</w:t>
      </w:r>
      <w:r w:rsidR="00D14B6A" w:rsidRPr="00D95425">
        <w:rPr>
          <w:rFonts w:eastAsia="Times New Roman"/>
          <w:lang w:val="en-US" w:eastAsia="es-ES"/>
        </w:rPr>
        <w:t>hodology</w:t>
      </w:r>
      <w:bookmarkEnd w:id="17"/>
    </w:p>
    <w:p w:rsidR="00AF5D0D" w:rsidRPr="00D95425" w:rsidRDefault="00AF5D0D" w:rsidP="00640AF6">
      <w:pPr>
        <w:spacing w:after="0"/>
        <w:rPr>
          <w:rFonts w:ascii="Arial" w:eastAsia="Times New Roman" w:hAnsi="Arial" w:cs="Arial"/>
          <w:color w:val="000000"/>
          <w:sz w:val="24"/>
          <w:szCs w:val="24"/>
          <w:lang w:val="en-US" w:eastAsia="es-ES"/>
        </w:rPr>
      </w:pPr>
    </w:p>
    <w:p w:rsidR="00D14B6A" w:rsidRPr="00E429D0" w:rsidRDefault="00D14B6A" w:rsidP="00640AF6">
      <w:pPr>
        <w:jc w:val="both"/>
        <w:rPr>
          <w:lang w:val="en-US" w:eastAsia="es-ES"/>
        </w:rPr>
      </w:pPr>
      <w:r w:rsidRPr="00D95425">
        <w:rPr>
          <w:lang w:val="en-US" w:eastAsia="es-ES"/>
        </w:rPr>
        <w:t>The first step</w:t>
      </w:r>
      <w:r w:rsidR="00D95425" w:rsidRPr="00D95425">
        <w:rPr>
          <w:lang w:val="en-US" w:eastAsia="es-ES"/>
        </w:rPr>
        <w:t xml:space="preserve"> w</w:t>
      </w:r>
      <w:r w:rsidR="00D95425">
        <w:rPr>
          <w:lang w:val="en-US" w:eastAsia="es-ES"/>
        </w:rPr>
        <w:t>as to g</w:t>
      </w:r>
      <w:r w:rsidR="00DC4CAF">
        <w:rPr>
          <w:lang w:val="en-US" w:eastAsia="es-ES"/>
        </w:rPr>
        <w:t>et the public school enrollment</w:t>
      </w:r>
      <w:r w:rsidR="00D874F9">
        <w:rPr>
          <w:lang w:val="en-US" w:eastAsia="es-ES"/>
        </w:rPr>
        <w:t>, for Preschool, Primary and Secondary Education</w:t>
      </w:r>
      <w:r w:rsidR="00DC4CAF">
        <w:rPr>
          <w:lang w:val="en-US" w:eastAsia="es-ES"/>
        </w:rPr>
        <w:t xml:space="preserve">. </w:t>
      </w:r>
      <w:r w:rsidR="00DC4CAF" w:rsidRPr="00D874F9">
        <w:rPr>
          <w:lang w:val="en-US" w:eastAsia="es-ES"/>
        </w:rPr>
        <w:t xml:space="preserve">This data was </w:t>
      </w:r>
      <w:r w:rsidR="00D874F9" w:rsidRPr="00D874F9">
        <w:rPr>
          <w:lang w:val="en-US" w:eastAsia="es-ES"/>
        </w:rPr>
        <w:t>available on the National Statistica</w:t>
      </w:r>
      <w:r w:rsidR="00D874F9">
        <w:rPr>
          <w:lang w:val="en-US" w:eastAsia="es-ES"/>
        </w:rPr>
        <w:t>l</w:t>
      </w:r>
      <w:r w:rsidR="00D874F9" w:rsidRPr="00D874F9">
        <w:rPr>
          <w:lang w:val="en-US" w:eastAsia="es-ES"/>
        </w:rPr>
        <w:t xml:space="preserve"> Institute’s website</w:t>
      </w:r>
      <w:r w:rsidR="00D874F9">
        <w:rPr>
          <w:lang w:val="en-US" w:eastAsia="es-ES"/>
        </w:rPr>
        <w:t xml:space="preserve"> (INEI). </w:t>
      </w:r>
      <w:r w:rsidR="00D874F9" w:rsidRPr="0071552A">
        <w:rPr>
          <w:lang w:val="en-US" w:eastAsia="es-ES"/>
        </w:rPr>
        <w:t xml:space="preserve">It was used the </w:t>
      </w:r>
      <w:r w:rsidR="0071552A" w:rsidRPr="0071552A">
        <w:rPr>
          <w:lang w:val="en-US" w:eastAsia="es-ES"/>
        </w:rPr>
        <w:t xml:space="preserve">National Household Survey (ENAHO) </w:t>
      </w:r>
      <w:r w:rsidR="001E5341">
        <w:rPr>
          <w:lang w:val="en-US" w:eastAsia="es-ES"/>
        </w:rPr>
        <w:t>for</w:t>
      </w:r>
      <w:r w:rsidR="0071552A" w:rsidRPr="0071552A">
        <w:rPr>
          <w:lang w:val="en-US" w:eastAsia="es-ES"/>
        </w:rPr>
        <w:t xml:space="preserve"> o</w:t>
      </w:r>
      <w:r w:rsidR="0071552A">
        <w:rPr>
          <w:lang w:val="en-US" w:eastAsia="es-ES"/>
        </w:rPr>
        <w:t>btain</w:t>
      </w:r>
      <w:r w:rsidR="001E5341">
        <w:rPr>
          <w:lang w:val="en-US" w:eastAsia="es-ES"/>
        </w:rPr>
        <w:t>ing</w:t>
      </w:r>
      <w:r w:rsidR="0071552A">
        <w:rPr>
          <w:lang w:val="en-US" w:eastAsia="es-ES"/>
        </w:rPr>
        <w:t xml:space="preserve"> the </w:t>
      </w:r>
      <w:r w:rsidR="007F1E9C">
        <w:rPr>
          <w:lang w:val="en-US" w:eastAsia="es-ES"/>
        </w:rPr>
        <w:t xml:space="preserve">required </w:t>
      </w:r>
      <w:r w:rsidR="0071552A">
        <w:rPr>
          <w:lang w:val="en-US" w:eastAsia="es-ES"/>
        </w:rPr>
        <w:t xml:space="preserve">information </w:t>
      </w:r>
      <w:r w:rsidR="007F1E9C">
        <w:rPr>
          <w:lang w:val="en-US" w:eastAsia="es-ES"/>
        </w:rPr>
        <w:t>about</w:t>
      </w:r>
      <w:r w:rsidR="0071552A">
        <w:rPr>
          <w:lang w:val="en-US" w:eastAsia="es-ES"/>
        </w:rPr>
        <w:t xml:space="preserve"> the regular </w:t>
      </w:r>
      <w:r w:rsidR="00E429D0">
        <w:rPr>
          <w:lang w:val="en-US" w:eastAsia="es-ES"/>
        </w:rPr>
        <w:t xml:space="preserve">basic </w:t>
      </w:r>
      <w:r w:rsidR="0071552A">
        <w:rPr>
          <w:lang w:val="en-US" w:eastAsia="es-ES"/>
        </w:rPr>
        <w:t>education</w:t>
      </w:r>
      <w:r w:rsidR="007F1E9C">
        <w:rPr>
          <w:lang w:val="en-US" w:eastAsia="es-ES"/>
        </w:rPr>
        <w:t>, for the year 2008</w:t>
      </w:r>
      <w:r w:rsidR="00E429D0">
        <w:rPr>
          <w:lang w:val="en-US" w:eastAsia="es-ES"/>
        </w:rPr>
        <w:t xml:space="preserve">. </w:t>
      </w:r>
      <w:r w:rsidR="00E429D0" w:rsidRPr="00E429D0">
        <w:rPr>
          <w:lang w:val="en-US" w:eastAsia="es-ES"/>
        </w:rPr>
        <w:t>In order to be consistent with th</w:t>
      </w:r>
      <w:r w:rsidR="00314B07">
        <w:rPr>
          <w:lang w:val="en-US" w:eastAsia="es-ES"/>
        </w:rPr>
        <w:t>e</w:t>
      </w:r>
      <w:r w:rsidR="00E429D0" w:rsidRPr="00E429D0">
        <w:rPr>
          <w:lang w:val="en-US" w:eastAsia="es-ES"/>
        </w:rPr>
        <w:t xml:space="preserve"> purpose</w:t>
      </w:r>
      <w:r w:rsidR="00314B07">
        <w:rPr>
          <w:lang w:val="en-US" w:eastAsia="es-ES"/>
        </w:rPr>
        <w:t xml:space="preserve"> of this </w:t>
      </w:r>
      <w:r w:rsidR="0036580B">
        <w:rPr>
          <w:lang w:val="en-US" w:eastAsia="es-ES"/>
        </w:rPr>
        <w:t>research</w:t>
      </w:r>
      <w:r w:rsidR="00E429D0" w:rsidRPr="00E429D0">
        <w:rPr>
          <w:lang w:val="en-US" w:eastAsia="es-ES"/>
        </w:rPr>
        <w:t>, th</w:t>
      </w:r>
      <w:r w:rsidR="0036580B">
        <w:rPr>
          <w:lang w:val="en-US" w:eastAsia="es-ES"/>
        </w:rPr>
        <w:t>e</w:t>
      </w:r>
      <w:r w:rsidR="00E429D0" w:rsidRPr="00E429D0">
        <w:rPr>
          <w:lang w:val="en-US" w:eastAsia="es-ES"/>
        </w:rPr>
        <w:t xml:space="preserve"> s</w:t>
      </w:r>
      <w:r w:rsidR="00E429D0">
        <w:rPr>
          <w:lang w:val="en-US" w:eastAsia="es-ES"/>
        </w:rPr>
        <w:t xml:space="preserve">tudy focuses only in </w:t>
      </w:r>
      <w:r w:rsidR="0036580B">
        <w:rPr>
          <w:lang w:val="en-US" w:eastAsia="es-ES"/>
        </w:rPr>
        <w:t>the data available for</w:t>
      </w:r>
      <w:r w:rsidR="00E429D0">
        <w:rPr>
          <w:lang w:val="en-US" w:eastAsia="es-ES"/>
        </w:rPr>
        <w:t xml:space="preserve"> public school</w:t>
      </w:r>
      <w:r w:rsidR="00B643B0">
        <w:rPr>
          <w:lang w:val="en-US" w:eastAsia="es-ES"/>
        </w:rPr>
        <w:t xml:space="preserve"> students under 18 years of age; except for tertiary level</w:t>
      </w:r>
      <w:r w:rsidR="000703C8">
        <w:rPr>
          <w:lang w:val="en-US" w:eastAsia="es-ES"/>
        </w:rPr>
        <w:t>.</w:t>
      </w:r>
    </w:p>
    <w:p w:rsidR="001E5341" w:rsidRPr="005C6B3F" w:rsidRDefault="008D649F" w:rsidP="00640AF6">
      <w:pPr>
        <w:jc w:val="both"/>
        <w:rPr>
          <w:lang w:val="en-US" w:eastAsia="es-ES"/>
        </w:rPr>
      </w:pPr>
      <w:r>
        <w:rPr>
          <w:lang w:val="en-US" w:eastAsia="es-ES"/>
        </w:rPr>
        <w:t>The second step was to</w:t>
      </w:r>
      <w:r w:rsidR="00D14E7A">
        <w:rPr>
          <w:lang w:val="en-US" w:eastAsia="es-ES"/>
        </w:rPr>
        <w:t xml:space="preserve"> estimate</w:t>
      </w:r>
      <w:r w:rsidRPr="008D649F">
        <w:rPr>
          <w:lang w:val="en-US" w:eastAsia="es-ES"/>
        </w:rPr>
        <w:t xml:space="preserve"> the</w:t>
      </w:r>
      <w:r w:rsidR="001E5341" w:rsidRPr="008D649F">
        <w:rPr>
          <w:lang w:val="en-US" w:eastAsia="es-ES"/>
        </w:rPr>
        <w:t xml:space="preserve"> </w:t>
      </w:r>
      <w:r w:rsidRPr="008D649F">
        <w:rPr>
          <w:lang w:val="en-US" w:eastAsia="es-ES"/>
        </w:rPr>
        <w:t>government subsidy</w:t>
      </w:r>
      <w:r w:rsidR="00774BFB">
        <w:rPr>
          <w:lang w:val="en-US" w:eastAsia="es-ES"/>
        </w:rPr>
        <w:t xml:space="preserve"> to each Education program already described</w:t>
      </w:r>
      <w:r w:rsidR="006A0D9D">
        <w:rPr>
          <w:lang w:val="en-US" w:eastAsia="es-ES"/>
        </w:rPr>
        <w:t xml:space="preserve"> at the first section</w:t>
      </w:r>
      <w:r w:rsidR="00774BFB">
        <w:rPr>
          <w:lang w:val="en-US" w:eastAsia="es-ES"/>
        </w:rPr>
        <w:t>.</w:t>
      </w:r>
      <w:r w:rsidR="006A0D9D">
        <w:rPr>
          <w:lang w:val="en-US" w:eastAsia="es-ES"/>
        </w:rPr>
        <w:t xml:space="preserve"> </w:t>
      </w:r>
      <w:r w:rsidR="00A47BF1">
        <w:rPr>
          <w:lang w:val="en-US" w:eastAsia="es-ES"/>
        </w:rPr>
        <w:t>To avoid an overestimation of the government expenditure, i</w:t>
      </w:r>
      <w:r w:rsidR="006A0D9D" w:rsidRPr="00A47BF1">
        <w:rPr>
          <w:lang w:val="en-US" w:eastAsia="es-ES"/>
        </w:rPr>
        <w:t xml:space="preserve">t was </w:t>
      </w:r>
      <w:r w:rsidR="00A47BF1" w:rsidRPr="00A47BF1">
        <w:rPr>
          <w:lang w:val="en-US" w:eastAsia="es-ES"/>
        </w:rPr>
        <w:t>excluded the household</w:t>
      </w:r>
      <w:r w:rsidR="006366E5">
        <w:rPr>
          <w:lang w:val="en-US" w:eastAsia="es-ES"/>
        </w:rPr>
        <w:t xml:space="preserve"> spending </w:t>
      </w:r>
      <w:r w:rsidR="00CB30C3">
        <w:rPr>
          <w:lang w:val="en-US" w:eastAsia="es-ES"/>
        </w:rPr>
        <w:t>on education</w:t>
      </w:r>
      <w:r w:rsidR="00C22CA8">
        <w:rPr>
          <w:lang w:val="en-US" w:eastAsia="es-ES"/>
        </w:rPr>
        <w:t xml:space="preserve"> from the SIAF data set</w:t>
      </w:r>
      <w:r w:rsidR="00CB30C3">
        <w:rPr>
          <w:lang w:val="en-US" w:eastAsia="es-ES"/>
        </w:rPr>
        <w:t>.</w:t>
      </w:r>
      <w:r w:rsidR="00A90FEC">
        <w:rPr>
          <w:lang w:val="en-US" w:eastAsia="es-ES"/>
        </w:rPr>
        <w:t xml:space="preserve"> </w:t>
      </w:r>
      <w:r w:rsidR="005C6B3F" w:rsidRPr="005C6B3F">
        <w:rPr>
          <w:lang w:val="en-US" w:eastAsia="es-ES"/>
        </w:rPr>
        <w:t>Then, it was calculated the per-student government subsidy for</w:t>
      </w:r>
      <w:r w:rsidR="005C6B3F">
        <w:rPr>
          <w:lang w:val="en-US" w:eastAsia="es-ES"/>
        </w:rPr>
        <w:t xml:space="preserve"> school enrollment.</w:t>
      </w:r>
    </w:p>
    <w:p w:rsidR="00C218ED" w:rsidRPr="00192B27" w:rsidRDefault="00C218ED" w:rsidP="00640AF6">
      <w:pPr>
        <w:jc w:val="both"/>
        <w:rPr>
          <w:lang w:val="en-US" w:eastAsia="es-ES"/>
        </w:rPr>
      </w:pPr>
      <w:r>
        <w:rPr>
          <w:lang w:val="en-US" w:eastAsia="es-ES"/>
        </w:rPr>
        <w:t>F</w:t>
      </w:r>
      <w:r w:rsidRPr="00C218ED">
        <w:rPr>
          <w:lang w:val="en-US" w:eastAsia="es-ES"/>
        </w:rPr>
        <w:t>inally</w:t>
      </w:r>
      <w:r w:rsidR="00CC28DE" w:rsidRPr="00C218ED">
        <w:rPr>
          <w:lang w:val="en-US" w:eastAsia="es-ES"/>
        </w:rPr>
        <w:t xml:space="preserve">, </w:t>
      </w:r>
      <w:r>
        <w:rPr>
          <w:lang w:val="en-US" w:eastAsia="es-ES"/>
        </w:rPr>
        <w:t xml:space="preserve">using </w:t>
      </w:r>
      <w:r w:rsidR="00CC28DE" w:rsidRPr="00C218ED">
        <w:rPr>
          <w:lang w:val="en-US" w:eastAsia="es-ES"/>
        </w:rPr>
        <w:t xml:space="preserve">the ENAHO data set </w:t>
      </w:r>
      <w:r>
        <w:rPr>
          <w:lang w:val="en-US" w:eastAsia="es-ES"/>
        </w:rPr>
        <w:t xml:space="preserve">it was possible to estimate the school enrollment by </w:t>
      </w:r>
      <w:r w:rsidR="00B001F3">
        <w:rPr>
          <w:lang w:val="en-US" w:eastAsia="es-ES"/>
        </w:rPr>
        <w:t xml:space="preserve">household </w:t>
      </w:r>
      <w:r>
        <w:rPr>
          <w:lang w:val="en-US" w:eastAsia="es-ES"/>
        </w:rPr>
        <w:t>spending quintile</w:t>
      </w:r>
      <w:r w:rsidR="00B001F3">
        <w:rPr>
          <w:lang w:val="en-US" w:eastAsia="es-ES"/>
        </w:rPr>
        <w:t>.</w:t>
      </w:r>
      <w:r w:rsidR="00EF7C2C">
        <w:rPr>
          <w:lang w:val="en-US" w:eastAsia="es-ES"/>
        </w:rPr>
        <w:t xml:space="preserve"> </w:t>
      </w:r>
      <w:r w:rsidR="00EF7C2C" w:rsidRPr="008D2F4D">
        <w:rPr>
          <w:lang w:val="en-US" w:eastAsia="es-ES"/>
        </w:rPr>
        <w:t xml:space="preserve">This </w:t>
      </w:r>
      <w:r w:rsidR="0057797F" w:rsidRPr="008D2F4D">
        <w:rPr>
          <w:lang w:val="en-US" w:eastAsia="es-ES"/>
        </w:rPr>
        <w:t xml:space="preserve">last step </w:t>
      </w:r>
      <w:r w:rsidR="00EF7C2C" w:rsidRPr="008D2F4D">
        <w:rPr>
          <w:lang w:val="en-US" w:eastAsia="es-ES"/>
        </w:rPr>
        <w:t xml:space="preserve">allowed </w:t>
      </w:r>
      <w:r w:rsidR="0057797F" w:rsidRPr="008D2F4D">
        <w:rPr>
          <w:lang w:val="en-US" w:eastAsia="es-ES"/>
        </w:rPr>
        <w:t xml:space="preserve">us </w:t>
      </w:r>
      <w:r w:rsidR="00EF7C2C" w:rsidRPr="008D2F4D">
        <w:rPr>
          <w:lang w:val="en-US" w:eastAsia="es-ES"/>
        </w:rPr>
        <w:t xml:space="preserve">to </w:t>
      </w:r>
      <w:r w:rsidR="008D2F4D" w:rsidRPr="008D2F4D">
        <w:rPr>
          <w:lang w:val="en-US" w:eastAsia="es-ES"/>
        </w:rPr>
        <w:t>obtain the estimation of the govern</w:t>
      </w:r>
      <w:r w:rsidR="008D2F4D">
        <w:rPr>
          <w:lang w:val="en-US" w:eastAsia="es-ES"/>
        </w:rPr>
        <w:t xml:space="preserve">ment subsidy by spending quintile. </w:t>
      </w:r>
      <w:r w:rsidR="008D2F4D" w:rsidRPr="00192B27">
        <w:rPr>
          <w:lang w:val="en-US" w:eastAsia="es-ES"/>
        </w:rPr>
        <w:t xml:space="preserve">It was also </w:t>
      </w:r>
      <w:r w:rsidR="002C5159" w:rsidRPr="00192B27">
        <w:rPr>
          <w:lang w:val="en-US" w:eastAsia="es-ES"/>
        </w:rPr>
        <w:t>carried out a</w:t>
      </w:r>
      <w:r w:rsidR="008D2F4D" w:rsidRPr="00192B27">
        <w:rPr>
          <w:lang w:val="en-US" w:eastAsia="es-ES"/>
        </w:rPr>
        <w:t xml:space="preserve"> percentage</w:t>
      </w:r>
      <w:r w:rsidR="002C5159" w:rsidRPr="00192B27">
        <w:rPr>
          <w:lang w:val="en-US" w:eastAsia="es-ES"/>
        </w:rPr>
        <w:t xml:space="preserve"> analysis</w:t>
      </w:r>
      <w:r w:rsidR="00192B27" w:rsidRPr="00192B27">
        <w:rPr>
          <w:lang w:val="en-US" w:eastAsia="es-ES"/>
        </w:rPr>
        <w:t xml:space="preserve"> </w:t>
      </w:r>
      <w:r w:rsidR="00192B27">
        <w:rPr>
          <w:lang w:val="en-US" w:eastAsia="es-ES"/>
        </w:rPr>
        <w:t xml:space="preserve">for a better understanding of collected information. </w:t>
      </w:r>
      <w:r w:rsidR="00192B27" w:rsidRPr="00192B27">
        <w:rPr>
          <w:lang w:val="en-US" w:eastAsia="es-ES"/>
        </w:rPr>
        <w:t>Subsequently, the expenditure</w:t>
      </w:r>
      <w:r w:rsidR="000703C8">
        <w:rPr>
          <w:lang w:val="en-US" w:eastAsia="es-ES"/>
        </w:rPr>
        <w:t xml:space="preserve"> per</w:t>
      </w:r>
      <w:r w:rsidR="00192B27" w:rsidRPr="00192B27">
        <w:rPr>
          <w:lang w:val="en-US" w:eastAsia="es-ES"/>
        </w:rPr>
        <w:t xml:space="preserve"> quintile </w:t>
      </w:r>
      <w:r w:rsidR="000703C8">
        <w:rPr>
          <w:lang w:val="en-US" w:eastAsia="es-ES"/>
        </w:rPr>
        <w:t xml:space="preserve">by level </w:t>
      </w:r>
      <w:r w:rsidR="000703C8" w:rsidRPr="00192B27">
        <w:rPr>
          <w:lang w:val="en-US" w:eastAsia="es-ES"/>
        </w:rPr>
        <w:t xml:space="preserve">was examined </w:t>
      </w:r>
      <w:r w:rsidR="000703C8">
        <w:rPr>
          <w:lang w:val="en-US" w:eastAsia="es-ES"/>
        </w:rPr>
        <w:t>(</w:t>
      </w:r>
      <w:r w:rsidR="00797C93">
        <w:rPr>
          <w:lang w:val="en-US" w:eastAsia="es-ES"/>
        </w:rPr>
        <w:t>government subsidies</w:t>
      </w:r>
      <w:r w:rsidR="000703C8">
        <w:rPr>
          <w:lang w:val="en-US" w:eastAsia="es-ES"/>
        </w:rPr>
        <w:t xml:space="preserve"> for </w:t>
      </w:r>
      <w:r w:rsidR="00016D97">
        <w:rPr>
          <w:lang w:val="en-US" w:eastAsia="es-ES"/>
        </w:rPr>
        <w:t>preschool, primary or secondary education program).</w:t>
      </w:r>
    </w:p>
    <w:p w:rsidR="00AF5D0D" w:rsidRPr="0091224F" w:rsidRDefault="00555B43" w:rsidP="008D5654">
      <w:pPr>
        <w:pStyle w:val="Heading2"/>
        <w:numPr>
          <w:ilvl w:val="0"/>
          <w:numId w:val="15"/>
        </w:numPr>
        <w:rPr>
          <w:rStyle w:val="apple-style-span"/>
          <w:szCs w:val="18"/>
          <w:lang w:val="en-US"/>
        </w:rPr>
      </w:pPr>
      <w:bookmarkStart w:id="18" w:name="_Toc255446168"/>
      <w:r w:rsidRPr="0091224F">
        <w:rPr>
          <w:rStyle w:val="apple-style-span"/>
          <w:szCs w:val="18"/>
          <w:lang w:val="en-US"/>
        </w:rPr>
        <w:t>Data sources</w:t>
      </w:r>
      <w:bookmarkEnd w:id="18"/>
    </w:p>
    <w:p w:rsidR="00AF5D0D" w:rsidRPr="00B228D9" w:rsidRDefault="00AF5D0D" w:rsidP="00640AF6">
      <w:pPr>
        <w:pStyle w:val="NoSpacing"/>
        <w:spacing w:line="276" w:lineRule="auto"/>
        <w:rPr>
          <w:lang w:val="en-US"/>
        </w:rPr>
      </w:pPr>
    </w:p>
    <w:p w:rsidR="00791525" w:rsidRPr="00B228D9" w:rsidRDefault="00791525" w:rsidP="00640AF6">
      <w:pPr>
        <w:jc w:val="both"/>
        <w:rPr>
          <w:lang w:val="en-US" w:eastAsia="es-ES"/>
        </w:rPr>
      </w:pPr>
      <w:r w:rsidRPr="00791525">
        <w:rPr>
          <w:lang w:val="en-US" w:eastAsia="es-ES"/>
        </w:rPr>
        <w:t xml:space="preserve">As </w:t>
      </w:r>
      <w:r w:rsidR="00967537">
        <w:rPr>
          <w:lang w:val="en-US" w:eastAsia="es-ES"/>
        </w:rPr>
        <w:t xml:space="preserve">it </w:t>
      </w:r>
      <w:r w:rsidRPr="00791525">
        <w:rPr>
          <w:lang w:val="en-US" w:eastAsia="es-ES"/>
        </w:rPr>
        <w:t>h</w:t>
      </w:r>
      <w:r>
        <w:rPr>
          <w:lang w:val="en-US" w:eastAsia="es-ES"/>
        </w:rPr>
        <w:t>as</w:t>
      </w:r>
      <w:r w:rsidRPr="00791525">
        <w:rPr>
          <w:lang w:val="en-US" w:eastAsia="es-ES"/>
        </w:rPr>
        <w:t xml:space="preserve"> been already mentioned, </w:t>
      </w:r>
      <w:r w:rsidR="002931A6">
        <w:rPr>
          <w:lang w:val="en-US" w:eastAsia="es-ES"/>
        </w:rPr>
        <w:t>for this section of the project</w:t>
      </w:r>
      <w:r w:rsidR="000703C8">
        <w:rPr>
          <w:lang w:val="en-US" w:eastAsia="es-ES"/>
        </w:rPr>
        <w:t xml:space="preserve">, </w:t>
      </w:r>
      <w:r w:rsidR="002931A6">
        <w:rPr>
          <w:lang w:val="en-US" w:eastAsia="es-ES"/>
        </w:rPr>
        <w:t xml:space="preserve">two data sets </w:t>
      </w:r>
      <w:r w:rsidR="000703C8">
        <w:rPr>
          <w:lang w:val="en-US" w:eastAsia="es-ES"/>
        </w:rPr>
        <w:t>were used and were easily downloaded from</w:t>
      </w:r>
      <w:r w:rsidR="002931A6">
        <w:rPr>
          <w:lang w:val="en-US" w:eastAsia="es-ES"/>
        </w:rPr>
        <w:t xml:space="preserve"> their respective websites. </w:t>
      </w:r>
      <w:r w:rsidR="002931A6" w:rsidRPr="002931A6">
        <w:rPr>
          <w:lang w:val="en-US" w:eastAsia="es-ES"/>
        </w:rPr>
        <w:t>The first one was the SIAF data, to find out</w:t>
      </w:r>
      <w:r w:rsidR="002931A6">
        <w:rPr>
          <w:lang w:val="en-US" w:eastAsia="es-ES"/>
        </w:rPr>
        <w:t xml:space="preserve"> information about the spending on public education. </w:t>
      </w:r>
      <w:r w:rsidR="002931A6" w:rsidRPr="00B228D9">
        <w:rPr>
          <w:lang w:val="en-US" w:eastAsia="es-ES"/>
        </w:rPr>
        <w:t xml:space="preserve">On the other hand, </w:t>
      </w:r>
      <w:r w:rsidR="00A437FD" w:rsidRPr="00B228D9">
        <w:rPr>
          <w:lang w:val="en-US" w:eastAsia="es-ES"/>
        </w:rPr>
        <w:t>the ENAHO data set</w:t>
      </w:r>
      <w:r w:rsidR="00B228D9" w:rsidRPr="00B228D9">
        <w:rPr>
          <w:lang w:val="en-US" w:eastAsia="es-ES"/>
        </w:rPr>
        <w:t xml:space="preserve"> was u</w:t>
      </w:r>
      <w:r w:rsidR="00B228D9">
        <w:rPr>
          <w:lang w:val="en-US" w:eastAsia="es-ES"/>
        </w:rPr>
        <w:t>sed to collect the required information</w:t>
      </w:r>
      <w:r w:rsidR="000703C8">
        <w:rPr>
          <w:lang w:val="en-US" w:eastAsia="es-ES"/>
        </w:rPr>
        <w:t xml:space="preserve"> about the household spending </w:t>
      </w:r>
      <w:r w:rsidR="00B228D9">
        <w:rPr>
          <w:lang w:val="en-US" w:eastAsia="es-ES"/>
        </w:rPr>
        <w:t>and some specific individual characteristics</w:t>
      </w:r>
      <w:r w:rsidR="000703C8">
        <w:rPr>
          <w:lang w:val="en-US" w:eastAsia="es-ES"/>
        </w:rPr>
        <w:t xml:space="preserve">, </w:t>
      </w:r>
      <w:r w:rsidR="00B228D9">
        <w:rPr>
          <w:lang w:val="en-US" w:eastAsia="es-ES"/>
        </w:rPr>
        <w:t>referring basica</w:t>
      </w:r>
      <w:r w:rsidR="000703C8">
        <w:rPr>
          <w:lang w:val="en-US" w:eastAsia="es-ES"/>
        </w:rPr>
        <w:t>lly to their educational status</w:t>
      </w:r>
      <w:r w:rsidR="00294AE2">
        <w:rPr>
          <w:lang w:val="en-US" w:eastAsia="es-ES"/>
        </w:rPr>
        <w:t>.</w:t>
      </w:r>
    </w:p>
    <w:p w:rsidR="00030541" w:rsidRDefault="008D5654" w:rsidP="001F0870">
      <w:pPr>
        <w:pStyle w:val="Heading3"/>
        <w:rPr>
          <w:lang w:val="en-US"/>
        </w:rPr>
      </w:pPr>
      <w:bookmarkStart w:id="19" w:name="_Toc255446169"/>
      <w:r>
        <w:rPr>
          <w:lang w:val="en-US"/>
        </w:rPr>
        <w:t>B.1</w:t>
      </w:r>
      <w:proofErr w:type="gramStart"/>
      <w:r>
        <w:rPr>
          <w:lang w:val="en-US"/>
        </w:rPr>
        <w:t xml:space="preserve">. </w:t>
      </w:r>
      <w:r w:rsidR="000703C8">
        <w:rPr>
          <w:lang w:val="en-US"/>
        </w:rPr>
        <w:t xml:space="preserve"> </w:t>
      </w:r>
      <w:r w:rsidR="005F08C6">
        <w:rPr>
          <w:lang w:val="en-US"/>
        </w:rPr>
        <w:t>The</w:t>
      </w:r>
      <w:proofErr w:type="gramEnd"/>
      <w:r w:rsidR="005F08C6">
        <w:rPr>
          <w:lang w:val="en-US"/>
        </w:rPr>
        <w:t xml:space="preserve"> </w:t>
      </w:r>
      <w:r w:rsidR="001F0870" w:rsidRPr="001F0870">
        <w:rPr>
          <w:lang w:val="en-US"/>
        </w:rPr>
        <w:t>Financial Administration Information System</w:t>
      </w:r>
      <w:r w:rsidR="001F0870">
        <w:rPr>
          <w:lang w:val="en-US"/>
        </w:rPr>
        <w:t xml:space="preserve"> (SIAF)</w:t>
      </w:r>
      <w:bookmarkEnd w:id="19"/>
    </w:p>
    <w:p w:rsidR="001F0870" w:rsidRPr="001F0870" w:rsidRDefault="001F0870" w:rsidP="00640AF6">
      <w:pPr>
        <w:pStyle w:val="NoSpacing"/>
        <w:spacing w:line="276" w:lineRule="auto"/>
        <w:rPr>
          <w:lang w:val="en-US"/>
        </w:rPr>
      </w:pPr>
    </w:p>
    <w:p w:rsidR="00C15DB4" w:rsidRDefault="001F0870" w:rsidP="00640AF6">
      <w:pPr>
        <w:jc w:val="both"/>
        <w:rPr>
          <w:lang w:val="en-US"/>
        </w:rPr>
      </w:pPr>
      <w:r w:rsidRPr="00627EDA">
        <w:rPr>
          <w:lang w:val="en-US" w:eastAsia="es-ES"/>
        </w:rPr>
        <w:t>The SIAF</w:t>
      </w:r>
      <w:r w:rsidR="000703C8">
        <w:rPr>
          <w:lang w:val="en-US" w:eastAsia="es-ES"/>
        </w:rPr>
        <w:t>, also an accounting system,</w:t>
      </w:r>
      <w:r w:rsidR="00030541" w:rsidRPr="00627EDA">
        <w:rPr>
          <w:lang w:val="en-US"/>
        </w:rPr>
        <w:t xml:space="preserve"> </w:t>
      </w:r>
      <w:r w:rsidR="00627EDA" w:rsidRPr="00627EDA">
        <w:rPr>
          <w:lang w:val="en-US"/>
        </w:rPr>
        <w:t xml:space="preserve">is a </w:t>
      </w:r>
      <w:r w:rsidR="00627EDA">
        <w:rPr>
          <w:lang w:val="en-US"/>
        </w:rPr>
        <w:t xml:space="preserve">budgeting </w:t>
      </w:r>
      <w:r w:rsidR="000703C8">
        <w:rPr>
          <w:lang w:val="en-US"/>
        </w:rPr>
        <w:t>monitoring</w:t>
      </w:r>
      <w:r w:rsidR="00627EDA" w:rsidRPr="00627EDA">
        <w:rPr>
          <w:lang w:val="en-US"/>
        </w:rPr>
        <w:t xml:space="preserve"> system</w:t>
      </w:r>
      <w:r w:rsidR="00375A34">
        <w:rPr>
          <w:lang w:val="en-US"/>
        </w:rPr>
        <w:t xml:space="preserve"> that</w:t>
      </w:r>
      <w:r w:rsidR="008F7193">
        <w:rPr>
          <w:lang w:val="en-US"/>
        </w:rPr>
        <w:t xml:space="preserve"> could </w:t>
      </w:r>
      <w:r w:rsidR="000703C8">
        <w:rPr>
          <w:lang w:val="en-US"/>
        </w:rPr>
        <w:t>allows analyzes</w:t>
      </w:r>
      <w:r w:rsidR="00402F72">
        <w:rPr>
          <w:lang w:val="en-US"/>
        </w:rPr>
        <w:t xml:space="preserve"> for different levels</w:t>
      </w:r>
      <w:r w:rsidR="004C288A">
        <w:rPr>
          <w:lang w:val="en-US"/>
        </w:rPr>
        <w:t xml:space="preserve">. </w:t>
      </w:r>
      <w:r w:rsidR="009B3479" w:rsidRPr="009B3479">
        <w:rPr>
          <w:lang w:val="en-US"/>
        </w:rPr>
        <w:t>The education budget</w:t>
      </w:r>
      <w:r w:rsidR="00B25BE0" w:rsidRPr="009B3479">
        <w:rPr>
          <w:lang w:val="en-US"/>
        </w:rPr>
        <w:t xml:space="preserve"> can also be </w:t>
      </w:r>
      <w:r w:rsidR="009B3479" w:rsidRPr="009B3479">
        <w:rPr>
          <w:lang w:val="en-US"/>
        </w:rPr>
        <w:t>disaggregated by func</w:t>
      </w:r>
      <w:r w:rsidR="009B3479">
        <w:rPr>
          <w:lang w:val="en-US"/>
        </w:rPr>
        <w:t>tion</w:t>
      </w:r>
      <w:r w:rsidR="000703C8">
        <w:rPr>
          <w:lang w:val="en-US"/>
        </w:rPr>
        <w:t xml:space="preserve"> and programs. </w:t>
      </w:r>
      <w:r w:rsidR="00257A4F">
        <w:rPr>
          <w:lang w:val="en-US"/>
        </w:rPr>
        <w:t xml:space="preserve"> A different classification of </w:t>
      </w:r>
      <w:r w:rsidR="00253FAE">
        <w:rPr>
          <w:lang w:val="en-US"/>
        </w:rPr>
        <w:t xml:space="preserve">budget </w:t>
      </w:r>
      <w:r w:rsidR="001C73B1">
        <w:rPr>
          <w:lang w:val="en-US"/>
        </w:rPr>
        <w:t>is by sources of spending</w:t>
      </w:r>
      <w:r w:rsidR="00A215BC">
        <w:rPr>
          <w:lang w:val="en-US"/>
        </w:rPr>
        <w:t>;</w:t>
      </w:r>
      <w:r w:rsidR="001C73B1">
        <w:rPr>
          <w:lang w:val="en-US"/>
        </w:rPr>
        <w:t xml:space="preserve"> </w:t>
      </w:r>
      <w:r w:rsidR="0064175A">
        <w:rPr>
          <w:lang w:val="en-US"/>
        </w:rPr>
        <w:t xml:space="preserve">that is, how much </w:t>
      </w:r>
      <w:r w:rsidR="00B66B5E">
        <w:rPr>
          <w:lang w:val="en-US"/>
        </w:rPr>
        <w:t xml:space="preserve">of the </w:t>
      </w:r>
      <w:r w:rsidR="00A162F6">
        <w:rPr>
          <w:lang w:val="en-US"/>
        </w:rPr>
        <w:t xml:space="preserve">government </w:t>
      </w:r>
      <w:r w:rsidR="00B66B5E">
        <w:rPr>
          <w:lang w:val="en-US"/>
        </w:rPr>
        <w:t xml:space="preserve">budget </w:t>
      </w:r>
      <w:r w:rsidR="0064175A">
        <w:rPr>
          <w:lang w:val="en-US"/>
        </w:rPr>
        <w:t xml:space="preserve">is coming from </w:t>
      </w:r>
      <w:r w:rsidR="00C15DB4">
        <w:rPr>
          <w:lang w:val="en-US"/>
        </w:rPr>
        <w:t>direct collection, taxes, canon, royalties, donations or transfers.</w:t>
      </w:r>
      <w:r w:rsidR="00455B68">
        <w:rPr>
          <w:lang w:val="en-US"/>
        </w:rPr>
        <w:t xml:space="preserve"> </w:t>
      </w:r>
      <w:r w:rsidR="00A215BC">
        <w:rPr>
          <w:lang w:val="en-US"/>
        </w:rPr>
        <w:t xml:space="preserve">Finally, </w:t>
      </w:r>
      <w:r w:rsidR="000703C8">
        <w:rPr>
          <w:lang w:val="en-US"/>
        </w:rPr>
        <w:t>the researcher can also identify</w:t>
      </w:r>
      <w:r w:rsidR="00606776">
        <w:rPr>
          <w:lang w:val="en-US"/>
        </w:rPr>
        <w:t xml:space="preserve"> the spending </w:t>
      </w:r>
      <w:r w:rsidR="00B643B0">
        <w:rPr>
          <w:lang w:val="en-US"/>
        </w:rPr>
        <w:t>on</w:t>
      </w:r>
      <w:r w:rsidR="00606776">
        <w:rPr>
          <w:lang w:val="en-US"/>
        </w:rPr>
        <w:t xml:space="preserve"> wages, goods and services, investments, </w:t>
      </w:r>
      <w:r w:rsidR="00E91153">
        <w:rPr>
          <w:lang w:val="en-US"/>
        </w:rPr>
        <w:t>amortization, interests and debt charges, etc.</w:t>
      </w:r>
    </w:p>
    <w:p w:rsidR="0029182C" w:rsidRDefault="00E91153" w:rsidP="00640AF6">
      <w:pPr>
        <w:jc w:val="both"/>
        <w:rPr>
          <w:lang w:val="en-US"/>
        </w:rPr>
      </w:pPr>
      <w:r>
        <w:rPr>
          <w:lang w:val="en-US"/>
        </w:rPr>
        <w:t>E</w:t>
      </w:r>
      <w:r w:rsidRPr="00E91153">
        <w:rPr>
          <w:lang w:val="en-US"/>
        </w:rPr>
        <w:t>ach categor</w:t>
      </w:r>
      <w:r w:rsidR="00B643B0">
        <w:rPr>
          <w:lang w:val="en-US"/>
        </w:rPr>
        <w:t>y</w:t>
      </w:r>
      <w:r w:rsidRPr="00E91153">
        <w:rPr>
          <w:lang w:val="en-US"/>
        </w:rPr>
        <w:t xml:space="preserve"> a</w:t>
      </w:r>
      <w:r>
        <w:rPr>
          <w:lang w:val="en-US"/>
        </w:rPr>
        <w:t>lready mentioned</w:t>
      </w:r>
      <w:r w:rsidR="005372B9">
        <w:rPr>
          <w:lang w:val="en-US"/>
        </w:rPr>
        <w:t xml:space="preserve"> </w:t>
      </w:r>
      <w:r w:rsidR="00712040">
        <w:rPr>
          <w:lang w:val="en-US"/>
        </w:rPr>
        <w:t>can be analyzed by its expenditure cycle</w:t>
      </w:r>
      <w:r w:rsidR="00254006">
        <w:rPr>
          <w:lang w:val="en-US"/>
        </w:rPr>
        <w:t xml:space="preserve">, </w:t>
      </w:r>
      <w:r w:rsidR="002404F9">
        <w:rPr>
          <w:lang w:val="en-US"/>
        </w:rPr>
        <w:t xml:space="preserve">so it is possible to know if the budgeting program </w:t>
      </w:r>
      <w:r w:rsidR="0029182C">
        <w:rPr>
          <w:lang w:val="en-US"/>
        </w:rPr>
        <w:t xml:space="preserve">is in the commitment </w:t>
      </w:r>
      <w:r w:rsidR="000703C8">
        <w:rPr>
          <w:lang w:val="en-US"/>
        </w:rPr>
        <w:t xml:space="preserve">and pipeline </w:t>
      </w:r>
      <w:r w:rsidR="0029182C">
        <w:rPr>
          <w:lang w:val="en-US"/>
        </w:rPr>
        <w:t xml:space="preserve">stage, </w:t>
      </w:r>
      <w:r w:rsidR="00DF5C28">
        <w:rPr>
          <w:lang w:val="en-US"/>
        </w:rPr>
        <w:t>accrued stage or payment cycle.</w:t>
      </w:r>
      <w:r w:rsidR="000703C8">
        <w:rPr>
          <w:lang w:val="en-US"/>
        </w:rPr>
        <w:t xml:space="preserve"> Likewise, i</w:t>
      </w:r>
      <w:r w:rsidR="00091386">
        <w:rPr>
          <w:lang w:val="en-US"/>
        </w:rPr>
        <w:t xml:space="preserve">t is possible to identify the Institutional </w:t>
      </w:r>
      <w:r w:rsidR="008A6988">
        <w:rPr>
          <w:lang w:val="en-US"/>
        </w:rPr>
        <w:t xml:space="preserve">Opening Budget (PIA), which </w:t>
      </w:r>
      <w:r w:rsidR="000703C8">
        <w:rPr>
          <w:lang w:val="en-US"/>
        </w:rPr>
        <w:t>permits</w:t>
      </w:r>
      <w:r w:rsidR="008A6988">
        <w:rPr>
          <w:lang w:val="en-US"/>
        </w:rPr>
        <w:t xml:space="preserve"> to make a comparison between the planned budget and the actually executed. </w:t>
      </w:r>
      <w:r w:rsidR="005671EF">
        <w:rPr>
          <w:lang w:val="en-US"/>
        </w:rPr>
        <w:t xml:space="preserve">This </w:t>
      </w:r>
      <w:r w:rsidR="000D5A1C">
        <w:rPr>
          <w:lang w:val="en-US"/>
        </w:rPr>
        <w:t xml:space="preserve">information </w:t>
      </w:r>
      <w:r w:rsidR="00B643B0">
        <w:rPr>
          <w:lang w:val="en-US"/>
        </w:rPr>
        <w:t xml:space="preserve">is </w:t>
      </w:r>
      <w:r w:rsidR="005671EF">
        <w:rPr>
          <w:lang w:val="en-US"/>
        </w:rPr>
        <w:t xml:space="preserve">useful as an expenditure efficiency </w:t>
      </w:r>
      <w:proofErr w:type="gramStart"/>
      <w:r w:rsidR="005671EF">
        <w:rPr>
          <w:lang w:val="en-US"/>
        </w:rPr>
        <w:t>measure</w:t>
      </w:r>
      <w:r w:rsidR="000703C8">
        <w:rPr>
          <w:lang w:val="en-US"/>
        </w:rPr>
        <w:t>ment</w:t>
      </w:r>
      <w:r w:rsidR="0008079E">
        <w:rPr>
          <w:lang w:val="en-US"/>
        </w:rPr>
        <w:t xml:space="preserve"> </w:t>
      </w:r>
      <w:r w:rsidR="005671EF">
        <w:rPr>
          <w:lang w:val="en-US"/>
        </w:rPr>
        <w:t>.</w:t>
      </w:r>
      <w:proofErr w:type="gramEnd"/>
    </w:p>
    <w:p w:rsidR="00AF5D0D" w:rsidRPr="00D25ACA" w:rsidRDefault="008D5654" w:rsidP="00640AF6">
      <w:pPr>
        <w:pStyle w:val="Heading3"/>
        <w:rPr>
          <w:rStyle w:val="apple-style-span"/>
          <w:szCs w:val="18"/>
          <w:lang w:val="en-US"/>
        </w:rPr>
      </w:pPr>
      <w:bookmarkStart w:id="20" w:name="_Toc255446170"/>
      <w:r>
        <w:rPr>
          <w:rStyle w:val="apple-style-span"/>
          <w:szCs w:val="18"/>
          <w:lang w:val="en-US"/>
        </w:rPr>
        <w:lastRenderedPageBreak/>
        <w:t xml:space="preserve">B.2. </w:t>
      </w:r>
      <w:r w:rsidR="00D25ACA" w:rsidRPr="00D25ACA">
        <w:rPr>
          <w:rStyle w:val="apple-style-span"/>
          <w:szCs w:val="18"/>
          <w:lang w:val="en-US"/>
        </w:rPr>
        <w:t>Population Surveys:</w:t>
      </w:r>
      <w:r w:rsidR="005F08C6">
        <w:rPr>
          <w:rStyle w:val="apple-style-span"/>
          <w:szCs w:val="18"/>
          <w:lang w:val="en-US"/>
        </w:rPr>
        <w:t xml:space="preserve"> The</w:t>
      </w:r>
      <w:r w:rsidR="00D25ACA" w:rsidRPr="00D25ACA">
        <w:rPr>
          <w:rStyle w:val="apple-style-span"/>
          <w:szCs w:val="18"/>
          <w:lang w:val="en-US"/>
        </w:rPr>
        <w:t xml:space="preserve"> National Household Survey (ENAHO)</w:t>
      </w:r>
      <w:bookmarkEnd w:id="20"/>
    </w:p>
    <w:p w:rsidR="00AF5D0D" w:rsidRPr="00D25ACA" w:rsidRDefault="00AF5D0D" w:rsidP="00640AF6">
      <w:pPr>
        <w:pStyle w:val="NoSpacing"/>
        <w:spacing w:line="276" w:lineRule="auto"/>
        <w:rPr>
          <w:lang w:val="en-US"/>
        </w:rPr>
      </w:pPr>
    </w:p>
    <w:p w:rsidR="00DB4021" w:rsidRPr="00DB4021" w:rsidRDefault="008710B3" w:rsidP="00640AF6">
      <w:pPr>
        <w:jc w:val="both"/>
        <w:rPr>
          <w:lang w:val="en-US"/>
        </w:rPr>
      </w:pPr>
      <w:r w:rsidRPr="00DB4021">
        <w:rPr>
          <w:lang w:val="en-US"/>
        </w:rPr>
        <w:t xml:space="preserve">The ENAHO </w:t>
      </w:r>
      <w:r w:rsidR="00BC0BD8" w:rsidRPr="00DB4021">
        <w:rPr>
          <w:lang w:val="en-US"/>
        </w:rPr>
        <w:t>is a quarterly survey</w:t>
      </w:r>
      <w:r w:rsidR="00616830" w:rsidRPr="00DB4021">
        <w:rPr>
          <w:lang w:val="en-US"/>
        </w:rPr>
        <w:t xml:space="preserve"> carried out by the National Institute of Statistics and Information Sciences (INEI)</w:t>
      </w:r>
      <w:r w:rsidR="00DB4021">
        <w:rPr>
          <w:lang w:val="en-US"/>
        </w:rPr>
        <w:t>. This survey is useful to make statistical inference</w:t>
      </w:r>
      <w:r w:rsidR="00D80E3A">
        <w:rPr>
          <w:lang w:val="en-US"/>
        </w:rPr>
        <w:t xml:space="preserve"> at a national</w:t>
      </w:r>
      <w:r w:rsidR="00F33B38">
        <w:rPr>
          <w:lang w:val="en-US"/>
        </w:rPr>
        <w:t xml:space="preserve">, </w:t>
      </w:r>
      <w:r w:rsidR="004E24F2">
        <w:rPr>
          <w:lang w:val="en-US"/>
        </w:rPr>
        <w:t>regional</w:t>
      </w:r>
      <w:r w:rsidR="00F33B38">
        <w:rPr>
          <w:lang w:val="en-US"/>
        </w:rPr>
        <w:t xml:space="preserve"> and urban/rural</w:t>
      </w:r>
      <w:r w:rsidR="00D80E3A">
        <w:rPr>
          <w:lang w:val="en-US"/>
        </w:rPr>
        <w:t xml:space="preserve"> level</w:t>
      </w:r>
      <w:r w:rsidR="00F33B38">
        <w:rPr>
          <w:lang w:val="en-US"/>
        </w:rPr>
        <w:t xml:space="preserve">. The main </w:t>
      </w:r>
      <w:r w:rsidR="0008079E">
        <w:rPr>
          <w:lang w:val="en-US"/>
        </w:rPr>
        <w:t>set of variables is</w:t>
      </w:r>
      <w:r w:rsidR="00F33B38">
        <w:rPr>
          <w:lang w:val="en-US"/>
        </w:rPr>
        <w:t xml:space="preserve"> referred to the following sectors: Education, Health, Social Programs, Employment, Living Conditions, Family Income and Family Expenses.</w:t>
      </w:r>
      <w:r w:rsidR="009B0734">
        <w:rPr>
          <w:lang w:val="en-US"/>
        </w:rPr>
        <w:t xml:space="preserve"> </w:t>
      </w:r>
      <w:r w:rsidR="00534E93">
        <w:rPr>
          <w:lang w:val="en-US"/>
        </w:rPr>
        <w:t>For the purpose o</w:t>
      </w:r>
      <w:r w:rsidR="00B90E23">
        <w:rPr>
          <w:lang w:val="en-US"/>
        </w:rPr>
        <w:t xml:space="preserve">f this research, </w:t>
      </w:r>
      <w:r w:rsidR="00534E93">
        <w:rPr>
          <w:lang w:val="en-US"/>
        </w:rPr>
        <w:t>the Education and Summary M</w:t>
      </w:r>
      <w:r w:rsidR="00F53847">
        <w:rPr>
          <w:lang w:val="en-US"/>
        </w:rPr>
        <w:t>odules were quite useful to collect information about the age, educational status</w:t>
      </w:r>
      <w:r w:rsidR="009B0734">
        <w:rPr>
          <w:lang w:val="en-US"/>
        </w:rPr>
        <w:t xml:space="preserve"> and family expenses.</w:t>
      </w:r>
    </w:p>
    <w:p w:rsidR="00AF5D0D" w:rsidRPr="0091224F" w:rsidRDefault="008D5654" w:rsidP="008D5654">
      <w:pPr>
        <w:pStyle w:val="Heading2"/>
        <w:numPr>
          <w:ilvl w:val="0"/>
          <w:numId w:val="15"/>
        </w:numPr>
        <w:rPr>
          <w:lang w:val="en-US"/>
        </w:rPr>
      </w:pPr>
      <w:bookmarkStart w:id="21" w:name="_Toc255446171"/>
      <w:r>
        <w:rPr>
          <w:lang w:val="en-US"/>
        </w:rPr>
        <w:t>Results and Discussion</w:t>
      </w:r>
      <w:bookmarkEnd w:id="21"/>
    </w:p>
    <w:p w:rsidR="002002D5" w:rsidRPr="0091224F" w:rsidRDefault="002002D5" w:rsidP="00640AF6">
      <w:pPr>
        <w:pStyle w:val="Caption"/>
        <w:spacing w:line="276" w:lineRule="auto"/>
        <w:rPr>
          <w:lang w:val="en-US"/>
        </w:rPr>
      </w:pPr>
    </w:p>
    <w:p w:rsidR="005C22DA" w:rsidRPr="00505444" w:rsidRDefault="001D073D" w:rsidP="001D073D">
      <w:pPr>
        <w:pStyle w:val="Caption"/>
        <w:rPr>
          <w:sz w:val="22"/>
          <w:szCs w:val="22"/>
          <w:lang w:val="en-US"/>
        </w:rPr>
      </w:pPr>
      <w:r w:rsidRPr="00505444">
        <w:rPr>
          <w:sz w:val="22"/>
          <w:szCs w:val="22"/>
          <w:lang w:val="en-US"/>
        </w:rPr>
        <w:t>Table</w:t>
      </w:r>
      <w:r w:rsidR="00505444" w:rsidRPr="00505444">
        <w:rPr>
          <w:sz w:val="22"/>
          <w:szCs w:val="22"/>
          <w:lang w:val="en-US"/>
        </w:rPr>
        <w:t xml:space="preserve"> 8</w:t>
      </w:r>
      <w:r w:rsidR="005C22DA" w:rsidRPr="00505444">
        <w:rPr>
          <w:sz w:val="22"/>
          <w:szCs w:val="22"/>
          <w:lang w:val="en-US"/>
        </w:rPr>
        <w:t>:</w:t>
      </w:r>
      <w:r w:rsidRPr="00505444">
        <w:rPr>
          <w:sz w:val="22"/>
          <w:szCs w:val="22"/>
          <w:lang w:val="en-US"/>
        </w:rPr>
        <w:t xml:space="preserve"> Per-student</w:t>
      </w:r>
      <w:r w:rsidR="005C22DA" w:rsidRPr="00505444">
        <w:rPr>
          <w:sz w:val="22"/>
          <w:szCs w:val="22"/>
          <w:lang w:val="en-US"/>
        </w:rPr>
        <w:t xml:space="preserve"> </w:t>
      </w:r>
      <w:r w:rsidRPr="00505444">
        <w:rPr>
          <w:sz w:val="22"/>
          <w:szCs w:val="22"/>
          <w:lang w:val="en-US"/>
        </w:rPr>
        <w:t>government subsidy for school enrollment</w:t>
      </w:r>
      <w:r w:rsidR="00C04143" w:rsidRPr="00505444">
        <w:rPr>
          <w:sz w:val="22"/>
          <w:szCs w:val="22"/>
          <w:lang w:val="en-US"/>
        </w:rPr>
        <w:t xml:space="preserve">, </w:t>
      </w:r>
      <w:r w:rsidRPr="00505444">
        <w:rPr>
          <w:sz w:val="22"/>
          <w:szCs w:val="22"/>
          <w:lang w:val="en-US"/>
        </w:rPr>
        <w:t xml:space="preserve">by facility level </w:t>
      </w:r>
      <w:r w:rsidR="00C04143" w:rsidRPr="00505444">
        <w:rPr>
          <w:sz w:val="22"/>
          <w:szCs w:val="22"/>
          <w:lang w:val="en-US"/>
        </w:rPr>
        <w:t>(2008</w:t>
      </w:r>
      <w:r w:rsidR="00C4687C" w:rsidRPr="00505444">
        <w:rPr>
          <w:sz w:val="22"/>
          <w:szCs w:val="22"/>
          <w:lang w:val="en-US"/>
        </w:rPr>
        <w:t>)</w:t>
      </w:r>
    </w:p>
    <w:tbl>
      <w:tblPr>
        <w:tblW w:w="7380" w:type="dxa"/>
        <w:jc w:val="center"/>
        <w:tblInd w:w="-65" w:type="dxa"/>
        <w:tblCellMar>
          <w:left w:w="70" w:type="dxa"/>
          <w:right w:w="70" w:type="dxa"/>
        </w:tblCellMar>
        <w:tblLook w:val="04A0"/>
      </w:tblPr>
      <w:tblGrid>
        <w:gridCol w:w="1508"/>
        <w:gridCol w:w="1292"/>
        <w:gridCol w:w="1720"/>
        <w:gridCol w:w="1440"/>
        <w:gridCol w:w="1420"/>
      </w:tblGrid>
      <w:tr w:rsidR="00503E3D" w:rsidRPr="00503E3D" w:rsidTr="00503E3D">
        <w:trPr>
          <w:trHeight w:val="300"/>
          <w:jc w:val="center"/>
        </w:trPr>
        <w:tc>
          <w:tcPr>
            <w:tcW w:w="1508" w:type="dxa"/>
            <w:tcBorders>
              <w:top w:val="single" w:sz="4" w:space="0" w:color="auto"/>
              <w:left w:val="single" w:sz="4" w:space="0" w:color="auto"/>
              <w:bottom w:val="single" w:sz="4" w:space="0" w:color="auto"/>
              <w:right w:val="single" w:sz="4" w:space="0" w:color="auto"/>
            </w:tcBorders>
            <w:shd w:val="clear" w:color="000000" w:fill="B2A1C7"/>
            <w:noWrap/>
            <w:vAlign w:val="bottom"/>
            <w:hideMark/>
          </w:tcPr>
          <w:p w:rsidR="00503E3D" w:rsidRPr="00503E3D" w:rsidRDefault="00503E3D" w:rsidP="00503E3D">
            <w:pPr>
              <w:spacing w:after="0" w:line="240" w:lineRule="auto"/>
              <w:ind w:firstLineChars="100" w:firstLine="221"/>
              <w:rPr>
                <w:rFonts w:ascii="Calibri" w:eastAsia="Times New Roman" w:hAnsi="Calibri" w:cs="Times New Roman"/>
                <w:b/>
                <w:bCs/>
                <w:color w:val="000000"/>
                <w:lang w:eastAsia="es-ES"/>
              </w:rPr>
            </w:pPr>
            <w:r w:rsidRPr="00503E3D">
              <w:rPr>
                <w:rFonts w:ascii="Calibri" w:eastAsia="Times New Roman" w:hAnsi="Calibri" w:cs="Times New Roman"/>
                <w:b/>
                <w:bCs/>
                <w:color w:val="000000"/>
                <w:lang w:eastAsia="es-ES"/>
              </w:rPr>
              <w:t>In S</w:t>
            </w:r>
            <w:r w:rsidR="00967537">
              <w:rPr>
                <w:rFonts w:ascii="Calibri" w:eastAsia="Times New Roman" w:hAnsi="Calibri" w:cs="Times New Roman"/>
                <w:b/>
                <w:bCs/>
                <w:color w:val="000000"/>
                <w:lang w:eastAsia="es-ES"/>
              </w:rPr>
              <w:t>oles</w:t>
            </w:r>
          </w:p>
        </w:tc>
        <w:tc>
          <w:tcPr>
            <w:tcW w:w="1292" w:type="dxa"/>
            <w:tcBorders>
              <w:top w:val="single" w:sz="4" w:space="0" w:color="auto"/>
              <w:left w:val="nil"/>
              <w:bottom w:val="single" w:sz="4" w:space="0" w:color="auto"/>
              <w:right w:val="single" w:sz="4" w:space="0" w:color="auto"/>
            </w:tcBorders>
            <w:shd w:val="clear" w:color="000000" w:fill="B2A1C7"/>
            <w:noWrap/>
            <w:vAlign w:val="bottom"/>
            <w:hideMark/>
          </w:tcPr>
          <w:p w:rsidR="00503E3D" w:rsidRPr="00503E3D" w:rsidRDefault="00503E3D" w:rsidP="00503E3D">
            <w:pPr>
              <w:spacing w:after="0" w:line="240" w:lineRule="auto"/>
              <w:jc w:val="center"/>
              <w:rPr>
                <w:rFonts w:ascii="Calibri" w:eastAsia="Times New Roman" w:hAnsi="Calibri" w:cs="Times New Roman"/>
                <w:b/>
                <w:bCs/>
                <w:color w:val="000000"/>
                <w:lang w:eastAsia="es-ES"/>
              </w:rPr>
            </w:pPr>
            <w:proofErr w:type="spellStart"/>
            <w:r w:rsidRPr="00503E3D">
              <w:rPr>
                <w:rFonts w:ascii="Calibri" w:eastAsia="Times New Roman" w:hAnsi="Calibri" w:cs="Times New Roman"/>
                <w:b/>
                <w:bCs/>
                <w:color w:val="000000"/>
                <w:lang w:eastAsia="es-ES"/>
              </w:rPr>
              <w:t>Unit</w:t>
            </w:r>
            <w:proofErr w:type="spellEnd"/>
            <w:r w:rsidRPr="00503E3D">
              <w:rPr>
                <w:rFonts w:ascii="Calibri" w:eastAsia="Times New Roman" w:hAnsi="Calibri" w:cs="Times New Roman"/>
                <w:b/>
                <w:bCs/>
                <w:color w:val="000000"/>
                <w:lang w:eastAsia="es-ES"/>
              </w:rPr>
              <w:t xml:space="preserve"> </w:t>
            </w:r>
            <w:proofErr w:type="spellStart"/>
            <w:r w:rsidRPr="00503E3D">
              <w:rPr>
                <w:rFonts w:ascii="Calibri" w:eastAsia="Times New Roman" w:hAnsi="Calibri" w:cs="Times New Roman"/>
                <w:b/>
                <w:bCs/>
                <w:color w:val="000000"/>
                <w:lang w:eastAsia="es-ES"/>
              </w:rPr>
              <w:t>Subsidy</w:t>
            </w:r>
            <w:proofErr w:type="spellEnd"/>
          </w:p>
        </w:tc>
        <w:tc>
          <w:tcPr>
            <w:tcW w:w="1720" w:type="dxa"/>
            <w:tcBorders>
              <w:top w:val="nil"/>
              <w:left w:val="nil"/>
              <w:bottom w:val="nil"/>
              <w:right w:val="nil"/>
            </w:tcBorders>
            <w:shd w:val="clear" w:color="auto" w:fill="auto"/>
            <w:noWrap/>
            <w:vAlign w:val="bottom"/>
            <w:hideMark/>
          </w:tcPr>
          <w:p w:rsidR="00503E3D" w:rsidRPr="00503E3D" w:rsidRDefault="00503E3D" w:rsidP="00503E3D">
            <w:pPr>
              <w:spacing w:after="0" w:line="240" w:lineRule="auto"/>
              <w:rPr>
                <w:rFonts w:ascii="Calibri" w:eastAsia="Times New Roman" w:hAnsi="Calibri" w:cs="Times New Roman"/>
                <w:color w:val="000000"/>
                <w:lang w:eastAsia="es-ES"/>
              </w:rPr>
            </w:pPr>
          </w:p>
        </w:tc>
        <w:tc>
          <w:tcPr>
            <w:tcW w:w="1440" w:type="dxa"/>
            <w:tcBorders>
              <w:top w:val="single" w:sz="4" w:space="0" w:color="auto"/>
              <w:left w:val="single" w:sz="4" w:space="0" w:color="auto"/>
              <w:bottom w:val="single" w:sz="4" w:space="0" w:color="auto"/>
              <w:right w:val="single" w:sz="4" w:space="0" w:color="auto"/>
            </w:tcBorders>
            <w:shd w:val="clear" w:color="000000" w:fill="B2A1C7"/>
            <w:noWrap/>
            <w:vAlign w:val="bottom"/>
            <w:hideMark/>
          </w:tcPr>
          <w:p w:rsidR="00503E3D" w:rsidRPr="00967537" w:rsidRDefault="00503E3D" w:rsidP="00967537">
            <w:pPr>
              <w:spacing w:after="0" w:line="240" w:lineRule="auto"/>
              <w:ind w:firstLineChars="100" w:firstLine="181"/>
              <w:rPr>
                <w:rFonts w:ascii="Calibri" w:eastAsia="Times New Roman" w:hAnsi="Calibri" w:cs="Times New Roman"/>
                <w:b/>
                <w:bCs/>
                <w:color w:val="000000"/>
                <w:sz w:val="18"/>
                <w:szCs w:val="18"/>
                <w:lang w:eastAsia="es-ES"/>
              </w:rPr>
            </w:pPr>
            <w:r w:rsidRPr="00967537">
              <w:rPr>
                <w:rFonts w:ascii="Calibri" w:eastAsia="Times New Roman" w:hAnsi="Calibri" w:cs="Times New Roman"/>
                <w:b/>
                <w:bCs/>
                <w:color w:val="000000"/>
                <w:sz w:val="18"/>
                <w:szCs w:val="18"/>
                <w:lang w:eastAsia="es-ES"/>
              </w:rPr>
              <w:t>In US</w:t>
            </w:r>
            <w:r w:rsidR="00967537" w:rsidRPr="00967537">
              <w:rPr>
                <w:rFonts w:ascii="Calibri" w:eastAsia="Times New Roman" w:hAnsi="Calibri" w:cs="Times New Roman"/>
                <w:b/>
                <w:bCs/>
                <w:color w:val="000000"/>
                <w:sz w:val="18"/>
                <w:szCs w:val="18"/>
                <w:lang w:eastAsia="es-ES"/>
              </w:rPr>
              <w:t xml:space="preserve"> </w:t>
            </w:r>
            <w:proofErr w:type="spellStart"/>
            <w:r w:rsidR="00967537" w:rsidRPr="00967537">
              <w:rPr>
                <w:rFonts w:ascii="Calibri" w:eastAsia="Times New Roman" w:hAnsi="Calibri" w:cs="Times New Roman"/>
                <w:b/>
                <w:bCs/>
                <w:color w:val="000000"/>
                <w:sz w:val="18"/>
                <w:szCs w:val="18"/>
                <w:lang w:eastAsia="es-ES"/>
              </w:rPr>
              <w:t>dollars</w:t>
            </w:r>
            <w:proofErr w:type="spellEnd"/>
          </w:p>
        </w:tc>
        <w:tc>
          <w:tcPr>
            <w:tcW w:w="1420" w:type="dxa"/>
            <w:tcBorders>
              <w:top w:val="single" w:sz="4" w:space="0" w:color="auto"/>
              <w:left w:val="nil"/>
              <w:bottom w:val="single" w:sz="4" w:space="0" w:color="auto"/>
              <w:right w:val="single" w:sz="4" w:space="0" w:color="auto"/>
            </w:tcBorders>
            <w:shd w:val="clear" w:color="000000" w:fill="B2A1C7"/>
            <w:noWrap/>
            <w:vAlign w:val="bottom"/>
            <w:hideMark/>
          </w:tcPr>
          <w:p w:rsidR="00503E3D" w:rsidRPr="00503E3D" w:rsidRDefault="00503E3D" w:rsidP="00503E3D">
            <w:pPr>
              <w:spacing w:after="0" w:line="240" w:lineRule="auto"/>
              <w:jc w:val="center"/>
              <w:rPr>
                <w:rFonts w:ascii="Calibri" w:eastAsia="Times New Roman" w:hAnsi="Calibri" w:cs="Times New Roman"/>
                <w:b/>
                <w:bCs/>
                <w:color w:val="000000"/>
                <w:lang w:eastAsia="es-ES"/>
              </w:rPr>
            </w:pPr>
            <w:proofErr w:type="spellStart"/>
            <w:r w:rsidRPr="00503E3D">
              <w:rPr>
                <w:rFonts w:ascii="Calibri" w:eastAsia="Times New Roman" w:hAnsi="Calibri" w:cs="Times New Roman"/>
                <w:b/>
                <w:bCs/>
                <w:color w:val="000000"/>
                <w:lang w:eastAsia="es-ES"/>
              </w:rPr>
              <w:t>Unit</w:t>
            </w:r>
            <w:proofErr w:type="spellEnd"/>
            <w:r w:rsidRPr="00503E3D">
              <w:rPr>
                <w:rFonts w:ascii="Calibri" w:eastAsia="Times New Roman" w:hAnsi="Calibri" w:cs="Times New Roman"/>
                <w:b/>
                <w:bCs/>
                <w:color w:val="000000"/>
                <w:lang w:eastAsia="es-ES"/>
              </w:rPr>
              <w:t xml:space="preserve"> </w:t>
            </w:r>
            <w:proofErr w:type="spellStart"/>
            <w:r w:rsidRPr="00503E3D">
              <w:rPr>
                <w:rFonts w:ascii="Calibri" w:eastAsia="Times New Roman" w:hAnsi="Calibri" w:cs="Times New Roman"/>
                <w:b/>
                <w:bCs/>
                <w:color w:val="000000"/>
                <w:lang w:eastAsia="es-ES"/>
              </w:rPr>
              <w:t>Subsidy</w:t>
            </w:r>
            <w:proofErr w:type="spellEnd"/>
          </w:p>
        </w:tc>
      </w:tr>
      <w:tr w:rsidR="00503E3D" w:rsidRPr="00503E3D" w:rsidTr="00503E3D">
        <w:trPr>
          <w:trHeight w:val="300"/>
          <w:jc w:val="center"/>
        </w:trPr>
        <w:tc>
          <w:tcPr>
            <w:tcW w:w="1508" w:type="dxa"/>
            <w:tcBorders>
              <w:top w:val="nil"/>
              <w:left w:val="single" w:sz="4" w:space="0" w:color="auto"/>
              <w:bottom w:val="single" w:sz="4" w:space="0" w:color="auto"/>
              <w:right w:val="single" w:sz="4" w:space="0" w:color="auto"/>
            </w:tcBorders>
            <w:shd w:val="clear" w:color="000000" w:fill="B8CCE4"/>
            <w:noWrap/>
            <w:vAlign w:val="bottom"/>
            <w:hideMark/>
          </w:tcPr>
          <w:p w:rsidR="00503E3D" w:rsidRPr="00503E3D" w:rsidRDefault="00503E3D" w:rsidP="00503E3D">
            <w:pPr>
              <w:spacing w:after="0" w:line="240" w:lineRule="auto"/>
              <w:ind w:firstLineChars="100" w:firstLine="221"/>
              <w:rPr>
                <w:rFonts w:ascii="Calibri" w:eastAsia="Times New Roman" w:hAnsi="Calibri" w:cs="Times New Roman"/>
                <w:b/>
                <w:bCs/>
                <w:color w:val="000000"/>
                <w:lang w:eastAsia="es-ES"/>
              </w:rPr>
            </w:pPr>
            <w:proofErr w:type="spellStart"/>
            <w:r w:rsidRPr="00503E3D">
              <w:rPr>
                <w:rFonts w:ascii="Calibri" w:eastAsia="Times New Roman" w:hAnsi="Calibri" w:cs="Times New Roman"/>
                <w:b/>
                <w:bCs/>
                <w:color w:val="000000"/>
                <w:lang w:eastAsia="es-ES"/>
              </w:rPr>
              <w:t>Preschool</w:t>
            </w:r>
            <w:proofErr w:type="spellEnd"/>
          </w:p>
        </w:tc>
        <w:tc>
          <w:tcPr>
            <w:tcW w:w="1292" w:type="dxa"/>
            <w:tcBorders>
              <w:top w:val="nil"/>
              <w:left w:val="nil"/>
              <w:bottom w:val="single" w:sz="4" w:space="0" w:color="auto"/>
              <w:right w:val="single" w:sz="4" w:space="0" w:color="auto"/>
            </w:tcBorders>
            <w:shd w:val="clear" w:color="000000" w:fill="B8CCE4"/>
            <w:noWrap/>
            <w:vAlign w:val="bottom"/>
            <w:hideMark/>
          </w:tcPr>
          <w:p w:rsidR="00503E3D" w:rsidRPr="00503E3D" w:rsidRDefault="00503E3D" w:rsidP="00503E3D">
            <w:pPr>
              <w:spacing w:after="0" w:line="240" w:lineRule="auto"/>
              <w:jc w:val="right"/>
              <w:rPr>
                <w:rFonts w:ascii="Calibri" w:eastAsia="Times New Roman" w:hAnsi="Calibri" w:cs="Times New Roman"/>
                <w:color w:val="000000"/>
                <w:lang w:eastAsia="es-ES"/>
              </w:rPr>
            </w:pPr>
            <w:r w:rsidRPr="00503E3D">
              <w:rPr>
                <w:rFonts w:ascii="Calibri" w:eastAsia="Times New Roman" w:hAnsi="Calibri" w:cs="Times New Roman"/>
                <w:color w:val="000000"/>
                <w:lang w:eastAsia="es-ES"/>
              </w:rPr>
              <w:t>1,115.04</w:t>
            </w:r>
          </w:p>
        </w:tc>
        <w:tc>
          <w:tcPr>
            <w:tcW w:w="1720" w:type="dxa"/>
            <w:tcBorders>
              <w:top w:val="nil"/>
              <w:left w:val="nil"/>
              <w:bottom w:val="nil"/>
              <w:right w:val="nil"/>
            </w:tcBorders>
            <w:shd w:val="clear" w:color="auto" w:fill="auto"/>
            <w:noWrap/>
            <w:vAlign w:val="bottom"/>
            <w:hideMark/>
          </w:tcPr>
          <w:p w:rsidR="00503E3D" w:rsidRPr="00503E3D" w:rsidRDefault="00503E3D" w:rsidP="00503E3D">
            <w:pPr>
              <w:spacing w:after="0" w:line="240" w:lineRule="auto"/>
              <w:rPr>
                <w:rFonts w:ascii="Calibri" w:eastAsia="Times New Roman" w:hAnsi="Calibri" w:cs="Times New Roman"/>
                <w:color w:val="000000"/>
                <w:lang w:eastAsia="es-ES"/>
              </w:rPr>
            </w:pPr>
          </w:p>
        </w:tc>
        <w:tc>
          <w:tcPr>
            <w:tcW w:w="1440" w:type="dxa"/>
            <w:tcBorders>
              <w:top w:val="nil"/>
              <w:left w:val="single" w:sz="4" w:space="0" w:color="auto"/>
              <w:bottom w:val="single" w:sz="4" w:space="0" w:color="auto"/>
              <w:right w:val="single" w:sz="4" w:space="0" w:color="auto"/>
            </w:tcBorders>
            <w:shd w:val="clear" w:color="000000" w:fill="B8CCE4"/>
            <w:noWrap/>
            <w:vAlign w:val="bottom"/>
            <w:hideMark/>
          </w:tcPr>
          <w:p w:rsidR="00503E3D" w:rsidRPr="00503E3D" w:rsidRDefault="00503E3D" w:rsidP="00503E3D">
            <w:pPr>
              <w:spacing w:after="0" w:line="240" w:lineRule="auto"/>
              <w:ind w:firstLineChars="100" w:firstLine="221"/>
              <w:rPr>
                <w:rFonts w:ascii="Calibri" w:eastAsia="Times New Roman" w:hAnsi="Calibri" w:cs="Times New Roman"/>
                <w:b/>
                <w:bCs/>
                <w:color w:val="000000"/>
                <w:lang w:eastAsia="es-ES"/>
              </w:rPr>
            </w:pPr>
            <w:proofErr w:type="spellStart"/>
            <w:r w:rsidRPr="00503E3D">
              <w:rPr>
                <w:rFonts w:ascii="Calibri" w:eastAsia="Times New Roman" w:hAnsi="Calibri" w:cs="Times New Roman"/>
                <w:b/>
                <w:bCs/>
                <w:color w:val="000000"/>
                <w:lang w:eastAsia="es-ES"/>
              </w:rPr>
              <w:t>Preschool</w:t>
            </w:r>
            <w:proofErr w:type="spellEnd"/>
          </w:p>
        </w:tc>
        <w:tc>
          <w:tcPr>
            <w:tcW w:w="1420" w:type="dxa"/>
            <w:tcBorders>
              <w:top w:val="nil"/>
              <w:left w:val="nil"/>
              <w:bottom w:val="single" w:sz="4" w:space="0" w:color="auto"/>
              <w:right w:val="single" w:sz="4" w:space="0" w:color="auto"/>
            </w:tcBorders>
            <w:shd w:val="clear" w:color="000000" w:fill="B8CCE4"/>
            <w:noWrap/>
            <w:vAlign w:val="bottom"/>
            <w:hideMark/>
          </w:tcPr>
          <w:p w:rsidR="00503E3D" w:rsidRPr="00503E3D" w:rsidRDefault="00503E3D" w:rsidP="00503E3D">
            <w:pPr>
              <w:spacing w:after="0" w:line="240" w:lineRule="auto"/>
              <w:jc w:val="right"/>
              <w:rPr>
                <w:rFonts w:ascii="Calibri" w:eastAsia="Times New Roman" w:hAnsi="Calibri" w:cs="Times New Roman"/>
                <w:color w:val="000000"/>
                <w:lang w:eastAsia="es-ES"/>
              </w:rPr>
            </w:pPr>
            <w:r w:rsidRPr="00503E3D">
              <w:rPr>
                <w:rFonts w:ascii="Calibri" w:eastAsia="Times New Roman" w:hAnsi="Calibri" w:cs="Times New Roman"/>
                <w:color w:val="000000"/>
                <w:lang w:eastAsia="es-ES"/>
              </w:rPr>
              <w:t>381.86</w:t>
            </w:r>
          </w:p>
        </w:tc>
      </w:tr>
      <w:tr w:rsidR="00503E3D" w:rsidRPr="00503E3D" w:rsidTr="00503E3D">
        <w:trPr>
          <w:trHeight w:val="300"/>
          <w:jc w:val="center"/>
        </w:trPr>
        <w:tc>
          <w:tcPr>
            <w:tcW w:w="1508" w:type="dxa"/>
            <w:tcBorders>
              <w:top w:val="nil"/>
              <w:left w:val="single" w:sz="4" w:space="0" w:color="auto"/>
              <w:bottom w:val="single" w:sz="4" w:space="0" w:color="auto"/>
              <w:right w:val="single" w:sz="4" w:space="0" w:color="auto"/>
            </w:tcBorders>
            <w:shd w:val="clear" w:color="000000" w:fill="B8CCE4"/>
            <w:noWrap/>
            <w:vAlign w:val="bottom"/>
            <w:hideMark/>
          </w:tcPr>
          <w:p w:rsidR="00503E3D" w:rsidRPr="00503E3D" w:rsidRDefault="00503E3D" w:rsidP="00503E3D">
            <w:pPr>
              <w:spacing w:after="0" w:line="240" w:lineRule="auto"/>
              <w:ind w:firstLineChars="100" w:firstLine="221"/>
              <w:rPr>
                <w:rFonts w:ascii="Calibri" w:eastAsia="Times New Roman" w:hAnsi="Calibri" w:cs="Times New Roman"/>
                <w:b/>
                <w:bCs/>
                <w:color w:val="000000"/>
                <w:lang w:eastAsia="es-ES"/>
              </w:rPr>
            </w:pPr>
            <w:proofErr w:type="spellStart"/>
            <w:r w:rsidRPr="00503E3D">
              <w:rPr>
                <w:rFonts w:ascii="Calibri" w:eastAsia="Times New Roman" w:hAnsi="Calibri" w:cs="Times New Roman"/>
                <w:b/>
                <w:bCs/>
                <w:color w:val="000000"/>
                <w:lang w:eastAsia="es-ES"/>
              </w:rPr>
              <w:t>Primary</w:t>
            </w:r>
            <w:proofErr w:type="spellEnd"/>
          </w:p>
        </w:tc>
        <w:tc>
          <w:tcPr>
            <w:tcW w:w="1292" w:type="dxa"/>
            <w:tcBorders>
              <w:top w:val="nil"/>
              <w:left w:val="nil"/>
              <w:bottom w:val="single" w:sz="4" w:space="0" w:color="auto"/>
              <w:right w:val="single" w:sz="4" w:space="0" w:color="auto"/>
            </w:tcBorders>
            <w:shd w:val="clear" w:color="000000" w:fill="B8CCE4"/>
            <w:noWrap/>
            <w:vAlign w:val="bottom"/>
            <w:hideMark/>
          </w:tcPr>
          <w:p w:rsidR="00503E3D" w:rsidRPr="00503E3D" w:rsidRDefault="00503E3D" w:rsidP="00503E3D">
            <w:pPr>
              <w:spacing w:after="0" w:line="240" w:lineRule="auto"/>
              <w:jc w:val="right"/>
              <w:rPr>
                <w:rFonts w:ascii="Calibri" w:eastAsia="Times New Roman" w:hAnsi="Calibri" w:cs="Times New Roman"/>
                <w:color w:val="000000"/>
                <w:lang w:eastAsia="es-ES"/>
              </w:rPr>
            </w:pPr>
            <w:r w:rsidRPr="00503E3D">
              <w:rPr>
                <w:rFonts w:ascii="Calibri" w:eastAsia="Times New Roman" w:hAnsi="Calibri" w:cs="Times New Roman"/>
                <w:color w:val="000000"/>
                <w:lang w:eastAsia="es-ES"/>
              </w:rPr>
              <w:t>1,552.95</w:t>
            </w:r>
          </w:p>
        </w:tc>
        <w:tc>
          <w:tcPr>
            <w:tcW w:w="1720" w:type="dxa"/>
            <w:tcBorders>
              <w:top w:val="nil"/>
              <w:left w:val="nil"/>
              <w:bottom w:val="nil"/>
              <w:right w:val="nil"/>
            </w:tcBorders>
            <w:shd w:val="clear" w:color="auto" w:fill="auto"/>
            <w:noWrap/>
            <w:vAlign w:val="bottom"/>
            <w:hideMark/>
          </w:tcPr>
          <w:p w:rsidR="00503E3D" w:rsidRPr="00503E3D" w:rsidRDefault="00503E3D" w:rsidP="00503E3D">
            <w:pPr>
              <w:spacing w:after="0" w:line="240" w:lineRule="auto"/>
              <w:rPr>
                <w:rFonts w:ascii="Calibri" w:eastAsia="Times New Roman" w:hAnsi="Calibri" w:cs="Times New Roman"/>
                <w:color w:val="000000"/>
                <w:lang w:eastAsia="es-ES"/>
              </w:rPr>
            </w:pPr>
          </w:p>
        </w:tc>
        <w:tc>
          <w:tcPr>
            <w:tcW w:w="1440" w:type="dxa"/>
            <w:tcBorders>
              <w:top w:val="nil"/>
              <w:left w:val="single" w:sz="4" w:space="0" w:color="auto"/>
              <w:bottom w:val="single" w:sz="4" w:space="0" w:color="auto"/>
              <w:right w:val="single" w:sz="4" w:space="0" w:color="auto"/>
            </w:tcBorders>
            <w:shd w:val="clear" w:color="000000" w:fill="B8CCE4"/>
            <w:noWrap/>
            <w:vAlign w:val="bottom"/>
            <w:hideMark/>
          </w:tcPr>
          <w:p w:rsidR="00503E3D" w:rsidRPr="00503E3D" w:rsidRDefault="00503E3D" w:rsidP="00503E3D">
            <w:pPr>
              <w:spacing w:after="0" w:line="240" w:lineRule="auto"/>
              <w:ind w:firstLineChars="100" w:firstLine="221"/>
              <w:rPr>
                <w:rFonts w:ascii="Calibri" w:eastAsia="Times New Roman" w:hAnsi="Calibri" w:cs="Times New Roman"/>
                <w:b/>
                <w:bCs/>
                <w:color w:val="000000"/>
                <w:lang w:eastAsia="es-ES"/>
              </w:rPr>
            </w:pPr>
            <w:proofErr w:type="spellStart"/>
            <w:r w:rsidRPr="00503E3D">
              <w:rPr>
                <w:rFonts w:ascii="Calibri" w:eastAsia="Times New Roman" w:hAnsi="Calibri" w:cs="Times New Roman"/>
                <w:b/>
                <w:bCs/>
                <w:color w:val="000000"/>
                <w:lang w:eastAsia="es-ES"/>
              </w:rPr>
              <w:t>Primary</w:t>
            </w:r>
            <w:proofErr w:type="spellEnd"/>
          </w:p>
        </w:tc>
        <w:tc>
          <w:tcPr>
            <w:tcW w:w="1420" w:type="dxa"/>
            <w:tcBorders>
              <w:top w:val="nil"/>
              <w:left w:val="nil"/>
              <w:bottom w:val="single" w:sz="4" w:space="0" w:color="auto"/>
              <w:right w:val="single" w:sz="4" w:space="0" w:color="auto"/>
            </w:tcBorders>
            <w:shd w:val="clear" w:color="000000" w:fill="B8CCE4"/>
            <w:noWrap/>
            <w:vAlign w:val="bottom"/>
            <w:hideMark/>
          </w:tcPr>
          <w:p w:rsidR="00503E3D" w:rsidRPr="00503E3D" w:rsidRDefault="00503E3D" w:rsidP="00503E3D">
            <w:pPr>
              <w:spacing w:after="0" w:line="240" w:lineRule="auto"/>
              <w:jc w:val="right"/>
              <w:rPr>
                <w:rFonts w:ascii="Calibri" w:eastAsia="Times New Roman" w:hAnsi="Calibri" w:cs="Times New Roman"/>
                <w:color w:val="000000"/>
                <w:lang w:eastAsia="es-ES"/>
              </w:rPr>
            </w:pPr>
            <w:r w:rsidRPr="00503E3D">
              <w:rPr>
                <w:rFonts w:ascii="Calibri" w:eastAsia="Times New Roman" w:hAnsi="Calibri" w:cs="Times New Roman"/>
                <w:color w:val="000000"/>
                <w:lang w:eastAsia="es-ES"/>
              </w:rPr>
              <w:t>531.83</w:t>
            </w:r>
          </w:p>
        </w:tc>
      </w:tr>
      <w:tr w:rsidR="00503E3D" w:rsidRPr="00503E3D" w:rsidTr="00503E3D">
        <w:trPr>
          <w:trHeight w:val="300"/>
          <w:jc w:val="center"/>
        </w:trPr>
        <w:tc>
          <w:tcPr>
            <w:tcW w:w="1508" w:type="dxa"/>
            <w:tcBorders>
              <w:top w:val="nil"/>
              <w:left w:val="single" w:sz="4" w:space="0" w:color="auto"/>
              <w:bottom w:val="single" w:sz="4" w:space="0" w:color="auto"/>
              <w:right w:val="single" w:sz="4" w:space="0" w:color="auto"/>
            </w:tcBorders>
            <w:shd w:val="clear" w:color="000000" w:fill="B8CCE4"/>
            <w:noWrap/>
            <w:vAlign w:val="bottom"/>
            <w:hideMark/>
          </w:tcPr>
          <w:p w:rsidR="00503E3D" w:rsidRPr="00503E3D" w:rsidRDefault="00503E3D" w:rsidP="00503E3D">
            <w:pPr>
              <w:spacing w:after="0" w:line="240" w:lineRule="auto"/>
              <w:ind w:firstLineChars="100" w:firstLine="221"/>
              <w:rPr>
                <w:rFonts w:ascii="Calibri" w:eastAsia="Times New Roman" w:hAnsi="Calibri" w:cs="Times New Roman"/>
                <w:b/>
                <w:bCs/>
                <w:color w:val="000000"/>
                <w:lang w:eastAsia="es-ES"/>
              </w:rPr>
            </w:pPr>
            <w:proofErr w:type="spellStart"/>
            <w:r w:rsidRPr="00503E3D">
              <w:rPr>
                <w:rFonts w:ascii="Calibri" w:eastAsia="Times New Roman" w:hAnsi="Calibri" w:cs="Times New Roman"/>
                <w:b/>
                <w:bCs/>
                <w:color w:val="000000"/>
                <w:lang w:eastAsia="es-ES"/>
              </w:rPr>
              <w:t>Secondary</w:t>
            </w:r>
            <w:proofErr w:type="spellEnd"/>
          </w:p>
        </w:tc>
        <w:tc>
          <w:tcPr>
            <w:tcW w:w="1292" w:type="dxa"/>
            <w:tcBorders>
              <w:top w:val="nil"/>
              <w:left w:val="nil"/>
              <w:bottom w:val="single" w:sz="4" w:space="0" w:color="auto"/>
              <w:right w:val="single" w:sz="4" w:space="0" w:color="auto"/>
            </w:tcBorders>
            <w:shd w:val="clear" w:color="000000" w:fill="B8CCE4"/>
            <w:noWrap/>
            <w:vAlign w:val="bottom"/>
            <w:hideMark/>
          </w:tcPr>
          <w:p w:rsidR="00503E3D" w:rsidRPr="00503E3D" w:rsidRDefault="00503E3D" w:rsidP="00503E3D">
            <w:pPr>
              <w:spacing w:after="0" w:line="240" w:lineRule="auto"/>
              <w:jc w:val="right"/>
              <w:rPr>
                <w:rFonts w:ascii="Calibri" w:eastAsia="Times New Roman" w:hAnsi="Calibri" w:cs="Times New Roman"/>
                <w:color w:val="000000"/>
                <w:lang w:eastAsia="es-ES"/>
              </w:rPr>
            </w:pPr>
            <w:r w:rsidRPr="00503E3D">
              <w:rPr>
                <w:rFonts w:ascii="Calibri" w:eastAsia="Times New Roman" w:hAnsi="Calibri" w:cs="Times New Roman"/>
                <w:color w:val="000000"/>
                <w:lang w:eastAsia="es-ES"/>
              </w:rPr>
              <w:t>1,457.02</w:t>
            </w:r>
          </w:p>
        </w:tc>
        <w:tc>
          <w:tcPr>
            <w:tcW w:w="1720" w:type="dxa"/>
            <w:tcBorders>
              <w:top w:val="nil"/>
              <w:left w:val="nil"/>
              <w:bottom w:val="nil"/>
              <w:right w:val="nil"/>
            </w:tcBorders>
            <w:shd w:val="clear" w:color="auto" w:fill="auto"/>
            <w:noWrap/>
            <w:vAlign w:val="bottom"/>
            <w:hideMark/>
          </w:tcPr>
          <w:p w:rsidR="00503E3D" w:rsidRPr="00503E3D" w:rsidRDefault="00503E3D" w:rsidP="00503E3D">
            <w:pPr>
              <w:spacing w:after="0" w:line="240" w:lineRule="auto"/>
              <w:rPr>
                <w:rFonts w:ascii="Calibri" w:eastAsia="Times New Roman" w:hAnsi="Calibri" w:cs="Times New Roman"/>
                <w:color w:val="000000"/>
                <w:lang w:eastAsia="es-ES"/>
              </w:rPr>
            </w:pPr>
          </w:p>
        </w:tc>
        <w:tc>
          <w:tcPr>
            <w:tcW w:w="1440" w:type="dxa"/>
            <w:tcBorders>
              <w:top w:val="nil"/>
              <w:left w:val="single" w:sz="4" w:space="0" w:color="auto"/>
              <w:bottom w:val="single" w:sz="4" w:space="0" w:color="auto"/>
              <w:right w:val="single" w:sz="4" w:space="0" w:color="auto"/>
            </w:tcBorders>
            <w:shd w:val="clear" w:color="000000" w:fill="B8CCE4"/>
            <w:noWrap/>
            <w:vAlign w:val="bottom"/>
            <w:hideMark/>
          </w:tcPr>
          <w:p w:rsidR="00503E3D" w:rsidRPr="00503E3D" w:rsidRDefault="00503E3D" w:rsidP="00503E3D">
            <w:pPr>
              <w:spacing w:after="0" w:line="240" w:lineRule="auto"/>
              <w:ind w:firstLineChars="100" w:firstLine="221"/>
              <w:rPr>
                <w:rFonts w:ascii="Calibri" w:eastAsia="Times New Roman" w:hAnsi="Calibri" w:cs="Times New Roman"/>
                <w:b/>
                <w:bCs/>
                <w:color w:val="000000"/>
                <w:lang w:eastAsia="es-ES"/>
              </w:rPr>
            </w:pPr>
            <w:proofErr w:type="spellStart"/>
            <w:r w:rsidRPr="00503E3D">
              <w:rPr>
                <w:rFonts w:ascii="Calibri" w:eastAsia="Times New Roman" w:hAnsi="Calibri" w:cs="Times New Roman"/>
                <w:b/>
                <w:bCs/>
                <w:color w:val="000000"/>
                <w:lang w:eastAsia="es-ES"/>
              </w:rPr>
              <w:t>Secondary</w:t>
            </w:r>
            <w:proofErr w:type="spellEnd"/>
          </w:p>
        </w:tc>
        <w:tc>
          <w:tcPr>
            <w:tcW w:w="1420" w:type="dxa"/>
            <w:tcBorders>
              <w:top w:val="nil"/>
              <w:left w:val="nil"/>
              <w:bottom w:val="single" w:sz="4" w:space="0" w:color="auto"/>
              <w:right w:val="single" w:sz="4" w:space="0" w:color="auto"/>
            </w:tcBorders>
            <w:shd w:val="clear" w:color="000000" w:fill="B8CCE4"/>
            <w:noWrap/>
            <w:vAlign w:val="bottom"/>
            <w:hideMark/>
          </w:tcPr>
          <w:p w:rsidR="00503E3D" w:rsidRPr="00503E3D" w:rsidRDefault="00503E3D" w:rsidP="00503E3D">
            <w:pPr>
              <w:spacing w:after="0" w:line="240" w:lineRule="auto"/>
              <w:jc w:val="right"/>
              <w:rPr>
                <w:rFonts w:ascii="Calibri" w:eastAsia="Times New Roman" w:hAnsi="Calibri" w:cs="Times New Roman"/>
                <w:color w:val="000000"/>
                <w:lang w:eastAsia="es-ES"/>
              </w:rPr>
            </w:pPr>
            <w:r w:rsidRPr="00503E3D">
              <w:rPr>
                <w:rFonts w:ascii="Calibri" w:eastAsia="Times New Roman" w:hAnsi="Calibri" w:cs="Times New Roman"/>
                <w:color w:val="000000"/>
                <w:lang w:eastAsia="es-ES"/>
              </w:rPr>
              <w:t>498.98</w:t>
            </w:r>
          </w:p>
        </w:tc>
      </w:tr>
      <w:tr w:rsidR="00503E3D" w:rsidRPr="00503E3D" w:rsidTr="00503E3D">
        <w:trPr>
          <w:trHeight w:val="300"/>
          <w:jc w:val="center"/>
        </w:trPr>
        <w:tc>
          <w:tcPr>
            <w:tcW w:w="1508" w:type="dxa"/>
            <w:tcBorders>
              <w:top w:val="nil"/>
              <w:left w:val="single" w:sz="4" w:space="0" w:color="auto"/>
              <w:bottom w:val="single" w:sz="4" w:space="0" w:color="auto"/>
              <w:right w:val="single" w:sz="4" w:space="0" w:color="auto"/>
            </w:tcBorders>
            <w:shd w:val="clear" w:color="000000" w:fill="B8CCE4"/>
            <w:noWrap/>
            <w:vAlign w:val="bottom"/>
            <w:hideMark/>
          </w:tcPr>
          <w:p w:rsidR="00503E3D" w:rsidRPr="00503E3D" w:rsidRDefault="00503E3D" w:rsidP="00503E3D">
            <w:pPr>
              <w:spacing w:after="0" w:line="240" w:lineRule="auto"/>
              <w:ind w:firstLineChars="100" w:firstLine="221"/>
              <w:rPr>
                <w:rFonts w:ascii="Calibri" w:eastAsia="Times New Roman" w:hAnsi="Calibri" w:cs="Times New Roman"/>
                <w:b/>
                <w:bCs/>
                <w:color w:val="000000"/>
                <w:lang w:eastAsia="es-ES"/>
              </w:rPr>
            </w:pPr>
            <w:proofErr w:type="spellStart"/>
            <w:r w:rsidRPr="00503E3D">
              <w:rPr>
                <w:rFonts w:ascii="Calibri" w:eastAsia="Times New Roman" w:hAnsi="Calibri" w:cs="Times New Roman"/>
                <w:b/>
                <w:bCs/>
                <w:color w:val="000000"/>
                <w:lang w:eastAsia="es-ES"/>
              </w:rPr>
              <w:t>Tertiary</w:t>
            </w:r>
            <w:proofErr w:type="spellEnd"/>
          </w:p>
        </w:tc>
        <w:tc>
          <w:tcPr>
            <w:tcW w:w="1292" w:type="dxa"/>
            <w:tcBorders>
              <w:top w:val="nil"/>
              <w:left w:val="nil"/>
              <w:bottom w:val="single" w:sz="4" w:space="0" w:color="auto"/>
              <w:right w:val="single" w:sz="4" w:space="0" w:color="auto"/>
            </w:tcBorders>
            <w:shd w:val="clear" w:color="000000" w:fill="B8CCE4"/>
            <w:noWrap/>
            <w:vAlign w:val="bottom"/>
            <w:hideMark/>
          </w:tcPr>
          <w:p w:rsidR="00503E3D" w:rsidRPr="00503E3D" w:rsidRDefault="00503E3D" w:rsidP="00503E3D">
            <w:pPr>
              <w:spacing w:after="0" w:line="240" w:lineRule="auto"/>
              <w:jc w:val="right"/>
              <w:rPr>
                <w:rFonts w:ascii="Calibri" w:eastAsia="Times New Roman" w:hAnsi="Calibri" w:cs="Times New Roman"/>
                <w:color w:val="000000"/>
                <w:lang w:eastAsia="es-ES"/>
              </w:rPr>
            </w:pPr>
            <w:r w:rsidRPr="00503E3D">
              <w:rPr>
                <w:rFonts w:ascii="Calibri" w:eastAsia="Times New Roman" w:hAnsi="Calibri" w:cs="Times New Roman"/>
                <w:color w:val="000000"/>
                <w:lang w:eastAsia="es-ES"/>
              </w:rPr>
              <w:t>4,246.00</w:t>
            </w:r>
          </w:p>
        </w:tc>
        <w:tc>
          <w:tcPr>
            <w:tcW w:w="1720" w:type="dxa"/>
            <w:tcBorders>
              <w:top w:val="nil"/>
              <w:left w:val="nil"/>
              <w:bottom w:val="nil"/>
              <w:right w:val="nil"/>
            </w:tcBorders>
            <w:shd w:val="clear" w:color="auto" w:fill="auto"/>
            <w:noWrap/>
            <w:vAlign w:val="bottom"/>
            <w:hideMark/>
          </w:tcPr>
          <w:p w:rsidR="00503E3D" w:rsidRPr="00503E3D" w:rsidRDefault="00503E3D" w:rsidP="00503E3D">
            <w:pPr>
              <w:spacing w:after="0" w:line="240" w:lineRule="auto"/>
              <w:rPr>
                <w:rFonts w:ascii="Calibri" w:eastAsia="Times New Roman" w:hAnsi="Calibri" w:cs="Times New Roman"/>
                <w:color w:val="000000"/>
                <w:lang w:eastAsia="es-ES"/>
              </w:rPr>
            </w:pPr>
          </w:p>
        </w:tc>
        <w:tc>
          <w:tcPr>
            <w:tcW w:w="1440" w:type="dxa"/>
            <w:tcBorders>
              <w:top w:val="nil"/>
              <w:left w:val="single" w:sz="4" w:space="0" w:color="auto"/>
              <w:bottom w:val="single" w:sz="4" w:space="0" w:color="auto"/>
              <w:right w:val="single" w:sz="4" w:space="0" w:color="auto"/>
            </w:tcBorders>
            <w:shd w:val="clear" w:color="000000" w:fill="B8CCE4"/>
            <w:noWrap/>
            <w:vAlign w:val="bottom"/>
            <w:hideMark/>
          </w:tcPr>
          <w:p w:rsidR="00503E3D" w:rsidRPr="00503E3D" w:rsidRDefault="00503E3D" w:rsidP="00503E3D">
            <w:pPr>
              <w:spacing w:after="0" w:line="240" w:lineRule="auto"/>
              <w:ind w:firstLineChars="100" w:firstLine="221"/>
              <w:rPr>
                <w:rFonts w:ascii="Calibri" w:eastAsia="Times New Roman" w:hAnsi="Calibri" w:cs="Times New Roman"/>
                <w:b/>
                <w:bCs/>
                <w:color w:val="000000"/>
                <w:lang w:eastAsia="es-ES"/>
              </w:rPr>
            </w:pPr>
            <w:proofErr w:type="spellStart"/>
            <w:r w:rsidRPr="00503E3D">
              <w:rPr>
                <w:rFonts w:ascii="Calibri" w:eastAsia="Times New Roman" w:hAnsi="Calibri" w:cs="Times New Roman"/>
                <w:b/>
                <w:bCs/>
                <w:color w:val="000000"/>
                <w:lang w:eastAsia="es-ES"/>
              </w:rPr>
              <w:t>Tertiary</w:t>
            </w:r>
            <w:proofErr w:type="spellEnd"/>
          </w:p>
        </w:tc>
        <w:tc>
          <w:tcPr>
            <w:tcW w:w="1420" w:type="dxa"/>
            <w:tcBorders>
              <w:top w:val="nil"/>
              <w:left w:val="nil"/>
              <w:bottom w:val="single" w:sz="4" w:space="0" w:color="auto"/>
              <w:right w:val="single" w:sz="4" w:space="0" w:color="auto"/>
            </w:tcBorders>
            <w:shd w:val="clear" w:color="000000" w:fill="B8CCE4"/>
            <w:noWrap/>
            <w:vAlign w:val="bottom"/>
            <w:hideMark/>
          </w:tcPr>
          <w:p w:rsidR="00503E3D" w:rsidRPr="00503E3D" w:rsidRDefault="00503E3D" w:rsidP="00503E3D">
            <w:pPr>
              <w:spacing w:after="0" w:line="240" w:lineRule="auto"/>
              <w:jc w:val="right"/>
              <w:rPr>
                <w:rFonts w:ascii="Calibri" w:eastAsia="Times New Roman" w:hAnsi="Calibri" w:cs="Times New Roman"/>
                <w:color w:val="000000"/>
                <w:lang w:eastAsia="es-ES"/>
              </w:rPr>
            </w:pPr>
            <w:r w:rsidRPr="00503E3D">
              <w:rPr>
                <w:rFonts w:ascii="Calibri" w:eastAsia="Times New Roman" w:hAnsi="Calibri" w:cs="Times New Roman"/>
                <w:color w:val="000000"/>
                <w:lang w:eastAsia="es-ES"/>
              </w:rPr>
              <w:t>1,454.11</w:t>
            </w:r>
          </w:p>
        </w:tc>
      </w:tr>
    </w:tbl>
    <w:p w:rsidR="002955B0" w:rsidRDefault="00D41C70" w:rsidP="005447CB">
      <w:pPr>
        <w:pStyle w:val="NoSpacing"/>
        <w:spacing w:line="276" w:lineRule="auto"/>
        <w:ind w:firstLine="708"/>
        <w:rPr>
          <w:sz w:val="16"/>
          <w:szCs w:val="16"/>
          <w:lang w:val="en-US"/>
        </w:rPr>
      </w:pPr>
      <w:r w:rsidRPr="00534E93">
        <w:rPr>
          <w:sz w:val="16"/>
          <w:szCs w:val="16"/>
          <w:lang w:val="en-US"/>
        </w:rPr>
        <w:t xml:space="preserve"> </w:t>
      </w:r>
      <w:r w:rsidR="001D073D" w:rsidRPr="00534E93">
        <w:rPr>
          <w:sz w:val="16"/>
          <w:szCs w:val="16"/>
          <w:lang w:val="en-US"/>
        </w:rPr>
        <w:t>Source</w:t>
      </w:r>
      <w:r w:rsidR="001A40FE" w:rsidRPr="00534E93">
        <w:rPr>
          <w:sz w:val="16"/>
          <w:szCs w:val="16"/>
          <w:lang w:val="en-US"/>
        </w:rPr>
        <w:t xml:space="preserve">: </w:t>
      </w:r>
      <w:r w:rsidR="005F6C3F" w:rsidRPr="00534E93">
        <w:rPr>
          <w:sz w:val="16"/>
          <w:szCs w:val="16"/>
          <w:lang w:val="en-US"/>
        </w:rPr>
        <w:t xml:space="preserve">MEF. </w:t>
      </w:r>
      <w:proofErr w:type="gramStart"/>
      <w:r w:rsidR="005F6C3F" w:rsidRPr="00534E93">
        <w:rPr>
          <w:sz w:val="16"/>
          <w:szCs w:val="16"/>
          <w:lang w:val="en-US"/>
        </w:rPr>
        <w:t>INEI.</w:t>
      </w:r>
      <w:proofErr w:type="gramEnd"/>
      <w:r w:rsidR="001D073D" w:rsidRPr="00534E93">
        <w:rPr>
          <w:sz w:val="16"/>
          <w:szCs w:val="16"/>
          <w:lang w:val="en-US"/>
        </w:rPr>
        <w:t xml:space="preserve"> </w:t>
      </w:r>
      <w:proofErr w:type="gramStart"/>
      <w:r w:rsidR="00534E93" w:rsidRPr="00534E93">
        <w:rPr>
          <w:sz w:val="16"/>
          <w:szCs w:val="16"/>
          <w:lang w:val="en-US"/>
        </w:rPr>
        <w:t>Elabor</w:t>
      </w:r>
      <w:r w:rsidR="00534E93">
        <w:rPr>
          <w:sz w:val="16"/>
          <w:szCs w:val="16"/>
          <w:lang w:val="en-US"/>
        </w:rPr>
        <w:t>a</w:t>
      </w:r>
      <w:r w:rsidR="00534E93" w:rsidRPr="00534E93">
        <w:rPr>
          <w:sz w:val="16"/>
          <w:szCs w:val="16"/>
          <w:lang w:val="en-US"/>
        </w:rPr>
        <w:t>ted b</w:t>
      </w:r>
      <w:r w:rsidR="00534E93">
        <w:rPr>
          <w:sz w:val="16"/>
          <w:szCs w:val="16"/>
          <w:lang w:val="en-US"/>
        </w:rPr>
        <w:t>y the authors.</w:t>
      </w:r>
      <w:proofErr w:type="gramEnd"/>
    </w:p>
    <w:p w:rsidR="0008079E" w:rsidRPr="00534E93" w:rsidRDefault="0008079E" w:rsidP="005447CB">
      <w:pPr>
        <w:pStyle w:val="NoSpacing"/>
        <w:spacing w:line="276" w:lineRule="auto"/>
        <w:ind w:firstLine="708"/>
        <w:rPr>
          <w:sz w:val="16"/>
          <w:szCs w:val="16"/>
          <w:lang w:val="en-US"/>
        </w:rPr>
      </w:pPr>
    </w:p>
    <w:p w:rsidR="005447CB" w:rsidRPr="005447CB" w:rsidRDefault="005447CB" w:rsidP="005447CB">
      <w:pPr>
        <w:pStyle w:val="NoSpacing"/>
        <w:spacing w:line="276" w:lineRule="auto"/>
        <w:ind w:firstLine="708"/>
        <w:rPr>
          <w:sz w:val="16"/>
          <w:szCs w:val="16"/>
          <w:lang w:val="en-US"/>
        </w:rPr>
      </w:pPr>
      <w:r w:rsidRPr="005447CB">
        <w:rPr>
          <w:sz w:val="16"/>
          <w:szCs w:val="16"/>
          <w:lang w:val="en-US"/>
        </w:rPr>
        <w:t>a\.Average Exchange rate f</w:t>
      </w:r>
      <w:r>
        <w:rPr>
          <w:sz w:val="16"/>
          <w:szCs w:val="16"/>
          <w:lang w:val="en-US"/>
        </w:rPr>
        <w:t>or 2008: S/.2.92 per dollar.</w:t>
      </w:r>
    </w:p>
    <w:p w:rsidR="00E12EBC" w:rsidRPr="005447CB" w:rsidRDefault="00E12EBC" w:rsidP="00E12EBC">
      <w:pPr>
        <w:spacing w:after="0"/>
        <w:jc w:val="both"/>
        <w:rPr>
          <w:lang w:val="en-US"/>
        </w:rPr>
      </w:pPr>
    </w:p>
    <w:p w:rsidR="001A40FE" w:rsidRPr="00E12EBC" w:rsidRDefault="002950A9" w:rsidP="00E12EBC">
      <w:pPr>
        <w:spacing w:after="0"/>
        <w:jc w:val="both"/>
        <w:rPr>
          <w:lang w:val="en-US"/>
        </w:rPr>
      </w:pPr>
      <w:r>
        <w:rPr>
          <w:lang w:val="en-US"/>
        </w:rPr>
        <w:t>Table 8</w:t>
      </w:r>
      <w:r w:rsidR="0067200B">
        <w:rPr>
          <w:lang w:val="en-US"/>
        </w:rPr>
        <w:t xml:space="preserve"> shows the unit </w:t>
      </w:r>
      <w:r w:rsidR="00C36D23">
        <w:rPr>
          <w:lang w:val="en-US"/>
        </w:rPr>
        <w:t xml:space="preserve">government </w:t>
      </w:r>
      <w:r w:rsidR="0067200B">
        <w:rPr>
          <w:lang w:val="en-US"/>
        </w:rPr>
        <w:t xml:space="preserve">subsidy </w:t>
      </w:r>
      <w:r w:rsidR="004F5D80">
        <w:rPr>
          <w:lang w:val="en-US"/>
        </w:rPr>
        <w:t xml:space="preserve">by facility level. It can be seen that Tertiary </w:t>
      </w:r>
      <w:r w:rsidR="007E061E">
        <w:rPr>
          <w:lang w:val="en-US"/>
        </w:rPr>
        <w:t xml:space="preserve">Education (which includes Institutes, </w:t>
      </w:r>
      <w:r w:rsidR="00C36D23">
        <w:rPr>
          <w:lang w:val="en-US"/>
        </w:rPr>
        <w:t>U</w:t>
      </w:r>
      <w:r w:rsidR="007E061E">
        <w:rPr>
          <w:lang w:val="en-US"/>
        </w:rPr>
        <w:t>niversities and Post-graduate education)</w:t>
      </w:r>
      <w:r w:rsidR="00C36D23">
        <w:rPr>
          <w:lang w:val="en-US"/>
        </w:rPr>
        <w:t xml:space="preserve"> is by far the most subsidized level</w:t>
      </w:r>
      <w:r w:rsidR="00A64357">
        <w:rPr>
          <w:lang w:val="en-US"/>
        </w:rPr>
        <w:t xml:space="preserve"> (S/.4089 per student)</w:t>
      </w:r>
      <w:r w:rsidR="00C36D23">
        <w:rPr>
          <w:lang w:val="en-US"/>
        </w:rPr>
        <w:t xml:space="preserve">, while Preschool </w:t>
      </w:r>
      <w:r w:rsidR="00A64357">
        <w:rPr>
          <w:lang w:val="en-US"/>
        </w:rPr>
        <w:t xml:space="preserve">is the less subsidized: </w:t>
      </w:r>
      <w:r w:rsidR="00C21287">
        <w:rPr>
          <w:lang w:val="en-US"/>
        </w:rPr>
        <w:t xml:space="preserve">the </w:t>
      </w:r>
      <w:r w:rsidR="00C36D23">
        <w:rPr>
          <w:lang w:val="en-US"/>
        </w:rPr>
        <w:t>government invest</w:t>
      </w:r>
      <w:r w:rsidR="000D4F6E">
        <w:rPr>
          <w:lang w:val="en-US"/>
        </w:rPr>
        <w:t>s</w:t>
      </w:r>
      <w:r w:rsidR="00C36D23">
        <w:rPr>
          <w:lang w:val="en-US"/>
        </w:rPr>
        <w:t xml:space="preserve"> approximately S/.1</w:t>
      </w:r>
      <w:r w:rsidR="00CF5834">
        <w:rPr>
          <w:lang w:val="en-US"/>
        </w:rPr>
        <w:t>115</w:t>
      </w:r>
      <w:r w:rsidR="00C36D23">
        <w:rPr>
          <w:lang w:val="en-US"/>
        </w:rPr>
        <w:t xml:space="preserve"> per student.</w:t>
      </w:r>
      <w:r w:rsidR="000D4F6E">
        <w:rPr>
          <w:lang w:val="en-US"/>
        </w:rPr>
        <w:t xml:space="preserve"> </w:t>
      </w:r>
      <w:r w:rsidR="001D76A9">
        <w:rPr>
          <w:lang w:val="en-US"/>
        </w:rPr>
        <w:t>These results</w:t>
      </w:r>
      <w:r w:rsidR="000D4F6E">
        <w:rPr>
          <w:lang w:val="en-US"/>
        </w:rPr>
        <w:t xml:space="preserve"> are </w:t>
      </w:r>
      <w:r w:rsidR="001D76A9">
        <w:rPr>
          <w:lang w:val="en-US"/>
        </w:rPr>
        <w:t xml:space="preserve">relatively </w:t>
      </w:r>
      <w:r w:rsidR="000D4F6E">
        <w:rPr>
          <w:lang w:val="en-US"/>
        </w:rPr>
        <w:t xml:space="preserve">consistent with the MINEDU’s </w:t>
      </w:r>
      <w:r w:rsidR="001D76A9">
        <w:rPr>
          <w:lang w:val="en-US"/>
        </w:rPr>
        <w:t xml:space="preserve">2003 </w:t>
      </w:r>
      <w:r w:rsidR="000D4F6E">
        <w:rPr>
          <w:lang w:val="en-US"/>
        </w:rPr>
        <w:t xml:space="preserve">report, which points out that </w:t>
      </w:r>
      <w:r w:rsidR="001D76A9">
        <w:rPr>
          <w:lang w:val="en-US"/>
        </w:rPr>
        <w:t>public expenditure per student is 2409 PPP dollars in Universities</w:t>
      </w:r>
      <w:r w:rsidR="009F1341">
        <w:rPr>
          <w:rStyle w:val="FootnoteReference"/>
          <w:lang w:val="en-US"/>
        </w:rPr>
        <w:footnoteReference w:id="9"/>
      </w:r>
      <w:r w:rsidR="001D76A9">
        <w:rPr>
          <w:lang w:val="en-US"/>
        </w:rPr>
        <w:t>, 360 PPP dollars in Preschool and Primary school and 518 PPP dollars in Secondary school.</w:t>
      </w:r>
      <w:r w:rsidR="009F1341">
        <w:rPr>
          <w:lang w:val="en-US"/>
        </w:rPr>
        <w:t xml:space="preserve"> As can be seen, Te</w:t>
      </w:r>
      <w:r w:rsidR="00122C0A">
        <w:rPr>
          <w:lang w:val="en-US"/>
        </w:rPr>
        <w:t>rtiary</w:t>
      </w:r>
      <w:r w:rsidR="00A552CF">
        <w:rPr>
          <w:lang w:val="en-US"/>
        </w:rPr>
        <w:t xml:space="preserve"> education </w:t>
      </w:r>
      <w:r w:rsidR="0059019B">
        <w:rPr>
          <w:lang w:val="en-US"/>
        </w:rPr>
        <w:t xml:space="preserve">subsidy </w:t>
      </w:r>
      <w:r w:rsidR="00546A5A">
        <w:rPr>
          <w:lang w:val="en-US"/>
        </w:rPr>
        <w:t xml:space="preserve">per student </w:t>
      </w:r>
      <w:r w:rsidR="0059019B">
        <w:rPr>
          <w:lang w:val="en-US"/>
        </w:rPr>
        <w:t xml:space="preserve">has been considerably bigger than </w:t>
      </w:r>
      <w:r w:rsidR="00546A5A">
        <w:rPr>
          <w:lang w:val="en-US"/>
        </w:rPr>
        <w:t xml:space="preserve">for </w:t>
      </w:r>
      <w:r w:rsidR="00754815">
        <w:rPr>
          <w:lang w:val="en-US"/>
        </w:rPr>
        <w:t>the rest of facility levels</w:t>
      </w:r>
      <w:r w:rsidR="00672956">
        <w:rPr>
          <w:lang w:val="en-US"/>
        </w:rPr>
        <w:t>, probable because there are a lot of additional materials usually quite more expensive and specialized (depending on the career, for example)</w:t>
      </w:r>
      <w:r w:rsidR="00392600">
        <w:rPr>
          <w:lang w:val="en-US"/>
        </w:rPr>
        <w:t xml:space="preserve">. Moreover, taken into account that </w:t>
      </w:r>
      <w:r w:rsidR="00C4673A">
        <w:rPr>
          <w:lang w:val="en-US"/>
        </w:rPr>
        <w:t>Tertiary Education is not widespread enough, is expected</w:t>
      </w:r>
      <w:r w:rsidR="00FE4D86">
        <w:rPr>
          <w:lang w:val="en-US"/>
        </w:rPr>
        <w:t xml:space="preserve"> to find that subsidy is not well focused</w:t>
      </w:r>
      <w:r w:rsidR="0081596C">
        <w:rPr>
          <w:lang w:val="en-US"/>
        </w:rPr>
        <w:t>.</w:t>
      </w:r>
    </w:p>
    <w:p w:rsidR="00E12EBC" w:rsidRPr="00E12EBC" w:rsidRDefault="00E12EBC" w:rsidP="00640AF6">
      <w:pPr>
        <w:rPr>
          <w:b/>
          <w:bCs/>
          <w:color w:val="4F81BD" w:themeColor="accent1"/>
          <w:sz w:val="18"/>
          <w:szCs w:val="18"/>
          <w:lang w:val="en-US"/>
        </w:rPr>
      </w:pPr>
    </w:p>
    <w:p w:rsidR="0081596C" w:rsidRDefault="00915290" w:rsidP="005061DD">
      <w:pPr>
        <w:jc w:val="both"/>
        <w:rPr>
          <w:b/>
          <w:bCs/>
          <w:color w:val="4F81BD" w:themeColor="accent1"/>
          <w:lang w:val="en-US"/>
        </w:rPr>
      </w:pPr>
      <w:r>
        <w:rPr>
          <w:lang w:val="en-US"/>
        </w:rPr>
        <w:t>Table 9</w:t>
      </w:r>
      <w:r w:rsidR="00695289">
        <w:rPr>
          <w:lang w:val="en-US"/>
        </w:rPr>
        <w:t xml:space="preserve"> gives us an approximation of the distribution of the public expenditure. As can be derived from the school coverage described in the first section of this document, </w:t>
      </w:r>
      <w:r w:rsidR="002C0991">
        <w:rPr>
          <w:lang w:val="en-US"/>
        </w:rPr>
        <w:t>Primary school has the largest number of students</w:t>
      </w:r>
      <w:r w:rsidR="005061DD">
        <w:rPr>
          <w:lang w:val="en-US"/>
        </w:rPr>
        <w:t xml:space="preserve"> for all expenditure quintiles. Tertiary education, on the other hand, not only has far fewer students, but also is seen that the majority of them come from the highest expenditure quintiles.</w:t>
      </w:r>
    </w:p>
    <w:p w:rsidR="00C04143" w:rsidRPr="00DD6EC5" w:rsidRDefault="005061DD" w:rsidP="00DD6EC5">
      <w:pPr>
        <w:rPr>
          <w:b/>
          <w:bCs/>
          <w:color w:val="4F81BD" w:themeColor="accent1"/>
          <w:lang w:val="en-US"/>
        </w:rPr>
      </w:pPr>
      <w:r>
        <w:rPr>
          <w:lang w:val="en-US"/>
        </w:rPr>
        <w:br w:type="page"/>
      </w:r>
      <w:r w:rsidR="00C4687C" w:rsidRPr="00DD6EC5">
        <w:rPr>
          <w:b/>
          <w:bCs/>
          <w:color w:val="4F81BD" w:themeColor="accent1"/>
          <w:lang w:val="en-US"/>
        </w:rPr>
        <w:lastRenderedPageBreak/>
        <w:t>Table</w:t>
      </w:r>
      <w:r w:rsidR="00505444" w:rsidRPr="00DD6EC5">
        <w:rPr>
          <w:b/>
          <w:bCs/>
          <w:color w:val="4F81BD" w:themeColor="accent1"/>
          <w:lang w:val="en-US"/>
        </w:rPr>
        <w:t xml:space="preserve"> 9</w:t>
      </w:r>
      <w:r w:rsidR="00C04143" w:rsidRPr="00DD6EC5">
        <w:rPr>
          <w:b/>
          <w:bCs/>
          <w:color w:val="4F81BD" w:themeColor="accent1"/>
          <w:lang w:val="en-US"/>
        </w:rPr>
        <w:t>:</w:t>
      </w:r>
      <w:r w:rsidR="00C4687C" w:rsidRPr="00DD6EC5">
        <w:rPr>
          <w:b/>
          <w:bCs/>
          <w:color w:val="4F81BD" w:themeColor="accent1"/>
          <w:lang w:val="en-US"/>
        </w:rPr>
        <w:t xml:space="preserve"> Estimated school enrollment by expenditure quintile and facility level</w:t>
      </w:r>
      <w:r w:rsidR="00C04143" w:rsidRPr="00DD6EC5">
        <w:rPr>
          <w:b/>
          <w:bCs/>
          <w:color w:val="4F81BD" w:themeColor="accent1"/>
          <w:lang w:val="en-US"/>
        </w:rPr>
        <w:t xml:space="preserve"> (2008) </w:t>
      </w:r>
    </w:p>
    <w:tbl>
      <w:tblPr>
        <w:tblW w:w="9324" w:type="dxa"/>
        <w:jc w:val="center"/>
        <w:tblInd w:w="70" w:type="dxa"/>
        <w:tblCellMar>
          <w:left w:w="70" w:type="dxa"/>
          <w:right w:w="70" w:type="dxa"/>
        </w:tblCellMar>
        <w:tblLook w:val="04A0"/>
      </w:tblPr>
      <w:tblGrid>
        <w:gridCol w:w="2216"/>
        <w:gridCol w:w="1140"/>
        <w:gridCol w:w="1140"/>
        <w:gridCol w:w="1140"/>
        <w:gridCol w:w="1140"/>
        <w:gridCol w:w="1140"/>
        <w:gridCol w:w="1408"/>
      </w:tblGrid>
      <w:tr w:rsidR="00F00B0E" w:rsidRPr="00F00B0E" w:rsidTr="00F00B0E">
        <w:trPr>
          <w:trHeight w:val="300"/>
          <w:jc w:val="center"/>
        </w:trPr>
        <w:tc>
          <w:tcPr>
            <w:tcW w:w="2216" w:type="dxa"/>
            <w:tcBorders>
              <w:top w:val="nil"/>
              <w:left w:val="nil"/>
              <w:bottom w:val="nil"/>
              <w:right w:val="nil"/>
            </w:tcBorders>
            <w:shd w:val="clear" w:color="auto" w:fill="auto"/>
            <w:noWrap/>
            <w:vAlign w:val="bottom"/>
            <w:hideMark/>
          </w:tcPr>
          <w:p w:rsidR="00F00B0E" w:rsidRPr="00F00B0E" w:rsidRDefault="00F00B0E" w:rsidP="00F00B0E">
            <w:pPr>
              <w:spacing w:after="0" w:line="240" w:lineRule="auto"/>
              <w:jc w:val="center"/>
              <w:rPr>
                <w:rFonts w:ascii="Calibri" w:eastAsia="Times New Roman" w:hAnsi="Calibri" w:cs="Times New Roman"/>
                <w:b/>
                <w:bCs/>
                <w:color w:val="000000"/>
                <w:lang w:eastAsia="es-ES"/>
              </w:rPr>
            </w:pPr>
            <w:r w:rsidRPr="00F00B0E">
              <w:rPr>
                <w:rFonts w:ascii="Calibri" w:eastAsia="Times New Roman" w:hAnsi="Calibri" w:cs="Times New Roman"/>
                <w:b/>
                <w:bCs/>
                <w:color w:val="000000"/>
                <w:lang w:eastAsia="es-ES"/>
              </w:rPr>
              <w:t>TOTAL</w:t>
            </w:r>
          </w:p>
        </w:tc>
        <w:tc>
          <w:tcPr>
            <w:tcW w:w="7108" w:type="dxa"/>
            <w:gridSpan w:val="6"/>
            <w:tcBorders>
              <w:top w:val="single" w:sz="4" w:space="0" w:color="auto"/>
              <w:left w:val="single" w:sz="4" w:space="0" w:color="auto"/>
              <w:bottom w:val="single" w:sz="4" w:space="0" w:color="auto"/>
              <w:right w:val="single" w:sz="4" w:space="0" w:color="auto"/>
            </w:tcBorders>
            <w:shd w:val="clear" w:color="000000" w:fill="B2A1C7"/>
            <w:noWrap/>
            <w:vAlign w:val="bottom"/>
            <w:hideMark/>
          </w:tcPr>
          <w:p w:rsidR="00F00B0E" w:rsidRPr="00F00B0E" w:rsidRDefault="00F00B0E" w:rsidP="00F00B0E">
            <w:pPr>
              <w:spacing w:after="0" w:line="240" w:lineRule="auto"/>
              <w:jc w:val="center"/>
              <w:rPr>
                <w:rFonts w:ascii="Calibri" w:eastAsia="Times New Roman" w:hAnsi="Calibri" w:cs="Times New Roman"/>
                <w:b/>
                <w:bCs/>
                <w:color w:val="000000"/>
                <w:lang w:eastAsia="es-ES"/>
              </w:rPr>
            </w:pPr>
            <w:proofErr w:type="spellStart"/>
            <w:r w:rsidRPr="00F00B0E">
              <w:rPr>
                <w:rFonts w:ascii="Calibri" w:eastAsia="Times New Roman" w:hAnsi="Calibri" w:cs="Times New Roman"/>
                <w:b/>
                <w:bCs/>
                <w:color w:val="000000"/>
                <w:lang w:eastAsia="es-ES"/>
              </w:rPr>
              <w:t>Expenditure</w:t>
            </w:r>
            <w:proofErr w:type="spellEnd"/>
            <w:r w:rsidRPr="00F00B0E">
              <w:rPr>
                <w:rFonts w:ascii="Calibri" w:eastAsia="Times New Roman" w:hAnsi="Calibri" w:cs="Times New Roman"/>
                <w:b/>
                <w:bCs/>
                <w:color w:val="000000"/>
                <w:lang w:eastAsia="es-ES"/>
              </w:rPr>
              <w:t xml:space="preserve"> </w:t>
            </w:r>
            <w:proofErr w:type="spellStart"/>
            <w:r w:rsidRPr="00F00B0E">
              <w:rPr>
                <w:rFonts w:ascii="Calibri" w:eastAsia="Times New Roman" w:hAnsi="Calibri" w:cs="Times New Roman"/>
                <w:b/>
                <w:bCs/>
                <w:color w:val="000000"/>
                <w:lang w:eastAsia="es-ES"/>
              </w:rPr>
              <w:t>quintile</w:t>
            </w:r>
            <w:proofErr w:type="spellEnd"/>
          </w:p>
        </w:tc>
      </w:tr>
      <w:tr w:rsidR="00F00B0E" w:rsidRPr="00F00B0E" w:rsidTr="00F00B0E">
        <w:trPr>
          <w:trHeight w:val="300"/>
          <w:jc w:val="center"/>
        </w:trPr>
        <w:tc>
          <w:tcPr>
            <w:tcW w:w="2216" w:type="dxa"/>
            <w:tcBorders>
              <w:top w:val="single" w:sz="4" w:space="0" w:color="auto"/>
              <w:left w:val="single" w:sz="4" w:space="0" w:color="auto"/>
              <w:bottom w:val="single" w:sz="4" w:space="0" w:color="auto"/>
              <w:right w:val="single" w:sz="4" w:space="0" w:color="auto"/>
            </w:tcBorders>
            <w:shd w:val="clear" w:color="000000" w:fill="B2A1C7"/>
            <w:noWrap/>
            <w:vAlign w:val="bottom"/>
            <w:hideMark/>
          </w:tcPr>
          <w:p w:rsidR="00F00B0E" w:rsidRPr="00F00B0E" w:rsidRDefault="00F00B0E" w:rsidP="00F00B0E">
            <w:pPr>
              <w:spacing w:after="0" w:line="240" w:lineRule="auto"/>
              <w:ind w:firstLineChars="100" w:firstLine="221"/>
              <w:rPr>
                <w:rFonts w:ascii="Calibri" w:eastAsia="Times New Roman" w:hAnsi="Calibri" w:cs="Times New Roman"/>
                <w:b/>
                <w:bCs/>
                <w:color w:val="000000"/>
                <w:lang w:eastAsia="es-ES"/>
              </w:rPr>
            </w:pPr>
            <w:r w:rsidRPr="00F00B0E">
              <w:rPr>
                <w:rFonts w:ascii="Calibri" w:eastAsia="Times New Roman" w:hAnsi="Calibri" w:cs="Times New Roman"/>
                <w:b/>
                <w:bCs/>
                <w:color w:val="000000"/>
                <w:lang w:eastAsia="es-ES"/>
              </w:rPr>
              <w:t> </w:t>
            </w:r>
          </w:p>
        </w:tc>
        <w:tc>
          <w:tcPr>
            <w:tcW w:w="1140" w:type="dxa"/>
            <w:tcBorders>
              <w:top w:val="nil"/>
              <w:left w:val="nil"/>
              <w:bottom w:val="nil"/>
              <w:right w:val="nil"/>
            </w:tcBorders>
            <w:shd w:val="clear" w:color="000000" w:fill="B8CCE4"/>
            <w:noWrap/>
            <w:vAlign w:val="bottom"/>
            <w:hideMark/>
          </w:tcPr>
          <w:p w:rsidR="00F00B0E" w:rsidRPr="00F00B0E" w:rsidRDefault="00F00B0E" w:rsidP="00F00B0E">
            <w:pPr>
              <w:spacing w:after="0" w:line="240" w:lineRule="auto"/>
              <w:jc w:val="right"/>
              <w:rPr>
                <w:rFonts w:ascii="Calibri" w:eastAsia="Times New Roman" w:hAnsi="Calibri" w:cs="Times New Roman"/>
                <w:color w:val="000000"/>
                <w:lang w:eastAsia="es-ES"/>
              </w:rPr>
            </w:pPr>
            <w:r w:rsidRPr="00F00B0E">
              <w:rPr>
                <w:rFonts w:ascii="Calibri" w:eastAsia="Times New Roman" w:hAnsi="Calibri" w:cs="Times New Roman"/>
                <w:color w:val="000000"/>
                <w:lang w:eastAsia="es-ES"/>
              </w:rPr>
              <w:t>1</w:t>
            </w:r>
          </w:p>
        </w:tc>
        <w:tc>
          <w:tcPr>
            <w:tcW w:w="1140" w:type="dxa"/>
            <w:tcBorders>
              <w:top w:val="nil"/>
              <w:left w:val="nil"/>
              <w:bottom w:val="nil"/>
              <w:right w:val="nil"/>
            </w:tcBorders>
            <w:shd w:val="clear" w:color="000000" w:fill="B8CCE4"/>
            <w:noWrap/>
            <w:vAlign w:val="bottom"/>
            <w:hideMark/>
          </w:tcPr>
          <w:p w:rsidR="00F00B0E" w:rsidRPr="00F00B0E" w:rsidRDefault="00F00B0E" w:rsidP="00F00B0E">
            <w:pPr>
              <w:spacing w:after="0" w:line="240" w:lineRule="auto"/>
              <w:jc w:val="right"/>
              <w:rPr>
                <w:rFonts w:ascii="Calibri" w:eastAsia="Times New Roman" w:hAnsi="Calibri" w:cs="Times New Roman"/>
                <w:color w:val="000000"/>
                <w:lang w:eastAsia="es-ES"/>
              </w:rPr>
            </w:pPr>
            <w:r w:rsidRPr="00F00B0E">
              <w:rPr>
                <w:rFonts w:ascii="Calibri" w:eastAsia="Times New Roman" w:hAnsi="Calibri" w:cs="Times New Roman"/>
                <w:color w:val="000000"/>
                <w:lang w:eastAsia="es-ES"/>
              </w:rPr>
              <w:t>2</w:t>
            </w:r>
          </w:p>
        </w:tc>
        <w:tc>
          <w:tcPr>
            <w:tcW w:w="1140" w:type="dxa"/>
            <w:tcBorders>
              <w:top w:val="nil"/>
              <w:left w:val="nil"/>
              <w:bottom w:val="nil"/>
              <w:right w:val="nil"/>
            </w:tcBorders>
            <w:shd w:val="clear" w:color="000000" w:fill="B8CCE4"/>
            <w:noWrap/>
            <w:vAlign w:val="bottom"/>
            <w:hideMark/>
          </w:tcPr>
          <w:p w:rsidR="00F00B0E" w:rsidRPr="00F00B0E" w:rsidRDefault="00F00B0E" w:rsidP="00F00B0E">
            <w:pPr>
              <w:spacing w:after="0" w:line="240" w:lineRule="auto"/>
              <w:jc w:val="right"/>
              <w:rPr>
                <w:rFonts w:ascii="Calibri" w:eastAsia="Times New Roman" w:hAnsi="Calibri" w:cs="Times New Roman"/>
                <w:color w:val="000000"/>
                <w:lang w:eastAsia="es-ES"/>
              </w:rPr>
            </w:pPr>
            <w:r w:rsidRPr="00F00B0E">
              <w:rPr>
                <w:rFonts w:ascii="Calibri" w:eastAsia="Times New Roman" w:hAnsi="Calibri" w:cs="Times New Roman"/>
                <w:color w:val="000000"/>
                <w:lang w:eastAsia="es-ES"/>
              </w:rPr>
              <w:t>3</w:t>
            </w:r>
          </w:p>
        </w:tc>
        <w:tc>
          <w:tcPr>
            <w:tcW w:w="1140" w:type="dxa"/>
            <w:tcBorders>
              <w:top w:val="nil"/>
              <w:left w:val="nil"/>
              <w:bottom w:val="nil"/>
              <w:right w:val="nil"/>
            </w:tcBorders>
            <w:shd w:val="clear" w:color="000000" w:fill="B8CCE4"/>
            <w:noWrap/>
            <w:vAlign w:val="bottom"/>
            <w:hideMark/>
          </w:tcPr>
          <w:p w:rsidR="00F00B0E" w:rsidRPr="00F00B0E" w:rsidRDefault="00F00B0E" w:rsidP="00F00B0E">
            <w:pPr>
              <w:spacing w:after="0" w:line="240" w:lineRule="auto"/>
              <w:jc w:val="right"/>
              <w:rPr>
                <w:rFonts w:ascii="Calibri" w:eastAsia="Times New Roman" w:hAnsi="Calibri" w:cs="Times New Roman"/>
                <w:color w:val="000000"/>
                <w:lang w:eastAsia="es-ES"/>
              </w:rPr>
            </w:pPr>
            <w:r w:rsidRPr="00F00B0E">
              <w:rPr>
                <w:rFonts w:ascii="Calibri" w:eastAsia="Times New Roman" w:hAnsi="Calibri" w:cs="Times New Roman"/>
                <w:color w:val="000000"/>
                <w:lang w:eastAsia="es-ES"/>
              </w:rPr>
              <w:t>4</w:t>
            </w:r>
          </w:p>
        </w:tc>
        <w:tc>
          <w:tcPr>
            <w:tcW w:w="1140" w:type="dxa"/>
            <w:tcBorders>
              <w:top w:val="nil"/>
              <w:left w:val="nil"/>
              <w:bottom w:val="nil"/>
              <w:right w:val="nil"/>
            </w:tcBorders>
            <w:shd w:val="clear" w:color="000000" w:fill="B8CCE4"/>
            <w:noWrap/>
            <w:vAlign w:val="bottom"/>
            <w:hideMark/>
          </w:tcPr>
          <w:p w:rsidR="00F00B0E" w:rsidRPr="00F00B0E" w:rsidRDefault="00F00B0E" w:rsidP="00F00B0E">
            <w:pPr>
              <w:spacing w:after="0" w:line="240" w:lineRule="auto"/>
              <w:jc w:val="right"/>
              <w:rPr>
                <w:rFonts w:ascii="Calibri" w:eastAsia="Times New Roman" w:hAnsi="Calibri" w:cs="Times New Roman"/>
                <w:color w:val="000000"/>
                <w:lang w:eastAsia="es-ES"/>
              </w:rPr>
            </w:pPr>
            <w:r w:rsidRPr="00F00B0E">
              <w:rPr>
                <w:rFonts w:ascii="Calibri" w:eastAsia="Times New Roman" w:hAnsi="Calibri" w:cs="Times New Roman"/>
                <w:color w:val="000000"/>
                <w:lang w:eastAsia="es-ES"/>
              </w:rPr>
              <w:t>5</w:t>
            </w:r>
          </w:p>
        </w:tc>
        <w:tc>
          <w:tcPr>
            <w:tcW w:w="1408" w:type="dxa"/>
            <w:tcBorders>
              <w:top w:val="nil"/>
              <w:left w:val="single" w:sz="4" w:space="0" w:color="auto"/>
              <w:bottom w:val="single" w:sz="4" w:space="0" w:color="auto"/>
              <w:right w:val="single" w:sz="4" w:space="0" w:color="auto"/>
            </w:tcBorders>
            <w:shd w:val="clear" w:color="000000" w:fill="B8CCE4"/>
            <w:noWrap/>
            <w:vAlign w:val="bottom"/>
            <w:hideMark/>
          </w:tcPr>
          <w:p w:rsidR="00F00B0E" w:rsidRPr="00F00B0E" w:rsidRDefault="00F00B0E" w:rsidP="00F00B0E">
            <w:pPr>
              <w:spacing w:after="0" w:line="240" w:lineRule="auto"/>
              <w:jc w:val="center"/>
              <w:rPr>
                <w:rFonts w:ascii="Calibri" w:eastAsia="Times New Roman" w:hAnsi="Calibri" w:cs="Times New Roman"/>
                <w:b/>
                <w:bCs/>
                <w:color w:val="000000"/>
                <w:lang w:eastAsia="es-ES"/>
              </w:rPr>
            </w:pPr>
            <w:r w:rsidRPr="00F00B0E">
              <w:rPr>
                <w:rFonts w:ascii="Calibri" w:eastAsia="Times New Roman" w:hAnsi="Calibri" w:cs="Times New Roman"/>
                <w:b/>
                <w:bCs/>
                <w:color w:val="000000"/>
                <w:lang w:eastAsia="es-ES"/>
              </w:rPr>
              <w:t>Total</w:t>
            </w:r>
          </w:p>
        </w:tc>
      </w:tr>
      <w:tr w:rsidR="00F00B0E" w:rsidRPr="00F00B0E" w:rsidTr="00F00B0E">
        <w:trPr>
          <w:trHeight w:val="300"/>
          <w:jc w:val="center"/>
        </w:trPr>
        <w:tc>
          <w:tcPr>
            <w:tcW w:w="2216" w:type="dxa"/>
            <w:tcBorders>
              <w:top w:val="nil"/>
              <w:left w:val="single" w:sz="4" w:space="0" w:color="auto"/>
              <w:bottom w:val="single" w:sz="4" w:space="0" w:color="auto"/>
              <w:right w:val="single" w:sz="4" w:space="0" w:color="auto"/>
            </w:tcBorders>
            <w:shd w:val="clear" w:color="000000" w:fill="FFFFFF"/>
            <w:noWrap/>
            <w:vAlign w:val="bottom"/>
            <w:hideMark/>
          </w:tcPr>
          <w:p w:rsidR="00F00B0E" w:rsidRPr="00F00B0E" w:rsidRDefault="00F00B0E" w:rsidP="00F00B0E">
            <w:pPr>
              <w:spacing w:after="0" w:line="240" w:lineRule="auto"/>
              <w:ind w:firstLineChars="100" w:firstLine="221"/>
              <w:rPr>
                <w:rFonts w:ascii="Calibri" w:eastAsia="Times New Roman" w:hAnsi="Calibri" w:cs="Times New Roman"/>
                <w:b/>
                <w:bCs/>
                <w:color w:val="000000"/>
                <w:lang w:eastAsia="es-ES"/>
              </w:rPr>
            </w:pPr>
            <w:proofErr w:type="spellStart"/>
            <w:r w:rsidRPr="00F00B0E">
              <w:rPr>
                <w:rFonts w:ascii="Calibri" w:eastAsia="Times New Roman" w:hAnsi="Calibri" w:cs="Times New Roman"/>
                <w:b/>
                <w:bCs/>
                <w:color w:val="000000"/>
                <w:lang w:eastAsia="es-ES"/>
              </w:rPr>
              <w:t>Preschool</w:t>
            </w:r>
            <w:proofErr w:type="spellEnd"/>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F00B0E" w:rsidRPr="00F00B0E" w:rsidRDefault="00F00B0E" w:rsidP="00F00B0E">
            <w:pPr>
              <w:spacing w:after="0" w:line="240" w:lineRule="auto"/>
              <w:jc w:val="right"/>
              <w:rPr>
                <w:rFonts w:ascii="Calibri" w:eastAsia="Times New Roman" w:hAnsi="Calibri" w:cs="Times New Roman"/>
                <w:color w:val="000000"/>
                <w:lang w:eastAsia="es-ES"/>
              </w:rPr>
            </w:pPr>
            <w:r w:rsidRPr="00F00B0E">
              <w:rPr>
                <w:rFonts w:ascii="Calibri" w:eastAsia="Times New Roman" w:hAnsi="Calibri" w:cs="Times New Roman"/>
                <w:color w:val="000000"/>
                <w:lang w:eastAsia="es-ES"/>
              </w:rPr>
              <w:t>157,843</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F00B0E" w:rsidRPr="00F00B0E" w:rsidRDefault="00F00B0E" w:rsidP="00F00B0E">
            <w:pPr>
              <w:spacing w:after="0" w:line="240" w:lineRule="auto"/>
              <w:jc w:val="right"/>
              <w:rPr>
                <w:rFonts w:ascii="Calibri" w:eastAsia="Times New Roman" w:hAnsi="Calibri" w:cs="Times New Roman"/>
                <w:color w:val="000000"/>
                <w:lang w:eastAsia="es-ES"/>
              </w:rPr>
            </w:pPr>
            <w:r w:rsidRPr="00F00B0E">
              <w:rPr>
                <w:rFonts w:ascii="Calibri" w:eastAsia="Times New Roman" w:hAnsi="Calibri" w:cs="Times New Roman"/>
                <w:color w:val="000000"/>
                <w:lang w:eastAsia="es-ES"/>
              </w:rPr>
              <w:t>149,812</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F00B0E" w:rsidRPr="00F00B0E" w:rsidRDefault="00F00B0E" w:rsidP="00F00B0E">
            <w:pPr>
              <w:spacing w:after="0" w:line="240" w:lineRule="auto"/>
              <w:jc w:val="right"/>
              <w:rPr>
                <w:rFonts w:ascii="Calibri" w:eastAsia="Times New Roman" w:hAnsi="Calibri" w:cs="Times New Roman"/>
                <w:color w:val="000000"/>
                <w:lang w:eastAsia="es-ES"/>
              </w:rPr>
            </w:pPr>
            <w:r w:rsidRPr="00F00B0E">
              <w:rPr>
                <w:rFonts w:ascii="Calibri" w:eastAsia="Times New Roman" w:hAnsi="Calibri" w:cs="Times New Roman"/>
                <w:color w:val="000000"/>
                <w:lang w:eastAsia="es-ES"/>
              </w:rPr>
              <w:t>133,931</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F00B0E" w:rsidRPr="00F00B0E" w:rsidRDefault="00F00B0E" w:rsidP="00F00B0E">
            <w:pPr>
              <w:spacing w:after="0" w:line="240" w:lineRule="auto"/>
              <w:jc w:val="right"/>
              <w:rPr>
                <w:rFonts w:ascii="Calibri" w:eastAsia="Times New Roman" w:hAnsi="Calibri" w:cs="Times New Roman"/>
                <w:color w:val="000000"/>
                <w:lang w:eastAsia="es-ES"/>
              </w:rPr>
            </w:pPr>
            <w:r w:rsidRPr="00F00B0E">
              <w:rPr>
                <w:rFonts w:ascii="Calibri" w:eastAsia="Times New Roman" w:hAnsi="Calibri" w:cs="Times New Roman"/>
                <w:color w:val="000000"/>
                <w:lang w:eastAsia="es-ES"/>
              </w:rPr>
              <w:t>130,242</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F00B0E" w:rsidRPr="00F00B0E" w:rsidRDefault="00F00B0E" w:rsidP="00F00B0E">
            <w:pPr>
              <w:spacing w:after="0" w:line="240" w:lineRule="auto"/>
              <w:jc w:val="right"/>
              <w:rPr>
                <w:rFonts w:ascii="Calibri" w:eastAsia="Times New Roman" w:hAnsi="Calibri" w:cs="Times New Roman"/>
                <w:color w:val="000000"/>
                <w:lang w:eastAsia="es-ES"/>
              </w:rPr>
            </w:pPr>
            <w:r w:rsidRPr="00F00B0E">
              <w:rPr>
                <w:rFonts w:ascii="Calibri" w:eastAsia="Times New Roman" w:hAnsi="Calibri" w:cs="Times New Roman"/>
                <w:color w:val="000000"/>
                <w:lang w:eastAsia="es-ES"/>
              </w:rPr>
              <w:t>109,894</w:t>
            </w:r>
          </w:p>
        </w:tc>
        <w:tc>
          <w:tcPr>
            <w:tcW w:w="1408" w:type="dxa"/>
            <w:tcBorders>
              <w:top w:val="nil"/>
              <w:left w:val="nil"/>
              <w:bottom w:val="single" w:sz="4" w:space="0" w:color="auto"/>
              <w:right w:val="single" w:sz="4" w:space="0" w:color="auto"/>
            </w:tcBorders>
            <w:shd w:val="clear" w:color="auto" w:fill="auto"/>
            <w:noWrap/>
            <w:vAlign w:val="bottom"/>
            <w:hideMark/>
          </w:tcPr>
          <w:p w:rsidR="00F00B0E" w:rsidRPr="00F00B0E" w:rsidRDefault="00F00B0E" w:rsidP="00F00B0E">
            <w:pPr>
              <w:spacing w:after="0" w:line="240" w:lineRule="auto"/>
              <w:jc w:val="right"/>
              <w:rPr>
                <w:rFonts w:ascii="Calibri" w:eastAsia="Times New Roman" w:hAnsi="Calibri" w:cs="Times New Roman"/>
                <w:color w:val="000000"/>
                <w:lang w:eastAsia="es-ES"/>
              </w:rPr>
            </w:pPr>
            <w:r w:rsidRPr="00F00B0E">
              <w:rPr>
                <w:rFonts w:ascii="Calibri" w:eastAsia="Times New Roman" w:hAnsi="Calibri" w:cs="Times New Roman"/>
                <w:color w:val="000000"/>
                <w:lang w:eastAsia="es-ES"/>
              </w:rPr>
              <w:t>681,722</w:t>
            </w:r>
          </w:p>
        </w:tc>
      </w:tr>
      <w:tr w:rsidR="00F00B0E" w:rsidRPr="00F00B0E" w:rsidTr="00F00B0E">
        <w:trPr>
          <w:trHeight w:val="300"/>
          <w:jc w:val="center"/>
        </w:trPr>
        <w:tc>
          <w:tcPr>
            <w:tcW w:w="2216" w:type="dxa"/>
            <w:tcBorders>
              <w:top w:val="nil"/>
              <w:left w:val="single" w:sz="4" w:space="0" w:color="auto"/>
              <w:bottom w:val="single" w:sz="4" w:space="0" w:color="auto"/>
              <w:right w:val="single" w:sz="4" w:space="0" w:color="auto"/>
            </w:tcBorders>
            <w:shd w:val="clear" w:color="000000" w:fill="FFFFFF"/>
            <w:noWrap/>
            <w:vAlign w:val="bottom"/>
            <w:hideMark/>
          </w:tcPr>
          <w:p w:rsidR="00F00B0E" w:rsidRPr="00F00B0E" w:rsidRDefault="00F00B0E" w:rsidP="00F00B0E">
            <w:pPr>
              <w:spacing w:after="0" w:line="240" w:lineRule="auto"/>
              <w:ind w:firstLineChars="100" w:firstLine="221"/>
              <w:rPr>
                <w:rFonts w:ascii="Calibri" w:eastAsia="Times New Roman" w:hAnsi="Calibri" w:cs="Times New Roman"/>
                <w:b/>
                <w:bCs/>
                <w:color w:val="000000"/>
                <w:lang w:eastAsia="es-ES"/>
              </w:rPr>
            </w:pPr>
            <w:proofErr w:type="spellStart"/>
            <w:r w:rsidRPr="00F00B0E">
              <w:rPr>
                <w:rFonts w:ascii="Calibri" w:eastAsia="Times New Roman" w:hAnsi="Calibri" w:cs="Times New Roman"/>
                <w:b/>
                <w:bCs/>
                <w:color w:val="000000"/>
                <w:lang w:eastAsia="es-ES"/>
              </w:rPr>
              <w:t>Primary</w:t>
            </w:r>
            <w:proofErr w:type="spellEnd"/>
          </w:p>
        </w:tc>
        <w:tc>
          <w:tcPr>
            <w:tcW w:w="1140" w:type="dxa"/>
            <w:tcBorders>
              <w:top w:val="nil"/>
              <w:left w:val="nil"/>
              <w:bottom w:val="single" w:sz="4" w:space="0" w:color="auto"/>
              <w:right w:val="single" w:sz="4" w:space="0" w:color="auto"/>
            </w:tcBorders>
            <w:shd w:val="clear" w:color="auto" w:fill="auto"/>
            <w:noWrap/>
            <w:vAlign w:val="bottom"/>
            <w:hideMark/>
          </w:tcPr>
          <w:p w:rsidR="00F00B0E" w:rsidRPr="00F00B0E" w:rsidRDefault="00F00B0E" w:rsidP="00F00B0E">
            <w:pPr>
              <w:spacing w:after="0" w:line="240" w:lineRule="auto"/>
              <w:jc w:val="right"/>
              <w:rPr>
                <w:rFonts w:ascii="Calibri" w:eastAsia="Times New Roman" w:hAnsi="Calibri" w:cs="Times New Roman"/>
                <w:color w:val="000000"/>
                <w:lang w:eastAsia="es-ES"/>
              </w:rPr>
            </w:pPr>
            <w:r w:rsidRPr="00F00B0E">
              <w:rPr>
                <w:rFonts w:ascii="Calibri" w:eastAsia="Times New Roman" w:hAnsi="Calibri" w:cs="Times New Roman"/>
                <w:color w:val="000000"/>
                <w:lang w:eastAsia="es-ES"/>
              </w:rPr>
              <w:t>619,923</w:t>
            </w:r>
          </w:p>
        </w:tc>
        <w:tc>
          <w:tcPr>
            <w:tcW w:w="1140" w:type="dxa"/>
            <w:tcBorders>
              <w:top w:val="nil"/>
              <w:left w:val="nil"/>
              <w:bottom w:val="single" w:sz="4" w:space="0" w:color="auto"/>
              <w:right w:val="single" w:sz="4" w:space="0" w:color="auto"/>
            </w:tcBorders>
            <w:shd w:val="clear" w:color="auto" w:fill="auto"/>
            <w:noWrap/>
            <w:vAlign w:val="bottom"/>
            <w:hideMark/>
          </w:tcPr>
          <w:p w:rsidR="00F00B0E" w:rsidRPr="00F00B0E" w:rsidRDefault="00F00B0E" w:rsidP="00F00B0E">
            <w:pPr>
              <w:spacing w:after="0" w:line="240" w:lineRule="auto"/>
              <w:jc w:val="right"/>
              <w:rPr>
                <w:rFonts w:ascii="Calibri" w:eastAsia="Times New Roman" w:hAnsi="Calibri" w:cs="Times New Roman"/>
                <w:color w:val="000000"/>
                <w:lang w:eastAsia="es-ES"/>
              </w:rPr>
            </w:pPr>
            <w:r w:rsidRPr="00F00B0E">
              <w:rPr>
                <w:rFonts w:ascii="Calibri" w:eastAsia="Times New Roman" w:hAnsi="Calibri" w:cs="Times New Roman"/>
                <w:color w:val="000000"/>
                <w:lang w:eastAsia="es-ES"/>
              </w:rPr>
              <w:t>575,512</w:t>
            </w:r>
          </w:p>
        </w:tc>
        <w:tc>
          <w:tcPr>
            <w:tcW w:w="1140" w:type="dxa"/>
            <w:tcBorders>
              <w:top w:val="nil"/>
              <w:left w:val="nil"/>
              <w:bottom w:val="single" w:sz="4" w:space="0" w:color="auto"/>
              <w:right w:val="single" w:sz="4" w:space="0" w:color="auto"/>
            </w:tcBorders>
            <w:shd w:val="clear" w:color="auto" w:fill="auto"/>
            <w:noWrap/>
            <w:vAlign w:val="bottom"/>
            <w:hideMark/>
          </w:tcPr>
          <w:p w:rsidR="00F00B0E" w:rsidRPr="00F00B0E" w:rsidRDefault="00F00B0E" w:rsidP="00F00B0E">
            <w:pPr>
              <w:spacing w:after="0" w:line="240" w:lineRule="auto"/>
              <w:jc w:val="right"/>
              <w:rPr>
                <w:rFonts w:ascii="Calibri" w:eastAsia="Times New Roman" w:hAnsi="Calibri" w:cs="Times New Roman"/>
                <w:color w:val="000000"/>
                <w:lang w:eastAsia="es-ES"/>
              </w:rPr>
            </w:pPr>
            <w:r w:rsidRPr="00F00B0E">
              <w:rPr>
                <w:rFonts w:ascii="Calibri" w:eastAsia="Times New Roman" w:hAnsi="Calibri" w:cs="Times New Roman"/>
                <w:color w:val="000000"/>
                <w:lang w:eastAsia="es-ES"/>
              </w:rPr>
              <w:t>519,722</w:t>
            </w:r>
          </w:p>
        </w:tc>
        <w:tc>
          <w:tcPr>
            <w:tcW w:w="1140" w:type="dxa"/>
            <w:tcBorders>
              <w:top w:val="nil"/>
              <w:left w:val="nil"/>
              <w:bottom w:val="single" w:sz="4" w:space="0" w:color="auto"/>
              <w:right w:val="single" w:sz="4" w:space="0" w:color="auto"/>
            </w:tcBorders>
            <w:shd w:val="clear" w:color="auto" w:fill="auto"/>
            <w:noWrap/>
            <w:vAlign w:val="bottom"/>
            <w:hideMark/>
          </w:tcPr>
          <w:p w:rsidR="00F00B0E" w:rsidRPr="00F00B0E" w:rsidRDefault="00F00B0E" w:rsidP="00F00B0E">
            <w:pPr>
              <w:spacing w:after="0" w:line="240" w:lineRule="auto"/>
              <w:jc w:val="right"/>
              <w:rPr>
                <w:rFonts w:ascii="Calibri" w:eastAsia="Times New Roman" w:hAnsi="Calibri" w:cs="Times New Roman"/>
                <w:color w:val="000000"/>
                <w:lang w:eastAsia="es-ES"/>
              </w:rPr>
            </w:pPr>
            <w:r w:rsidRPr="00F00B0E">
              <w:rPr>
                <w:rFonts w:ascii="Calibri" w:eastAsia="Times New Roman" w:hAnsi="Calibri" w:cs="Times New Roman"/>
                <w:color w:val="000000"/>
                <w:lang w:eastAsia="es-ES"/>
              </w:rPr>
              <w:t>483,573</w:t>
            </w:r>
          </w:p>
        </w:tc>
        <w:tc>
          <w:tcPr>
            <w:tcW w:w="1140" w:type="dxa"/>
            <w:tcBorders>
              <w:top w:val="nil"/>
              <w:left w:val="nil"/>
              <w:bottom w:val="single" w:sz="4" w:space="0" w:color="auto"/>
              <w:right w:val="single" w:sz="4" w:space="0" w:color="auto"/>
            </w:tcBorders>
            <w:shd w:val="clear" w:color="auto" w:fill="auto"/>
            <w:noWrap/>
            <w:vAlign w:val="bottom"/>
            <w:hideMark/>
          </w:tcPr>
          <w:p w:rsidR="00F00B0E" w:rsidRPr="00F00B0E" w:rsidRDefault="00F00B0E" w:rsidP="00F00B0E">
            <w:pPr>
              <w:spacing w:after="0" w:line="240" w:lineRule="auto"/>
              <w:jc w:val="right"/>
              <w:rPr>
                <w:rFonts w:ascii="Calibri" w:eastAsia="Times New Roman" w:hAnsi="Calibri" w:cs="Times New Roman"/>
                <w:color w:val="000000"/>
                <w:lang w:eastAsia="es-ES"/>
              </w:rPr>
            </w:pPr>
            <w:r w:rsidRPr="00F00B0E">
              <w:rPr>
                <w:rFonts w:ascii="Calibri" w:eastAsia="Times New Roman" w:hAnsi="Calibri" w:cs="Times New Roman"/>
                <w:color w:val="000000"/>
                <w:lang w:eastAsia="es-ES"/>
              </w:rPr>
              <w:t>373,737</w:t>
            </w:r>
          </w:p>
        </w:tc>
        <w:tc>
          <w:tcPr>
            <w:tcW w:w="1408" w:type="dxa"/>
            <w:tcBorders>
              <w:top w:val="nil"/>
              <w:left w:val="nil"/>
              <w:bottom w:val="single" w:sz="4" w:space="0" w:color="auto"/>
              <w:right w:val="single" w:sz="4" w:space="0" w:color="auto"/>
            </w:tcBorders>
            <w:shd w:val="clear" w:color="auto" w:fill="auto"/>
            <w:noWrap/>
            <w:vAlign w:val="bottom"/>
            <w:hideMark/>
          </w:tcPr>
          <w:p w:rsidR="00F00B0E" w:rsidRPr="00F00B0E" w:rsidRDefault="00F00B0E" w:rsidP="00F00B0E">
            <w:pPr>
              <w:spacing w:after="0" w:line="240" w:lineRule="auto"/>
              <w:jc w:val="right"/>
              <w:rPr>
                <w:rFonts w:ascii="Calibri" w:eastAsia="Times New Roman" w:hAnsi="Calibri" w:cs="Times New Roman"/>
                <w:color w:val="000000"/>
                <w:lang w:eastAsia="es-ES"/>
              </w:rPr>
            </w:pPr>
            <w:r w:rsidRPr="00F00B0E">
              <w:rPr>
                <w:rFonts w:ascii="Calibri" w:eastAsia="Times New Roman" w:hAnsi="Calibri" w:cs="Times New Roman"/>
                <w:color w:val="000000"/>
                <w:lang w:eastAsia="es-ES"/>
              </w:rPr>
              <w:t>2,572,467</w:t>
            </w:r>
          </w:p>
        </w:tc>
      </w:tr>
      <w:tr w:rsidR="00F00B0E" w:rsidRPr="00F00B0E" w:rsidTr="00F00B0E">
        <w:trPr>
          <w:trHeight w:val="300"/>
          <w:jc w:val="center"/>
        </w:trPr>
        <w:tc>
          <w:tcPr>
            <w:tcW w:w="2216" w:type="dxa"/>
            <w:tcBorders>
              <w:top w:val="nil"/>
              <w:left w:val="single" w:sz="4" w:space="0" w:color="auto"/>
              <w:bottom w:val="single" w:sz="4" w:space="0" w:color="auto"/>
              <w:right w:val="single" w:sz="4" w:space="0" w:color="auto"/>
            </w:tcBorders>
            <w:shd w:val="clear" w:color="000000" w:fill="FFFFFF"/>
            <w:noWrap/>
            <w:vAlign w:val="bottom"/>
            <w:hideMark/>
          </w:tcPr>
          <w:p w:rsidR="00F00B0E" w:rsidRPr="00F00B0E" w:rsidRDefault="00F00B0E" w:rsidP="00F00B0E">
            <w:pPr>
              <w:spacing w:after="0" w:line="240" w:lineRule="auto"/>
              <w:ind w:firstLineChars="100" w:firstLine="221"/>
              <w:rPr>
                <w:rFonts w:ascii="Calibri" w:eastAsia="Times New Roman" w:hAnsi="Calibri" w:cs="Times New Roman"/>
                <w:b/>
                <w:bCs/>
                <w:color w:val="000000"/>
                <w:lang w:eastAsia="es-ES"/>
              </w:rPr>
            </w:pPr>
            <w:proofErr w:type="spellStart"/>
            <w:r w:rsidRPr="00F00B0E">
              <w:rPr>
                <w:rFonts w:ascii="Calibri" w:eastAsia="Times New Roman" w:hAnsi="Calibri" w:cs="Times New Roman"/>
                <w:b/>
                <w:bCs/>
                <w:color w:val="000000"/>
                <w:lang w:eastAsia="es-ES"/>
              </w:rPr>
              <w:t>Secondary</w:t>
            </w:r>
            <w:proofErr w:type="spellEnd"/>
          </w:p>
        </w:tc>
        <w:tc>
          <w:tcPr>
            <w:tcW w:w="1140" w:type="dxa"/>
            <w:tcBorders>
              <w:top w:val="nil"/>
              <w:left w:val="nil"/>
              <w:bottom w:val="single" w:sz="4" w:space="0" w:color="auto"/>
              <w:right w:val="single" w:sz="4" w:space="0" w:color="auto"/>
            </w:tcBorders>
            <w:shd w:val="clear" w:color="auto" w:fill="auto"/>
            <w:noWrap/>
            <w:vAlign w:val="bottom"/>
            <w:hideMark/>
          </w:tcPr>
          <w:p w:rsidR="00F00B0E" w:rsidRPr="00F00B0E" w:rsidRDefault="00F00B0E" w:rsidP="00F00B0E">
            <w:pPr>
              <w:spacing w:after="0" w:line="240" w:lineRule="auto"/>
              <w:jc w:val="right"/>
              <w:rPr>
                <w:rFonts w:ascii="Calibri" w:eastAsia="Times New Roman" w:hAnsi="Calibri" w:cs="Times New Roman"/>
                <w:color w:val="000000"/>
                <w:lang w:eastAsia="es-ES"/>
              </w:rPr>
            </w:pPr>
            <w:r w:rsidRPr="00F00B0E">
              <w:rPr>
                <w:rFonts w:ascii="Calibri" w:eastAsia="Times New Roman" w:hAnsi="Calibri" w:cs="Times New Roman"/>
                <w:color w:val="000000"/>
                <w:lang w:eastAsia="es-ES"/>
              </w:rPr>
              <w:t>310,118</w:t>
            </w:r>
          </w:p>
        </w:tc>
        <w:tc>
          <w:tcPr>
            <w:tcW w:w="1140" w:type="dxa"/>
            <w:tcBorders>
              <w:top w:val="nil"/>
              <w:left w:val="nil"/>
              <w:bottom w:val="single" w:sz="4" w:space="0" w:color="auto"/>
              <w:right w:val="single" w:sz="4" w:space="0" w:color="auto"/>
            </w:tcBorders>
            <w:shd w:val="clear" w:color="auto" w:fill="auto"/>
            <w:noWrap/>
            <w:vAlign w:val="bottom"/>
            <w:hideMark/>
          </w:tcPr>
          <w:p w:rsidR="00F00B0E" w:rsidRPr="00F00B0E" w:rsidRDefault="00F00B0E" w:rsidP="00F00B0E">
            <w:pPr>
              <w:spacing w:after="0" w:line="240" w:lineRule="auto"/>
              <w:jc w:val="right"/>
              <w:rPr>
                <w:rFonts w:ascii="Calibri" w:eastAsia="Times New Roman" w:hAnsi="Calibri" w:cs="Times New Roman"/>
                <w:color w:val="000000"/>
                <w:lang w:eastAsia="es-ES"/>
              </w:rPr>
            </w:pPr>
            <w:r w:rsidRPr="00F00B0E">
              <w:rPr>
                <w:rFonts w:ascii="Calibri" w:eastAsia="Times New Roman" w:hAnsi="Calibri" w:cs="Times New Roman"/>
                <w:color w:val="000000"/>
                <w:lang w:eastAsia="es-ES"/>
              </w:rPr>
              <w:t>377,776</w:t>
            </w:r>
          </w:p>
        </w:tc>
        <w:tc>
          <w:tcPr>
            <w:tcW w:w="1140" w:type="dxa"/>
            <w:tcBorders>
              <w:top w:val="nil"/>
              <w:left w:val="nil"/>
              <w:bottom w:val="single" w:sz="4" w:space="0" w:color="auto"/>
              <w:right w:val="single" w:sz="4" w:space="0" w:color="auto"/>
            </w:tcBorders>
            <w:shd w:val="clear" w:color="auto" w:fill="auto"/>
            <w:noWrap/>
            <w:vAlign w:val="bottom"/>
            <w:hideMark/>
          </w:tcPr>
          <w:p w:rsidR="00F00B0E" w:rsidRPr="00F00B0E" w:rsidRDefault="00F00B0E" w:rsidP="00F00B0E">
            <w:pPr>
              <w:spacing w:after="0" w:line="240" w:lineRule="auto"/>
              <w:jc w:val="right"/>
              <w:rPr>
                <w:rFonts w:ascii="Calibri" w:eastAsia="Times New Roman" w:hAnsi="Calibri" w:cs="Times New Roman"/>
                <w:color w:val="000000"/>
                <w:lang w:eastAsia="es-ES"/>
              </w:rPr>
            </w:pPr>
            <w:r w:rsidRPr="00F00B0E">
              <w:rPr>
                <w:rFonts w:ascii="Calibri" w:eastAsia="Times New Roman" w:hAnsi="Calibri" w:cs="Times New Roman"/>
                <w:color w:val="000000"/>
                <w:lang w:eastAsia="es-ES"/>
              </w:rPr>
              <w:t>436,486</w:t>
            </w:r>
          </w:p>
        </w:tc>
        <w:tc>
          <w:tcPr>
            <w:tcW w:w="1140" w:type="dxa"/>
            <w:tcBorders>
              <w:top w:val="nil"/>
              <w:left w:val="nil"/>
              <w:bottom w:val="single" w:sz="4" w:space="0" w:color="auto"/>
              <w:right w:val="single" w:sz="4" w:space="0" w:color="auto"/>
            </w:tcBorders>
            <w:shd w:val="clear" w:color="auto" w:fill="auto"/>
            <w:noWrap/>
            <w:vAlign w:val="bottom"/>
            <w:hideMark/>
          </w:tcPr>
          <w:p w:rsidR="00F00B0E" w:rsidRPr="00F00B0E" w:rsidRDefault="00F00B0E" w:rsidP="00F00B0E">
            <w:pPr>
              <w:spacing w:after="0" w:line="240" w:lineRule="auto"/>
              <w:jc w:val="right"/>
              <w:rPr>
                <w:rFonts w:ascii="Calibri" w:eastAsia="Times New Roman" w:hAnsi="Calibri" w:cs="Times New Roman"/>
                <w:color w:val="000000"/>
                <w:lang w:eastAsia="es-ES"/>
              </w:rPr>
            </w:pPr>
            <w:r w:rsidRPr="00F00B0E">
              <w:rPr>
                <w:rFonts w:ascii="Calibri" w:eastAsia="Times New Roman" w:hAnsi="Calibri" w:cs="Times New Roman"/>
                <w:color w:val="000000"/>
                <w:lang w:eastAsia="es-ES"/>
              </w:rPr>
              <w:t>448,080</w:t>
            </w:r>
          </w:p>
        </w:tc>
        <w:tc>
          <w:tcPr>
            <w:tcW w:w="1140" w:type="dxa"/>
            <w:tcBorders>
              <w:top w:val="nil"/>
              <w:left w:val="nil"/>
              <w:bottom w:val="single" w:sz="4" w:space="0" w:color="auto"/>
              <w:right w:val="single" w:sz="4" w:space="0" w:color="auto"/>
            </w:tcBorders>
            <w:shd w:val="clear" w:color="auto" w:fill="auto"/>
            <w:noWrap/>
            <w:vAlign w:val="bottom"/>
            <w:hideMark/>
          </w:tcPr>
          <w:p w:rsidR="00F00B0E" w:rsidRPr="00F00B0E" w:rsidRDefault="00F00B0E" w:rsidP="00F00B0E">
            <w:pPr>
              <w:spacing w:after="0" w:line="240" w:lineRule="auto"/>
              <w:jc w:val="right"/>
              <w:rPr>
                <w:rFonts w:ascii="Calibri" w:eastAsia="Times New Roman" w:hAnsi="Calibri" w:cs="Times New Roman"/>
                <w:color w:val="000000"/>
                <w:lang w:eastAsia="es-ES"/>
              </w:rPr>
            </w:pPr>
            <w:r w:rsidRPr="00F00B0E">
              <w:rPr>
                <w:rFonts w:ascii="Calibri" w:eastAsia="Times New Roman" w:hAnsi="Calibri" w:cs="Times New Roman"/>
                <w:color w:val="000000"/>
                <w:lang w:eastAsia="es-ES"/>
              </w:rPr>
              <w:t>410,995</w:t>
            </w:r>
          </w:p>
        </w:tc>
        <w:tc>
          <w:tcPr>
            <w:tcW w:w="1408" w:type="dxa"/>
            <w:tcBorders>
              <w:top w:val="nil"/>
              <w:left w:val="nil"/>
              <w:bottom w:val="single" w:sz="4" w:space="0" w:color="auto"/>
              <w:right w:val="single" w:sz="4" w:space="0" w:color="auto"/>
            </w:tcBorders>
            <w:shd w:val="clear" w:color="auto" w:fill="auto"/>
            <w:noWrap/>
            <w:vAlign w:val="bottom"/>
            <w:hideMark/>
          </w:tcPr>
          <w:p w:rsidR="00F00B0E" w:rsidRPr="00F00B0E" w:rsidRDefault="00F00B0E" w:rsidP="00F00B0E">
            <w:pPr>
              <w:spacing w:after="0" w:line="240" w:lineRule="auto"/>
              <w:jc w:val="right"/>
              <w:rPr>
                <w:rFonts w:ascii="Calibri" w:eastAsia="Times New Roman" w:hAnsi="Calibri" w:cs="Times New Roman"/>
                <w:color w:val="000000"/>
                <w:lang w:eastAsia="es-ES"/>
              </w:rPr>
            </w:pPr>
            <w:r w:rsidRPr="00F00B0E">
              <w:rPr>
                <w:rFonts w:ascii="Calibri" w:eastAsia="Times New Roman" w:hAnsi="Calibri" w:cs="Times New Roman"/>
                <w:color w:val="000000"/>
                <w:lang w:eastAsia="es-ES"/>
              </w:rPr>
              <w:t>1,983,455</w:t>
            </w:r>
          </w:p>
        </w:tc>
      </w:tr>
      <w:tr w:rsidR="00F00B0E" w:rsidRPr="00F00B0E" w:rsidTr="00F00B0E">
        <w:trPr>
          <w:trHeight w:val="315"/>
          <w:jc w:val="center"/>
        </w:trPr>
        <w:tc>
          <w:tcPr>
            <w:tcW w:w="2216" w:type="dxa"/>
            <w:tcBorders>
              <w:top w:val="nil"/>
              <w:left w:val="single" w:sz="4" w:space="0" w:color="auto"/>
              <w:bottom w:val="double" w:sz="6" w:space="0" w:color="auto"/>
              <w:right w:val="single" w:sz="4" w:space="0" w:color="auto"/>
            </w:tcBorders>
            <w:shd w:val="clear" w:color="000000" w:fill="FFFFFF"/>
            <w:noWrap/>
            <w:vAlign w:val="bottom"/>
            <w:hideMark/>
          </w:tcPr>
          <w:p w:rsidR="00F00B0E" w:rsidRPr="00F00B0E" w:rsidRDefault="00F00B0E" w:rsidP="00F00B0E">
            <w:pPr>
              <w:spacing w:after="0" w:line="240" w:lineRule="auto"/>
              <w:ind w:firstLineChars="100" w:firstLine="221"/>
              <w:rPr>
                <w:rFonts w:ascii="Calibri" w:eastAsia="Times New Roman" w:hAnsi="Calibri" w:cs="Times New Roman"/>
                <w:b/>
                <w:bCs/>
                <w:color w:val="000000"/>
                <w:lang w:eastAsia="es-ES"/>
              </w:rPr>
            </w:pPr>
            <w:proofErr w:type="spellStart"/>
            <w:r w:rsidRPr="00F00B0E">
              <w:rPr>
                <w:rFonts w:ascii="Calibri" w:eastAsia="Times New Roman" w:hAnsi="Calibri" w:cs="Times New Roman"/>
                <w:b/>
                <w:bCs/>
                <w:color w:val="000000"/>
                <w:lang w:eastAsia="es-ES"/>
              </w:rPr>
              <w:t>Tertiary</w:t>
            </w:r>
            <w:proofErr w:type="spellEnd"/>
            <w:r w:rsidRPr="00F00B0E">
              <w:rPr>
                <w:rFonts w:ascii="Calibri" w:eastAsia="Times New Roman" w:hAnsi="Calibri" w:cs="Times New Roman"/>
                <w:b/>
                <w:bCs/>
                <w:color w:val="000000"/>
                <w:lang w:eastAsia="es-ES"/>
              </w:rPr>
              <w:t>/</w:t>
            </w:r>
            <w:proofErr w:type="spellStart"/>
            <w:r w:rsidRPr="00F00B0E">
              <w:rPr>
                <w:rFonts w:ascii="Calibri" w:eastAsia="Times New Roman" w:hAnsi="Calibri" w:cs="Times New Roman"/>
                <w:b/>
                <w:bCs/>
                <w:color w:val="000000"/>
                <w:lang w:eastAsia="es-ES"/>
              </w:rPr>
              <w:t>University</w:t>
            </w:r>
            <w:proofErr w:type="spellEnd"/>
          </w:p>
        </w:tc>
        <w:tc>
          <w:tcPr>
            <w:tcW w:w="1140" w:type="dxa"/>
            <w:tcBorders>
              <w:top w:val="nil"/>
              <w:left w:val="nil"/>
              <w:bottom w:val="double" w:sz="6" w:space="0" w:color="auto"/>
              <w:right w:val="single" w:sz="4" w:space="0" w:color="auto"/>
            </w:tcBorders>
            <w:shd w:val="clear" w:color="auto" w:fill="auto"/>
            <w:noWrap/>
            <w:vAlign w:val="bottom"/>
            <w:hideMark/>
          </w:tcPr>
          <w:p w:rsidR="00F00B0E" w:rsidRPr="00F00B0E" w:rsidRDefault="00F00B0E" w:rsidP="00F00B0E">
            <w:pPr>
              <w:spacing w:after="0" w:line="240" w:lineRule="auto"/>
              <w:jc w:val="right"/>
              <w:rPr>
                <w:rFonts w:ascii="Calibri" w:eastAsia="Times New Roman" w:hAnsi="Calibri" w:cs="Times New Roman"/>
                <w:color w:val="000000"/>
                <w:lang w:eastAsia="es-ES"/>
              </w:rPr>
            </w:pPr>
            <w:r w:rsidRPr="00F00B0E">
              <w:rPr>
                <w:rFonts w:ascii="Calibri" w:eastAsia="Times New Roman" w:hAnsi="Calibri" w:cs="Times New Roman"/>
                <w:color w:val="000000"/>
                <w:lang w:eastAsia="es-ES"/>
              </w:rPr>
              <w:t>23,830</w:t>
            </w:r>
          </w:p>
        </w:tc>
        <w:tc>
          <w:tcPr>
            <w:tcW w:w="1140" w:type="dxa"/>
            <w:tcBorders>
              <w:top w:val="nil"/>
              <w:left w:val="nil"/>
              <w:bottom w:val="double" w:sz="6" w:space="0" w:color="auto"/>
              <w:right w:val="single" w:sz="4" w:space="0" w:color="auto"/>
            </w:tcBorders>
            <w:shd w:val="clear" w:color="auto" w:fill="auto"/>
            <w:noWrap/>
            <w:vAlign w:val="bottom"/>
            <w:hideMark/>
          </w:tcPr>
          <w:p w:rsidR="00F00B0E" w:rsidRPr="00F00B0E" w:rsidRDefault="00F00B0E" w:rsidP="00F00B0E">
            <w:pPr>
              <w:spacing w:after="0" w:line="240" w:lineRule="auto"/>
              <w:jc w:val="right"/>
              <w:rPr>
                <w:rFonts w:ascii="Calibri" w:eastAsia="Times New Roman" w:hAnsi="Calibri" w:cs="Times New Roman"/>
                <w:color w:val="000000"/>
                <w:lang w:eastAsia="es-ES"/>
              </w:rPr>
            </w:pPr>
            <w:r w:rsidRPr="00F00B0E">
              <w:rPr>
                <w:rFonts w:ascii="Calibri" w:eastAsia="Times New Roman" w:hAnsi="Calibri" w:cs="Times New Roman"/>
                <w:color w:val="000000"/>
                <w:lang w:eastAsia="es-ES"/>
              </w:rPr>
              <w:t>42,269</w:t>
            </w:r>
          </w:p>
        </w:tc>
        <w:tc>
          <w:tcPr>
            <w:tcW w:w="1140" w:type="dxa"/>
            <w:tcBorders>
              <w:top w:val="nil"/>
              <w:left w:val="nil"/>
              <w:bottom w:val="double" w:sz="6" w:space="0" w:color="auto"/>
              <w:right w:val="single" w:sz="4" w:space="0" w:color="auto"/>
            </w:tcBorders>
            <w:shd w:val="clear" w:color="auto" w:fill="auto"/>
            <w:noWrap/>
            <w:vAlign w:val="bottom"/>
            <w:hideMark/>
          </w:tcPr>
          <w:p w:rsidR="00F00B0E" w:rsidRPr="00F00B0E" w:rsidRDefault="00F00B0E" w:rsidP="00F00B0E">
            <w:pPr>
              <w:spacing w:after="0" w:line="240" w:lineRule="auto"/>
              <w:jc w:val="right"/>
              <w:rPr>
                <w:rFonts w:ascii="Calibri" w:eastAsia="Times New Roman" w:hAnsi="Calibri" w:cs="Times New Roman"/>
                <w:color w:val="000000"/>
                <w:lang w:eastAsia="es-ES"/>
              </w:rPr>
            </w:pPr>
            <w:r w:rsidRPr="00F00B0E">
              <w:rPr>
                <w:rFonts w:ascii="Calibri" w:eastAsia="Times New Roman" w:hAnsi="Calibri" w:cs="Times New Roman"/>
                <w:color w:val="000000"/>
                <w:lang w:eastAsia="es-ES"/>
              </w:rPr>
              <w:t>58,238</w:t>
            </w:r>
          </w:p>
        </w:tc>
        <w:tc>
          <w:tcPr>
            <w:tcW w:w="1140" w:type="dxa"/>
            <w:tcBorders>
              <w:top w:val="nil"/>
              <w:left w:val="nil"/>
              <w:bottom w:val="double" w:sz="6" w:space="0" w:color="auto"/>
              <w:right w:val="single" w:sz="4" w:space="0" w:color="auto"/>
            </w:tcBorders>
            <w:shd w:val="clear" w:color="auto" w:fill="auto"/>
            <w:noWrap/>
            <w:vAlign w:val="bottom"/>
            <w:hideMark/>
          </w:tcPr>
          <w:p w:rsidR="00F00B0E" w:rsidRPr="00F00B0E" w:rsidRDefault="00F00B0E" w:rsidP="00F00B0E">
            <w:pPr>
              <w:spacing w:after="0" w:line="240" w:lineRule="auto"/>
              <w:jc w:val="right"/>
              <w:rPr>
                <w:rFonts w:ascii="Calibri" w:eastAsia="Times New Roman" w:hAnsi="Calibri" w:cs="Times New Roman"/>
                <w:color w:val="000000"/>
                <w:lang w:eastAsia="es-ES"/>
              </w:rPr>
            </w:pPr>
            <w:r w:rsidRPr="00F00B0E">
              <w:rPr>
                <w:rFonts w:ascii="Calibri" w:eastAsia="Times New Roman" w:hAnsi="Calibri" w:cs="Times New Roman"/>
                <w:color w:val="000000"/>
                <w:lang w:eastAsia="es-ES"/>
              </w:rPr>
              <w:t>120,851</w:t>
            </w:r>
          </w:p>
        </w:tc>
        <w:tc>
          <w:tcPr>
            <w:tcW w:w="1140" w:type="dxa"/>
            <w:tcBorders>
              <w:top w:val="nil"/>
              <w:left w:val="nil"/>
              <w:bottom w:val="double" w:sz="6" w:space="0" w:color="auto"/>
              <w:right w:val="single" w:sz="4" w:space="0" w:color="auto"/>
            </w:tcBorders>
            <w:shd w:val="clear" w:color="auto" w:fill="auto"/>
            <w:noWrap/>
            <w:vAlign w:val="bottom"/>
            <w:hideMark/>
          </w:tcPr>
          <w:p w:rsidR="00F00B0E" w:rsidRPr="00F00B0E" w:rsidRDefault="00F00B0E" w:rsidP="00F00B0E">
            <w:pPr>
              <w:spacing w:after="0" w:line="240" w:lineRule="auto"/>
              <w:jc w:val="right"/>
              <w:rPr>
                <w:rFonts w:ascii="Calibri" w:eastAsia="Times New Roman" w:hAnsi="Calibri" w:cs="Times New Roman"/>
                <w:color w:val="000000"/>
                <w:lang w:eastAsia="es-ES"/>
              </w:rPr>
            </w:pPr>
            <w:r w:rsidRPr="00F00B0E">
              <w:rPr>
                <w:rFonts w:ascii="Calibri" w:eastAsia="Times New Roman" w:hAnsi="Calibri" w:cs="Times New Roman"/>
                <w:color w:val="000000"/>
                <w:lang w:eastAsia="es-ES"/>
              </w:rPr>
              <w:t>237,987</w:t>
            </w:r>
          </w:p>
        </w:tc>
        <w:tc>
          <w:tcPr>
            <w:tcW w:w="1408" w:type="dxa"/>
            <w:tcBorders>
              <w:top w:val="nil"/>
              <w:left w:val="nil"/>
              <w:bottom w:val="double" w:sz="6" w:space="0" w:color="auto"/>
              <w:right w:val="single" w:sz="4" w:space="0" w:color="auto"/>
            </w:tcBorders>
            <w:shd w:val="clear" w:color="auto" w:fill="auto"/>
            <w:noWrap/>
            <w:vAlign w:val="bottom"/>
            <w:hideMark/>
          </w:tcPr>
          <w:p w:rsidR="00F00B0E" w:rsidRPr="00F00B0E" w:rsidRDefault="00F00B0E" w:rsidP="00F00B0E">
            <w:pPr>
              <w:spacing w:after="0" w:line="240" w:lineRule="auto"/>
              <w:jc w:val="right"/>
              <w:rPr>
                <w:rFonts w:ascii="Calibri" w:eastAsia="Times New Roman" w:hAnsi="Calibri" w:cs="Times New Roman"/>
                <w:color w:val="000000"/>
                <w:lang w:eastAsia="es-ES"/>
              </w:rPr>
            </w:pPr>
            <w:r w:rsidRPr="00F00B0E">
              <w:rPr>
                <w:rFonts w:ascii="Calibri" w:eastAsia="Times New Roman" w:hAnsi="Calibri" w:cs="Times New Roman"/>
                <w:color w:val="000000"/>
                <w:lang w:eastAsia="es-ES"/>
              </w:rPr>
              <w:t>483,175</w:t>
            </w:r>
          </w:p>
        </w:tc>
      </w:tr>
      <w:tr w:rsidR="00F00B0E" w:rsidRPr="00F00B0E" w:rsidTr="00F00B0E">
        <w:trPr>
          <w:trHeight w:val="315"/>
          <w:jc w:val="center"/>
        </w:trPr>
        <w:tc>
          <w:tcPr>
            <w:tcW w:w="2216" w:type="dxa"/>
            <w:tcBorders>
              <w:top w:val="nil"/>
              <w:left w:val="single" w:sz="4" w:space="0" w:color="auto"/>
              <w:bottom w:val="single" w:sz="4" w:space="0" w:color="auto"/>
              <w:right w:val="single" w:sz="4" w:space="0" w:color="auto"/>
            </w:tcBorders>
            <w:shd w:val="clear" w:color="000000" w:fill="FFFFFF"/>
            <w:noWrap/>
            <w:vAlign w:val="bottom"/>
            <w:hideMark/>
          </w:tcPr>
          <w:p w:rsidR="00F00B0E" w:rsidRPr="00F00B0E" w:rsidRDefault="00F00B0E" w:rsidP="00F00B0E">
            <w:pPr>
              <w:spacing w:after="0" w:line="240" w:lineRule="auto"/>
              <w:ind w:firstLineChars="100" w:firstLine="221"/>
              <w:rPr>
                <w:rFonts w:ascii="Calibri" w:eastAsia="Times New Roman" w:hAnsi="Calibri" w:cs="Times New Roman"/>
                <w:b/>
                <w:bCs/>
                <w:color w:val="000000"/>
                <w:lang w:eastAsia="es-ES"/>
              </w:rPr>
            </w:pPr>
            <w:r w:rsidRPr="00F00B0E">
              <w:rPr>
                <w:rFonts w:ascii="Calibri" w:eastAsia="Times New Roman" w:hAnsi="Calibri" w:cs="Times New Roman"/>
                <w:b/>
                <w:bCs/>
                <w:color w:val="000000"/>
                <w:lang w:eastAsia="es-ES"/>
              </w:rPr>
              <w:t>Total</w:t>
            </w:r>
          </w:p>
        </w:tc>
        <w:tc>
          <w:tcPr>
            <w:tcW w:w="1140" w:type="dxa"/>
            <w:tcBorders>
              <w:top w:val="nil"/>
              <w:left w:val="nil"/>
              <w:bottom w:val="single" w:sz="4" w:space="0" w:color="auto"/>
              <w:right w:val="single" w:sz="4" w:space="0" w:color="auto"/>
            </w:tcBorders>
            <w:shd w:val="clear" w:color="auto" w:fill="auto"/>
            <w:noWrap/>
            <w:vAlign w:val="bottom"/>
            <w:hideMark/>
          </w:tcPr>
          <w:p w:rsidR="00F00B0E" w:rsidRPr="00F00B0E" w:rsidRDefault="00F00B0E" w:rsidP="00F00B0E">
            <w:pPr>
              <w:spacing w:after="0" w:line="240" w:lineRule="auto"/>
              <w:jc w:val="right"/>
              <w:rPr>
                <w:rFonts w:ascii="Calibri" w:eastAsia="Times New Roman" w:hAnsi="Calibri" w:cs="Times New Roman"/>
                <w:color w:val="000000"/>
                <w:lang w:eastAsia="es-ES"/>
              </w:rPr>
            </w:pPr>
            <w:r w:rsidRPr="00F00B0E">
              <w:rPr>
                <w:rFonts w:ascii="Calibri" w:eastAsia="Times New Roman" w:hAnsi="Calibri" w:cs="Times New Roman"/>
                <w:color w:val="000000"/>
                <w:lang w:eastAsia="es-ES"/>
              </w:rPr>
              <w:t>1,111,714</w:t>
            </w:r>
          </w:p>
        </w:tc>
        <w:tc>
          <w:tcPr>
            <w:tcW w:w="1140" w:type="dxa"/>
            <w:tcBorders>
              <w:top w:val="nil"/>
              <w:left w:val="nil"/>
              <w:bottom w:val="single" w:sz="4" w:space="0" w:color="auto"/>
              <w:right w:val="single" w:sz="4" w:space="0" w:color="auto"/>
            </w:tcBorders>
            <w:shd w:val="clear" w:color="auto" w:fill="auto"/>
            <w:noWrap/>
            <w:vAlign w:val="bottom"/>
            <w:hideMark/>
          </w:tcPr>
          <w:p w:rsidR="00F00B0E" w:rsidRPr="00F00B0E" w:rsidRDefault="00F00B0E" w:rsidP="00F00B0E">
            <w:pPr>
              <w:spacing w:after="0" w:line="240" w:lineRule="auto"/>
              <w:jc w:val="right"/>
              <w:rPr>
                <w:rFonts w:ascii="Calibri" w:eastAsia="Times New Roman" w:hAnsi="Calibri" w:cs="Times New Roman"/>
                <w:color w:val="000000"/>
                <w:lang w:eastAsia="es-ES"/>
              </w:rPr>
            </w:pPr>
            <w:r w:rsidRPr="00F00B0E">
              <w:rPr>
                <w:rFonts w:ascii="Calibri" w:eastAsia="Times New Roman" w:hAnsi="Calibri" w:cs="Times New Roman"/>
                <w:color w:val="000000"/>
                <w:lang w:eastAsia="es-ES"/>
              </w:rPr>
              <w:t>1,145,369</w:t>
            </w:r>
          </w:p>
        </w:tc>
        <w:tc>
          <w:tcPr>
            <w:tcW w:w="1140" w:type="dxa"/>
            <w:tcBorders>
              <w:top w:val="nil"/>
              <w:left w:val="nil"/>
              <w:bottom w:val="single" w:sz="4" w:space="0" w:color="auto"/>
              <w:right w:val="single" w:sz="4" w:space="0" w:color="auto"/>
            </w:tcBorders>
            <w:shd w:val="clear" w:color="auto" w:fill="auto"/>
            <w:noWrap/>
            <w:vAlign w:val="bottom"/>
            <w:hideMark/>
          </w:tcPr>
          <w:p w:rsidR="00F00B0E" w:rsidRPr="00F00B0E" w:rsidRDefault="00F00B0E" w:rsidP="00F00B0E">
            <w:pPr>
              <w:spacing w:after="0" w:line="240" w:lineRule="auto"/>
              <w:jc w:val="right"/>
              <w:rPr>
                <w:rFonts w:ascii="Calibri" w:eastAsia="Times New Roman" w:hAnsi="Calibri" w:cs="Times New Roman"/>
                <w:color w:val="000000"/>
                <w:lang w:eastAsia="es-ES"/>
              </w:rPr>
            </w:pPr>
            <w:r w:rsidRPr="00F00B0E">
              <w:rPr>
                <w:rFonts w:ascii="Calibri" w:eastAsia="Times New Roman" w:hAnsi="Calibri" w:cs="Times New Roman"/>
                <w:color w:val="000000"/>
                <w:lang w:eastAsia="es-ES"/>
              </w:rPr>
              <w:t>1,148,377</w:t>
            </w:r>
          </w:p>
        </w:tc>
        <w:tc>
          <w:tcPr>
            <w:tcW w:w="1140" w:type="dxa"/>
            <w:tcBorders>
              <w:top w:val="nil"/>
              <w:left w:val="nil"/>
              <w:bottom w:val="single" w:sz="4" w:space="0" w:color="auto"/>
              <w:right w:val="single" w:sz="4" w:space="0" w:color="auto"/>
            </w:tcBorders>
            <w:shd w:val="clear" w:color="auto" w:fill="auto"/>
            <w:noWrap/>
            <w:vAlign w:val="bottom"/>
            <w:hideMark/>
          </w:tcPr>
          <w:p w:rsidR="00F00B0E" w:rsidRPr="00F00B0E" w:rsidRDefault="00F00B0E" w:rsidP="00F00B0E">
            <w:pPr>
              <w:spacing w:after="0" w:line="240" w:lineRule="auto"/>
              <w:jc w:val="right"/>
              <w:rPr>
                <w:rFonts w:ascii="Calibri" w:eastAsia="Times New Roman" w:hAnsi="Calibri" w:cs="Times New Roman"/>
                <w:color w:val="000000"/>
                <w:lang w:eastAsia="es-ES"/>
              </w:rPr>
            </w:pPr>
            <w:r w:rsidRPr="00F00B0E">
              <w:rPr>
                <w:rFonts w:ascii="Calibri" w:eastAsia="Times New Roman" w:hAnsi="Calibri" w:cs="Times New Roman"/>
                <w:color w:val="000000"/>
                <w:lang w:eastAsia="es-ES"/>
              </w:rPr>
              <w:t>1,182,746</w:t>
            </w:r>
          </w:p>
        </w:tc>
        <w:tc>
          <w:tcPr>
            <w:tcW w:w="1140" w:type="dxa"/>
            <w:tcBorders>
              <w:top w:val="nil"/>
              <w:left w:val="nil"/>
              <w:bottom w:val="single" w:sz="4" w:space="0" w:color="auto"/>
              <w:right w:val="single" w:sz="4" w:space="0" w:color="auto"/>
            </w:tcBorders>
            <w:shd w:val="clear" w:color="auto" w:fill="auto"/>
            <w:noWrap/>
            <w:vAlign w:val="bottom"/>
            <w:hideMark/>
          </w:tcPr>
          <w:p w:rsidR="00F00B0E" w:rsidRPr="00F00B0E" w:rsidRDefault="00F00B0E" w:rsidP="00F00B0E">
            <w:pPr>
              <w:spacing w:after="0" w:line="240" w:lineRule="auto"/>
              <w:jc w:val="right"/>
              <w:rPr>
                <w:rFonts w:ascii="Calibri" w:eastAsia="Times New Roman" w:hAnsi="Calibri" w:cs="Times New Roman"/>
                <w:color w:val="000000"/>
                <w:lang w:eastAsia="es-ES"/>
              </w:rPr>
            </w:pPr>
            <w:r w:rsidRPr="00F00B0E">
              <w:rPr>
                <w:rFonts w:ascii="Calibri" w:eastAsia="Times New Roman" w:hAnsi="Calibri" w:cs="Times New Roman"/>
                <w:color w:val="000000"/>
                <w:lang w:eastAsia="es-ES"/>
              </w:rPr>
              <w:t>1,132,613</w:t>
            </w:r>
          </w:p>
        </w:tc>
        <w:tc>
          <w:tcPr>
            <w:tcW w:w="1408" w:type="dxa"/>
            <w:tcBorders>
              <w:top w:val="nil"/>
              <w:left w:val="nil"/>
              <w:bottom w:val="single" w:sz="4" w:space="0" w:color="auto"/>
              <w:right w:val="single" w:sz="4" w:space="0" w:color="auto"/>
            </w:tcBorders>
            <w:shd w:val="clear" w:color="auto" w:fill="auto"/>
            <w:noWrap/>
            <w:vAlign w:val="bottom"/>
            <w:hideMark/>
          </w:tcPr>
          <w:p w:rsidR="00F00B0E" w:rsidRPr="00F00B0E" w:rsidRDefault="00F00B0E" w:rsidP="00F00B0E">
            <w:pPr>
              <w:spacing w:after="0" w:line="240" w:lineRule="auto"/>
              <w:jc w:val="right"/>
              <w:rPr>
                <w:rFonts w:ascii="Calibri" w:eastAsia="Times New Roman" w:hAnsi="Calibri" w:cs="Times New Roman"/>
                <w:color w:val="000000"/>
                <w:lang w:eastAsia="es-ES"/>
              </w:rPr>
            </w:pPr>
            <w:r w:rsidRPr="00F00B0E">
              <w:rPr>
                <w:rFonts w:ascii="Calibri" w:eastAsia="Times New Roman" w:hAnsi="Calibri" w:cs="Times New Roman"/>
                <w:color w:val="000000"/>
                <w:lang w:eastAsia="es-ES"/>
              </w:rPr>
              <w:t>5,720,819</w:t>
            </w:r>
          </w:p>
        </w:tc>
      </w:tr>
    </w:tbl>
    <w:p w:rsidR="005F6C3F" w:rsidRPr="00505444" w:rsidRDefault="005F6C3F" w:rsidP="005F6C3F">
      <w:pPr>
        <w:pStyle w:val="NoSpacing"/>
        <w:spacing w:line="276" w:lineRule="auto"/>
        <w:rPr>
          <w:sz w:val="16"/>
          <w:szCs w:val="16"/>
        </w:rPr>
      </w:pPr>
      <w:proofErr w:type="spellStart"/>
      <w:r w:rsidRPr="00505444">
        <w:rPr>
          <w:sz w:val="16"/>
          <w:szCs w:val="16"/>
        </w:rPr>
        <w:t>Source</w:t>
      </w:r>
      <w:proofErr w:type="spellEnd"/>
      <w:r w:rsidRPr="00505444">
        <w:rPr>
          <w:sz w:val="16"/>
          <w:szCs w:val="16"/>
        </w:rPr>
        <w:t xml:space="preserve">: </w:t>
      </w:r>
      <w:r>
        <w:rPr>
          <w:sz w:val="16"/>
          <w:szCs w:val="16"/>
        </w:rPr>
        <w:t>MEF. INEI.</w:t>
      </w:r>
      <w:r w:rsidRPr="00505444">
        <w:rPr>
          <w:sz w:val="16"/>
          <w:szCs w:val="16"/>
        </w:rPr>
        <w:t xml:space="preserve"> </w:t>
      </w:r>
    </w:p>
    <w:p w:rsidR="002002D5" w:rsidRDefault="002002D5" w:rsidP="00640AF6">
      <w:pPr>
        <w:pStyle w:val="Caption"/>
        <w:spacing w:line="276" w:lineRule="auto"/>
      </w:pPr>
    </w:p>
    <w:p w:rsidR="00C04143" w:rsidRPr="00505444" w:rsidRDefault="00C4687C" w:rsidP="00C4687C">
      <w:pPr>
        <w:pStyle w:val="Caption"/>
        <w:rPr>
          <w:sz w:val="22"/>
          <w:szCs w:val="22"/>
          <w:lang w:val="en-US"/>
        </w:rPr>
      </w:pPr>
      <w:r w:rsidRPr="00505444">
        <w:rPr>
          <w:sz w:val="22"/>
          <w:szCs w:val="22"/>
          <w:lang w:val="en-US"/>
        </w:rPr>
        <w:t>Table</w:t>
      </w:r>
      <w:r w:rsidR="00505444" w:rsidRPr="00505444">
        <w:rPr>
          <w:sz w:val="22"/>
          <w:szCs w:val="22"/>
          <w:lang w:val="en-US"/>
        </w:rPr>
        <w:t xml:space="preserve"> </w:t>
      </w:r>
      <w:r w:rsidR="00505444">
        <w:rPr>
          <w:sz w:val="22"/>
          <w:szCs w:val="22"/>
          <w:lang w:val="en-US"/>
        </w:rPr>
        <w:t>10</w:t>
      </w:r>
      <w:r w:rsidR="00C04143" w:rsidRPr="00505444">
        <w:rPr>
          <w:sz w:val="22"/>
          <w:szCs w:val="22"/>
          <w:lang w:val="en-US"/>
        </w:rPr>
        <w:t xml:space="preserve">: </w:t>
      </w:r>
      <w:r w:rsidRPr="00505444">
        <w:rPr>
          <w:sz w:val="22"/>
          <w:szCs w:val="22"/>
          <w:lang w:val="en-US"/>
        </w:rPr>
        <w:t xml:space="preserve">Distribution of </w:t>
      </w:r>
      <w:r w:rsidR="00DD25E1" w:rsidRPr="00505444">
        <w:rPr>
          <w:sz w:val="22"/>
          <w:szCs w:val="22"/>
          <w:lang w:val="en-US"/>
        </w:rPr>
        <w:t>B</w:t>
      </w:r>
      <w:r w:rsidRPr="00505444">
        <w:rPr>
          <w:sz w:val="22"/>
          <w:szCs w:val="22"/>
          <w:lang w:val="en-US"/>
        </w:rPr>
        <w:t xml:space="preserve">enefits of Education </w:t>
      </w:r>
      <w:r w:rsidR="00A91256" w:rsidRPr="00505444">
        <w:rPr>
          <w:sz w:val="22"/>
          <w:szCs w:val="22"/>
          <w:lang w:val="en-US"/>
        </w:rPr>
        <w:t>Spending, by Expenditure Quintile</w:t>
      </w:r>
      <w:r w:rsidRPr="00505444">
        <w:rPr>
          <w:sz w:val="22"/>
          <w:szCs w:val="22"/>
          <w:lang w:val="en-US"/>
        </w:rPr>
        <w:t xml:space="preserve"> (%)</w:t>
      </w:r>
      <w:r w:rsidR="00DD25E1" w:rsidRPr="00505444">
        <w:rPr>
          <w:sz w:val="22"/>
          <w:szCs w:val="22"/>
          <w:lang w:val="en-US"/>
        </w:rPr>
        <w:t xml:space="preserve"> </w:t>
      </w:r>
    </w:p>
    <w:tbl>
      <w:tblPr>
        <w:tblW w:w="8897" w:type="dxa"/>
        <w:tblInd w:w="70" w:type="dxa"/>
        <w:tblCellMar>
          <w:left w:w="70" w:type="dxa"/>
          <w:right w:w="70" w:type="dxa"/>
        </w:tblCellMar>
        <w:tblLook w:val="04A0"/>
      </w:tblPr>
      <w:tblGrid>
        <w:gridCol w:w="2127"/>
        <w:gridCol w:w="895"/>
        <w:gridCol w:w="1137"/>
        <w:gridCol w:w="1137"/>
        <w:gridCol w:w="1137"/>
        <w:gridCol w:w="1137"/>
        <w:gridCol w:w="1327"/>
      </w:tblGrid>
      <w:tr w:rsidR="00EC507A" w:rsidRPr="00EC507A" w:rsidTr="00EC507A">
        <w:trPr>
          <w:trHeight w:val="300"/>
        </w:trPr>
        <w:tc>
          <w:tcPr>
            <w:tcW w:w="2127" w:type="dxa"/>
            <w:tcBorders>
              <w:top w:val="nil"/>
              <w:left w:val="nil"/>
              <w:bottom w:val="nil"/>
              <w:right w:val="nil"/>
            </w:tcBorders>
            <w:shd w:val="clear" w:color="000000" w:fill="FFFFFF"/>
            <w:noWrap/>
            <w:vAlign w:val="bottom"/>
            <w:hideMark/>
          </w:tcPr>
          <w:p w:rsidR="00EC507A" w:rsidRPr="00EC507A" w:rsidRDefault="00EC507A" w:rsidP="00EC507A">
            <w:pPr>
              <w:spacing w:after="0" w:line="240" w:lineRule="auto"/>
              <w:jc w:val="center"/>
              <w:rPr>
                <w:rFonts w:ascii="Calibri" w:eastAsia="Times New Roman" w:hAnsi="Calibri" w:cs="Times New Roman"/>
                <w:b/>
                <w:bCs/>
                <w:color w:val="000000"/>
                <w:lang w:eastAsia="es-ES"/>
              </w:rPr>
            </w:pPr>
            <w:r w:rsidRPr="00EC507A">
              <w:rPr>
                <w:rFonts w:ascii="Calibri" w:eastAsia="Times New Roman" w:hAnsi="Calibri" w:cs="Times New Roman"/>
                <w:b/>
                <w:bCs/>
                <w:color w:val="000000"/>
                <w:lang w:eastAsia="es-ES"/>
              </w:rPr>
              <w:t>Total</w:t>
            </w:r>
          </w:p>
        </w:tc>
        <w:tc>
          <w:tcPr>
            <w:tcW w:w="6770" w:type="dxa"/>
            <w:gridSpan w:val="6"/>
            <w:tcBorders>
              <w:top w:val="single" w:sz="4" w:space="0" w:color="auto"/>
              <w:left w:val="single" w:sz="4" w:space="0" w:color="auto"/>
              <w:bottom w:val="single" w:sz="4" w:space="0" w:color="auto"/>
              <w:right w:val="single" w:sz="4" w:space="0" w:color="auto"/>
            </w:tcBorders>
            <w:shd w:val="clear" w:color="000000" w:fill="B2A1C7"/>
            <w:noWrap/>
            <w:vAlign w:val="bottom"/>
            <w:hideMark/>
          </w:tcPr>
          <w:p w:rsidR="00EC507A" w:rsidRPr="00EC507A" w:rsidRDefault="00EC507A" w:rsidP="00EC507A">
            <w:pPr>
              <w:spacing w:after="0" w:line="240" w:lineRule="auto"/>
              <w:jc w:val="center"/>
              <w:rPr>
                <w:rFonts w:ascii="Calibri" w:eastAsia="Times New Roman" w:hAnsi="Calibri" w:cs="Times New Roman"/>
                <w:b/>
                <w:bCs/>
                <w:color w:val="000000"/>
                <w:lang w:eastAsia="es-ES"/>
              </w:rPr>
            </w:pPr>
            <w:proofErr w:type="spellStart"/>
            <w:r w:rsidRPr="00EC507A">
              <w:rPr>
                <w:rFonts w:ascii="Calibri" w:eastAsia="Times New Roman" w:hAnsi="Calibri" w:cs="Times New Roman"/>
                <w:b/>
                <w:bCs/>
                <w:color w:val="000000"/>
                <w:lang w:eastAsia="es-ES"/>
              </w:rPr>
              <w:t>Expenditure</w:t>
            </w:r>
            <w:proofErr w:type="spellEnd"/>
            <w:r w:rsidRPr="00EC507A">
              <w:rPr>
                <w:rFonts w:ascii="Calibri" w:eastAsia="Times New Roman" w:hAnsi="Calibri" w:cs="Times New Roman"/>
                <w:b/>
                <w:bCs/>
                <w:color w:val="000000"/>
                <w:lang w:eastAsia="es-ES"/>
              </w:rPr>
              <w:t xml:space="preserve"> </w:t>
            </w:r>
            <w:proofErr w:type="spellStart"/>
            <w:r w:rsidRPr="00EC507A">
              <w:rPr>
                <w:rFonts w:ascii="Calibri" w:eastAsia="Times New Roman" w:hAnsi="Calibri" w:cs="Times New Roman"/>
                <w:b/>
                <w:bCs/>
                <w:color w:val="000000"/>
                <w:lang w:eastAsia="es-ES"/>
              </w:rPr>
              <w:t>quintile</w:t>
            </w:r>
            <w:proofErr w:type="spellEnd"/>
          </w:p>
        </w:tc>
      </w:tr>
      <w:tr w:rsidR="00EC507A" w:rsidRPr="00EC507A" w:rsidTr="00EC507A">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B2A1C7"/>
            <w:noWrap/>
            <w:vAlign w:val="bottom"/>
            <w:hideMark/>
          </w:tcPr>
          <w:p w:rsidR="00EC507A" w:rsidRPr="00EC507A" w:rsidRDefault="00EC507A" w:rsidP="00EC507A">
            <w:pPr>
              <w:spacing w:after="0" w:line="240" w:lineRule="auto"/>
              <w:ind w:firstLineChars="100" w:firstLine="221"/>
              <w:rPr>
                <w:rFonts w:ascii="Calibri" w:eastAsia="Times New Roman" w:hAnsi="Calibri" w:cs="Times New Roman"/>
                <w:b/>
                <w:bCs/>
                <w:color w:val="000000"/>
                <w:lang w:eastAsia="es-ES"/>
              </w:rPr>
            </w:pPr>
            <w:proofErr w:type="spellStart"/>
            <w:r w:rsidRPr="00EC507A">
              <w:rPr>
                <w:rFonts w:ascii="Calibri" w:eastAsia="Times New Roman" w:hAnsi="Calibri" w:cs="Times New Roman"/>
                <w:b/>
                <w:bCs/>
                <w:color w:val="000000"/>
                <w:lang w:eastAsia="es-ES"/>
              </w:rPr>
              <w:t>Education</w:t>
            </w:r>
            <w:proofErr w:type="spellEnd"/>
            <w:r w:rsidRPr="00EC507A">
              <w:rPr>
                <w:rFonts w:ascii="Calibri" w:eastAsia="Times New Roman" w:hAnsi="Calibri" w:cs="Times New Roman"/>
                <w:b/>
                <w:bCs/>
                <w:color w:val="000000"/>
                <w:lang w:eastAsia="es-ES"/>
              </w:rPr>
              <w:t xml:space="preserve"> </w:t>
            </w:r>
            <w:proofErr w:type="spellStart"/>
            <w:r w:rsidRPr="00EC507A">
              <w:rPr>
                <w:rFonts w:ascii="Calibri" w:eastAsia="Times New Roman" w:hAnsi="Calibri" w:cs="Times New Roman"/>
                <w:b/>
                <w:bCs/>
                <w:color w:val="000000"/>
                <w:lang w:eastAsia="es-ES"/>
              </w:rPr>
              <w:t>level</w:t>
            </w:r>
            <w:proofErr w:type="spellEnd"/>
          </w:p>
        </w:tc>
        <w:tc>
          <w:tcPr>
            <w:tcW w:w="895" w:type="dxa"/>
            <w:tcBorders>
              <w:top w:val="nil"/>
              <w:left w:val="nil"/>
              <w:bottom w:val="nil"/>
              <w:right w:val="nil"/>
            </w:tcBorders>
            <w:shd w:val="clear" w:color="000000" w:fill="B8CCE4"/>
            <w:noWrap/>
            <w:vAlign w:val="bottom"/>
            <w:hideMark/>
          </w:tcPr>
          <w:p w:rsidR="00EC507A" w:rsidRPr="00EC507A" w:rsidRDefault="00EC507A" w:rsidP="00EC507A">
            <w:pPr>
              <w:spacing w:after="0" w:line="240" w:lineRule="auto"/>
              <w:jc w:val="right"/>
              <w:rPr>
                <w:rFonts w:ascii="Calibri" w:eastAsia="Times New Roman" w:hAnsi="Calibri" w:cs="Times New Roman"/>
                <w:color w:val="000000"/>
                <w:lang w:eastAsia="es-ES"/>
              </w:rPr>
            </w:pPr>
            <w:r w:rsidRPr="00EC507A">
              <w:rPr>
                <w:rFonts w:ascii="Calibri" w:eastAsia="Times New Roman" w:hAnsi="Calibri" w:cs="Times New Roman"/>
                <w:color w:val="000000"/>
                <w:lang w:eastAsia="es-ES"/>
              </w:rPr>
              <w:t>1</w:t>
            </w:r>
          </w:p>
        </w:tc>
        <w:tc>
          <w:tcPr>
            <w:tcW w:w="1137" w:type="dxa"/>
            <w:tcBorders>
              <w:top w:val="nil"/>
              <w:left w:val="nil"/>
              <w:bottom w:val="nil"/>
              <w:right w:val="nil"/>
            </w:tcBorders>
            <w:shd w:val="clear" w:color="000000" w:fill="B8CCE4"/>
            <w:noWrap/>
            <w:vAlign w:val="bottom"/>
            <w:hideMark/>
          </w:tcPr>
          <w:p w:rsidR="00EC507A" w:rsidRPr="00EC507A" w:rsidRDefault="00EC507A" w:rsidP="00EC507A">
            <w:pPr>
              <w:spacing w:after="0" w:line="240" w:lineRule="auto"/>
              <w:jc w:val="right"/>
              <w:rPr>
                <w:rFonts w:ascii="Calibri" w:eastAsia="Times New Roman" w:hAnsi="Calibri" w:cs="Times New Roman"/>
                <w:color w:val="000000"/>
                <w:lang w:eastAsia="es-ES"/>
              </w:rPr>
            </w:pPr>
            <w:r w:rsidRPr="00EC507A">
              <w:rPr>
                <w:rFonts w:ascii="Calibri" w:eastAsia="Times New Roman" w:hAnsi="Calibri" w:cs="Times New Roman"/>
                <w:color w:val="000000"/>
                <w:lang w:eastAsia="es-ES"/>
              </w:rPr>
              <w:t>2</w:t>
            </w:r>
          </w:p>
        </w:tc>
        <w:tc>
          <w:tcPr>
            <w:tcW w:w="1137" w:type="dxa"/>
            <w:tcBorders>
              <w:top w:val="nil"/>
              <w:left w:val="nil"/>
              <w:bottom w:val="nil"/>
              <w:right w:val="nil"/>
            </w:tcBorders>
            <w:shd w:val="clear" w:color="000000" w:fill="B8CCE4"/>
            <w:noWrap/>
            <w:vAlign w:val="bottom"/>
            <w:hideMark/>
          </w:tcPr>
          <w:p w:rsidR="00EC507A" w:rsidRPr="00EC507A" w:rsidRDefault="00EC507A" w:rsidP="00EC507A">
            <w:pPr>
              <w:spacing w:after="0" w:line="240" w:lineRule="auto"/>
              <w:jc w:val="right"/>
              <w:rPr>
                <w:rFonts w:ascii="Calibri" w:eastAsia="Times New Roman" w:hAnsi="Calibri" w:cs="Times New Roman"/>
                <w:color w:val="000000"/>
                <w:lang w:eastAsia="es-ES"/>
              </w:rPr>
            </w:pPr>
            <w:r w:rsidRPr="00EC507A">
              <w:rPr>
                <w:rFonts w:ascii="Calibri" w:eastAsia="Times New Roman" w:hAnsi="Calibri" w:cs="Times New Roman"/>
                <w:color w:val="000000"/>
                <w:lang w:eastAsia="es-ES"/>
              </w:rPr>
              <w:t>3</w:t>
            </w:r>
          </w:p>
        </w:tc>
        <w:tc>
          <w:tcPr>
            <w:tcW w:w="1137" w:type="dxa"/>
            <w:tcBorders>
              <w:top w:val="nil"/>
              <w:left w:val="nil"/>
              <w:bottom w:val="nil"/>
              <w:right w:val="nil"/>
            </w:tcBorders>
            <w:shd w:val="clear" w:color="000000" w:fill="B8CCE4"/>
            <w:noWrap/>
            <w:vAlign w:val="bottom"/>
            <w:hideMark/>
          </w:tcPr>
          <w:p w:rsidR="00EC507A" w:rsidRPr="00EC507A" w:rsidRDefault="00EC507A" w:rsidP="00EC507A">
            <w:pPr>
              <w:spacing w:after="0" w:line="240" w:lineRule="auto"/>
              <w:jc w:val="right"/>
              <w:rPr>
                <w:rFonts w:ascii="Calibri" w:eastAsia="Times New Roman" w:hAnsi="Calibri" w:cs="Times New Roman"/>
                <w:color w:val="000000"/>
                <w:lang w:eastAsia="es-ES"/>
              </w:rPr>
            </w:pPr>
            <w:r w:rsidRPr="00EC507A">
              <w:rPr>
                <w:rFonts w:ascii="Calibri" w:eastAsia="Times New Roman" w:hAnsi="Calibri" w:cs="Times New Roman"/>
                <w:color w:val="000000"/>
                <w:lang w:eastAsia="es-ES"/>
              </w:rPr>
              <w:t>4</w:t>
            </w:r>
          </w:p>
        </w:tc>
        <w:tc>
          <w:tcPr>
            <w:tcW w:w="1137" w:type="dxa"/>
            <w:tcBorders>
              <w:top w:val="nil"/>
              <w:left w:val="nil"/>
              <w:bottom w:val="nil"/>
              <w:right w:val="double" w:sz="6" w:space="0" w:color="auto"/>
            </w:tcBorders>
            <w:shd w:val="clear" w:color="000000" w:fill="B8CCE4"/>
            <w:noWrap/>
            <w:vAlign w:val="bottom"/>
            <w:hideMark/>
          </w:tcPr>
          <w:p w:rsidR="00EC507A" w:rsidRPr="00EC507A" w:rsidRDefault="00EC507A" w:rsidP="00EC507A">
            <w:pPr>
              <w:spacing w:after="0" w:line="240" w:lineRule="auto"/>
              <w:jc w:val="right"/>
              <w:rPr>
                <w:rFonts w:ascii="Calibri" w:eastAsia="Times New Roman" w:hAnsi="Calibri" w:cs="Times New Roman"/>
                <w:color w:val="000000"/>
                <w:lang w:eastAsia="es-ES"/>
              </w:rPr>
            </w:pPr>
            <w:r w:rsidRPr="00EC507A">
              <w:rPr>
                <w:rFonts w:ascii="Calibri" w:eastAsia="Times New Roman" w:hAnsi="Calibri" w:cs="Times New Roman"/>
                <w:color w:val="000000"/>
                <w:lang w:eastAsia="es-ES"/>
              </w:rPr>
              <w:t>5</w:t>
            </w:r>
          </w:p>
        </w:tc>
        <w:tc>
          <w:tcPr>
            <w:tcW w:w="1327" w:type="dxa"/>
            <w:tcBorders>
              <w:top w:val="nil"/>
              <w:left w:val="nil"/>
              <w:bottom w:val="nil"/>
              <w:right w:val="nil"/>
            </w:tcBorders>
            <w:shd w:val="clear" w:color="000000" w:fill="B8CCE4"/>
            <w:noWrap/>
            <w:vAlign w:val="bottom"/>
            <w:hideMark/>
          </w:tcPr>
          <w:p w:rsidR="00EC507A" w:rsidRPr="00EC507A" w:rsidRDefault="00EC507A" w:rsidP="00EC507A">
            <w:pPr>
              <w:spacing w:after="0" w:line="240" w:lineRule="auto"/>
              <w:jc w:val="center"/>
              <w:rPr>
                <w:rFonts w:ascii="Calibri" w:eastAsia="Times New Roman" w:hAnsi="Calibri" w:cs="Times New Roman"/>
                <w:b/>
                <w:bCs/>
                <w:color w:val="000000"/>
                <w:lang w:eastAsia="es-ES"/>
              </w:rPr>
            </w:pPr>
            <w:r w:rsidRPr="00EC507A">
              <w:rPr>
                <w:rFonts w:ascii="Calibri" w:eastAsia="Times New Roman" w:hAnsi="Calibri" w:cs="Times New Roman"/>
                <w:b/>
                <w:bCs/>
                <w:color w:val="000000"/>
                <w:lang w:eastAsia="es-ES"/>
              </w:rPr>
              <w:t>Total</w:t>
            </w:r>
          </w:p>
        </w:tc>
      </w:tr>
      <w:tr w:rsidR="00EC507A" w:rsidRPr="00EC507A" w:rsidTr="00EC507A">
        <w:trPr>
          <w:trHeight w:val="300"/>
        </w:trPr>
        <w:tc>
          <w:tcPr>
            <w:tcW w:w="2127" w:type="dxa"/>
            <w:tcBorders>
              <w:top w:val="nil"/>
              <w:left w:val="single" w:sz="4" w:space="0" w:color="auto"/>
              <w:bottom w:val="single" w:sz="4" w:space="0" w:color="auto"/>
              <w:right w:val="single" w:sz="4" w:space="0" w:color="auto"/>
            </w:tcBorders>
            <w:shd w:val="clear" w:color="000000" w:fill="FFFFFF"/>
            <w:noWrap/>
            <w:vAlign w:val="bottom"/>
            <w:hideMark/>
          </w:tcPr>
          <w:p w:rsidR="00EC507A" w:rsidRPr="00EC507A" w:rsidRDefault="00EC507A" w:rsidP="00EC507A">
            <w:pPr>
              <w:spacing w:after="0" w:line="240" w:lineRule="auto"/>
              <w:ind w:firstLineChars="100" w:firstLine="221"/>
              <w:rPr>
                <w:rFonts w:ascii="Calibri" w:eastAsia="Times New Roman" w:hAnsi="Calibri" w:cs="Times New Roman"/>
                <w:b/>
                <w:bCs/>
                <w:color w:val="000000"/>
                <w:lang w:eastAsia="es-ES"/>
              </w:rPr>
            </w:pPr>
            <w:proofErr w:type="spellStart"/>
            <w:r w:rsidRPr="00EC507A">
              <w:rPr>
                <w:rFonts w:ascii="Calibri" w:eastAsia="Times New Roman" w:hAnsi="Calibri" w:cs="Times New Roman"/>
                <w:b/>
                <w:bCs/>
                <w:color w:val="000000"/>
                <w:lang w:eastAsia="es-ES"/>
              </w:rPr>
              <w:t>Preschool</w:t>
            </w:r>
            <w:proofErr w:type="spellEnd"/>
          </w:p>
        </w:tc>
        <w:tc>
          <w:tcPr>
            <w:tcW w:w="895" w:type="dxa"/>
            <w:tcBorders>
              <w:top w:val="single" w:sz="4" w:space="0" w:color="auto"/>
              <w:left w:val="nil"/>
              <w:bottom w:val="single" w:sz="4" w:space="0" w:color="auto"/>
              <w:right w:val="single" w:sz="4" w:space="0" w:color="auto"/>
            </w:tcBorders>
            <w:shd w:val="clear" w:color="auto" w:fill="auto"/>
            <w:noWrap/>
            <w:vAlign w:val="bottom"/>
            <w:hideMark/>
          </w:tcPr>
          <w:p w:rsidR="00EC507A" w:rsidRPr="00EC507A" w:rsidRDefault="00EC507A" w:rsidP="00EC507A">
            <w:pPr>
              <w:spacing w:after="0" w:line="240" w:lineRule="auto"/>
              <w:jc w:val="right"/>
              <w:rPr>
                <w:rFonts w:ascii="Calibri" w:eastAsia="Times New Roman" w:hAnsi="Calibri" w:cs="Times New Roman"/>
                <w:color w:val="000000"/>
                <w:lang w:eastAsia="es-ES"/>
              </w:rPr>
            </w:pPr>
            <w:r w:rsidRPr="00EC507A">
              <w:rPr>
                <w:rFonts w:ascii="Calibri" w:eastAsia="Times New Roman" w:hAnsi="Calibri" w:cs="Times New Roman"/>
                <w:color w:val="000000"/>
                <w:lang w:eastAsia="es-ES"/>
              </w:rPr>
              <w:t>23.15%</w:t>
            </w:r>
          </w:p>
        </w:tc>
        <w:tc>
          <w:tcPr>
            <w:tcW w:w="1137" w:type="dxa"/>
            <w:tcBorders>
              <w:top w:val="single" w:sz="4" w:space="0" w:color="auto"/>
              <w:left w:val="nil"/>
              <w:bottom w:val="single" w:sz="4" w:space="0" w:color="auto"/>
              <w:right w:val="single" w:sz="4" w:space="0" w:color="auto"/>
            </w:tcBorders>
            <w:shd w:val="clear" w:color="auto" w:fill="auto"/>
            <w:noWrap/>
            <w:vAlign w:val="bottom"/>
            <w:hideMark/>
          </w:tcPr>
          <w:p w:rsidR="00EC507A" w:rsidRPr="00EC507A" w:rsidRDefault="00EC507A" w:rsidP="00EC507A">
            <w:pPr>
              <w:spacing w:after="0" w:line="240" w:lineRule="auto"/>
              <w:jc w:val="right"/>
              <w:rPr>
                <w:rFonts w:ascii="Calibri" w:eastAsia="Times New Roman" w:hAnsi="Calibri" w:cs="Times New Roman"/>
                <w:color w:val="000000"/>
                <w:lang w:eastAsia="es-ES"/>
              </w:rPr>
            </w:pPr>
            <w:r w:rsidRPr="00EC507A">
              <w:rPr>
                <w:rFonts w:ascii="Calibri" w:eastAsia="Times New Roman" w:hAnsi="Calibri" w:cs="Times New Roman"/>
                <w:color w:val="000000"/>
                <w:lang w:eastAsia="es-ES"/>
              </w:rPr>
              <w:t>21.98%</w:t>
            </w:r>
          </w:p>
        </w:tc>
        <w:tc>
          <w:tcPr>
            <w:tcW w:w="1137" w:type="dxa"/>
            <w:tcBorders>
              <w:top w:val="single" w:sz="4" w:space="0" w:color="auto"/>
              <w:left w:val="nil"/>
              <w:bottom w:val="single" w:sz="4" w:space="0" w:color="auto"/>
              <w:right w:val="single" w:sz="4" w:space="0" w:color="auto"/>
            </w:tcBorders>
            <w:shd w:val="clear" w:color="auto" w:fill="auto"/>
            <w:noWrap/>
            <w:vAlign w:val="bottom"/>
            <w:hideMark/>
          </w:tcPr>
          <w:p w:rsidR="00EC507A" w:rsidRPr="00EC507A" w:rsidRDefault="00EC507A" w:rsidP="00EC507A">
            <w:pPr>
              <w:spacing w:after="0" w:line="240" w:lineRule="auto"/>
              <w:jc w:val="right"/>
              <w:rPr>
                <w:rFonts w:ascii="Calibri" w:eastAsia="Times New Roman" w:hAnsi="Calibri" w:cs="Times New Roman"/>
                <w:color w:val="000000"/>
                <w:lang w:eastAsia="es-ES"/>
              </w:rPr>
            </w:pPr>
            <w:r w:rsidRPr="00EC507A">
              <w:rPr>
                <w:rFonts w:ascii="Calibri" w:eastAsia="Times New Roman" w:hAnsi="Calibri" w:cs="Times New Roman"/>
                <w:color w:val="000000"/>
                <w:lang w:eastAsia="es-ES"/>
              </w:rPr>
              <w:t>19.65%</w:t>
            </w:r>
          </w:p>
        </w:tc>
        <w:tc>
          <w:tcPr>
            <w:tcW w:w="1137" w:type="dxa"/>
            <w:tcBorders>
              <w:top w:val="single" w:sz="4" w:space="0" w:color="auto"/>
              <w:left w:val="nil"/>
              <w:bottom w:val="single" w:sz="4" w:space="0" w:color="auto"/>
              <w:right w:val="single" w:sz="4" w:space="0" w:color="auto"/>
            </w:tcBorders>
            <w:shd w:val="clear" w:color="auto" w:fill="auto"/>
            <w:noWrap/>
            <w:vAlign w:val="bottom"/>
            <w:hideMark/>
          </w:tcPr>
          <w:p w:rsidR="00EC507A" w:rsidRPr="00EC507A" w:rsidRDefault="00EC507A" w:rsidP="00EC507A">
            <w:pPr>
              <w:spacing w:after="0" w:line="240" w:lineRule="auto"/>
              <w:jc w:val="right"/>
              <w:rPr>
                <w:rFonts w:ascii="Calibri" w:eastAsia="Times New Roman" w:hAnsi="Calibri" w:cs="Times New Roman"/>
                <w:color w:val="000000"/>
                <w:lang w:eastAsia="es-ES"/>
              </w:rPr>
            </w:pPr>
            <w:r w:rsidRPr="00EC507A">
              <w:rPr>
                <w:rFonts w:ascii="Calibri" w:eastAsia="Times New Roman" w:hAnsi="Calibri" w:cs="Times New Roman"/>
                <w:color w:val="000000"/>
                <w:lang w:eastAsia="es-ES"/>
              </w:rPr>
              <w:t>19.10%</w:t>
            </w:r>
          </w:p>
        </w:tc>
        <w:tc>
          <w:tcPr>
            <w:tcW w:w="1137" w:type="dxa"/>
            <w:tcBorders>
              <w:top w:val="single" w:sz="4" w:space="0" w:color="auto"/>
              <w:left w:val="nil"/>
              <w:bottom w:val="single" w:sz="4" w:space="0" w:color="auto"/>
              <w:right w:val="single" w:sz="4" w:space="0" w:color="auto"/>
            </w:tcBorders>
            <w:shd w:val="clear" w:color="auto" w:fill="auto"/>
            <w:noWrap/>
            <w:vAlign w:val="bottom"/>
            <w:hideMark/>
          </w:tcPr>
          <w:p w:rsidR="00EC507A" w:rsidRPr="00EC507A" w:rsidRDefault="00EC507A" w:rsidP="00EC507A">
            <w:pPr>
              <w:spacing w:after="0" w:line="240" w:lineRule="auto"/>
              <w:jc w:val="right"/>
              <w:rPr>
                <w:rFonts w:ascii="Calibri" w:eastAsia="Times New Roman" w:hAnsi="Calibri" w:cs="Times New Roman"/>
                <w:color w:val="000000"/>
                <w:lang w:eastAsia="es-ES"/>
              </w:rPr>
            </w:pPr>
            <w:r w:rsidRPr="00EC507A">
              <w:rPr>
                <w:rFonts w:ascii="Calibri" w:eastAsia="Times New Roman" w:hAnsi="Calibri" w:cs="Times New Roman"/>
                <w:color w:val="000000"/>
                <w:lang w:eastAsia="es-ES"/>
              </w:rPr>
              <w:t>16.12%</w:t>
            </w:r>
          </w:p>
        </w:tc>
        <w:tc>
          <w:tcPr>
            <w:tcW w:w="1327" w:type="dxa"/>
            <w:tcBorders>
              <w:top w:val="single" w:sz="4" w:space="0" w:color="auto"/>
              <w:left w:val="nil"/>
              <w:bottom w:val="single" w:sz="4" w:space="0" w:color="auto"/>
              <w:right w:val="single" w:sz="4" w:space="0" w:color="auto"/>
            </w:tcBorders>
            <w:shd w:val="clear" w:color="auto" w:fill="auto"/>
            <w:noWrap/>
            <w:vAlign w:val="bottom"/>
            <w:hideMark/>
          </w:tcPr>
          <w:p w:rsidR="00EC507A" w:rsidRPr="00EC507A" w:rsidRDefault="00EC507A" w:rsidP="00EC507A">
            <w:pPr>
              <w:spacing w:after="0" w:line="240" w:lineRule="auto"/>
              <w:jc w:val="right"/>
              <w:rPr>
                <w:rFonts w:ascii="Calibri" w:eastAsia="Times New Roman" w:hAnsi="Calibri" w:cs="Times New Roman"/>
                <w:color w:val="000000"/>
                <w:lang w:eastAsia="es-ES"/>
              </w:rPr>
            </w:pPr>
            <w:r w:rsidRPr="00EC507A">
              <w:rPr>
                <w:rFonts w:ascii="Calibri" w:eastAsia="Times New Roman" w:hAnsi="Calibri" w:cs="Times New Roman"/>
                <w:color w:val="000000"/>
                <w:lang w:eastAsia="es-ES"/>
              </w:rPr>
              <w:t>100.00%</w:t>
            </w:r>
          </w:p>
        </w:tc>
      </w:tr>
      <w:tr w:rsidR="00EC507A" w:rsidRPr="00EC507A" w:rsidTr="00EC507A">
        <w:trPr>
          <w:trHeight w:val="300"/>
        </w:trPr>
        <w:tc>
          <w:tcPr>
            <w:tcW w:w="2127" w:type="dxa"/>
            <w:tcBorders>
              <w:top w:val="nil"/>
              <w:left w:val="single" w:sz="4" w:space="0" w:color="auto"/>
              <w:bottom w:val="single" w:sz="4" w:space="0" w:color="auto"/>
              <w:right w:val="single" w:sz="4" w:space="0" w:color="auto"/>
            </w:tcBorders>
            <w:shd w:val="clear" w:color="000000" w:fill="FFFFFF"/>
            <w:noWrap/>
            <w:vAlign w:val="bottom"/>
            <w:hideMark/>
          </w:tcPr>
          <w:p w:rsidR="00EC507A" w:rsidRPr="00EC507A" w:rsidRDefault="00EC507A" w:rsidP="00EC507A">
            <w:pPr>
              <w:spacing w:after="0" w:line="240" w:lineRule="auto"/>
              <w:ind w:firstLineChars="100" w:firstLine="221"/>
              <w:rPr>
                <w:rFonts w:ascii="Calibri" w:eastAsia="Times New Roman" w:hAnsi="Calibri" w:cs="Times New Roman"/>
                <w:b/>
                <w:bCs/>
                <w:color w:val="000000"/>
                <w:lang w:eastAsia="es-ES"/>
              </w:rPr>
            </w:pPr>
            <w:proofErr w:type="spellStart"/>
            <w:r w:rsidRPr="00EC507A">
              <w:rPr>
                <w:rFonts w:ascii="Calibri" w:eastAsia="Times New Roman" w:hAnsi="Calibri" w:cs="Times New Roman"/>
                <w:b/>
                <w:bCs/>
                <w:color w:val="000000"/>
                <w:lang w:eastAsia="es-ES"/>
              </w:rPr>
              <w:t>Primary</w:t>
            </w:r>
            <w:proofErr w:type="spellEnd"/>
          </w:p>
        </w:tc>
        <w:tc>
          <w:tcPr>
            <w:tcW w:w="895" w:type="dxa"/>
            <w:tcBorders>
              <w:top w:val="nil"/>
              <w:left w:val="nil"/>
              <w:bottom w:val="single" w:sz="4" w:space="0" w:color="auto"/>
              <w:right w:val="single" w:sz="4" w:space="0" w:color="auto"/>
            </w:tcBorders>
            <w:shd w:val="clear" w:color="auto" w:fill="auto"/>
            <w:noWrap/>
            <w:vAlign w:val="bottom"/>
            <w:hideMark/>
          </w:tcPr>
          <w:p w:rsidR="00EC507A" w:rsidRPr="00EC507A" w:rsidRDefault="00EC507A" w:rsidP="00EC507A">
            <w:pPr>
              <w:spacing w:after="0" w:line="240" w:lineRule="auto"/>
              <w:jc w:val="right"/>
              <w:rPr>
                <w:rFonts w:ascii="Calibri" w:eastAsia="Times New Roman" w:hAnsi="Calibri" w:cs="Times New Roman"/>
                <w:color w:val="000000"/>
                <w:lang w:eastAsia="es-ES"/>
              </w:rPr>
            </w:pPr>
            <w:r w:rsidRPr="00EC507A">
              <w:rPr>
                <w:rFonts w:ascii="Calibri" w:eastAsia="Times New Roman" w:hAnsi="Calibri" w:cs="Times New Roman"/>
                <w:color w:val="000000"/>
                <w:lang w:eastAsia="es-ES"/>
              </w:rPr>
              <w:t>24.10%</w:t>
            </w:r>
          </w:p>
        </w:tc>
        <w:tc>
          <w:tcPr>
            <w:tcW w:w="1137" w:type="dxa"/>
            <w:tcBorders>
              <w:top w:val="nil"/>
              <w:left w:val="nil"/>
              <w:bottom w:val="single" w:sz="4" w:space="0" w:color="auto"/>
              <w:right w:val="single" w:sz="4" w:space="0" w:color="auto"/>
            </w:tcBorders>
            <w:shd w:val="clear" w:color="auto" w:fill="auto"/>
            <w:noWrap/>
            <w:vAlign w:val="bottom"/>
            <w:hideMark/>
          </w:tcPr>
          <w:p w:rsidR="00EC507A" w:rsidRPr="00EC507A" w:rsidRDefault="00EC507A" w:rsidP="00EC507A">
            <w:pPr>
              <w:spacing w:after="0" w:line="240" w:lineRule="auto"/>
              <w:jc w:val="right"/>
              <w:rPr>
                <w:rFonts w:ascii="Calibri" w:eastAsia="Times New Roman" w:hAnsi="Calibri" w:cs="Times New Roman"/>
                <w:color w:val="000000"/>
                <w:lang w:eastAsia="es-ES"/>
              </w:rPr>
            </w:pPr>
            <w:r w:rsidRPr="00EC507A">
              <w:rPr>
                <w:rFonts w:ascii="Calibri" w:eastAsia="Times New Roman" w:hAnsi="Calibri" w:cs="Times New Roman"/>
                <w:color w:val="000000"/>
                <w:lang w:eastAsia="es-ES"/>
              </w:rPr>
              <w:t>22.37%</w:t>
            </w:r>
          </w:p>
        </w:tc>
        <w:tc>
          <w:tcPr>
            <w:tcW w:w="1137" w:type="dxa"/>
            <w:tcBorders>
              <w:top w:val="nil"/>
              <w:left w:val="nil"/>
              <w:bottom w:val="single" w:sz="4" w:space="0" w:color="auto"/>
              <w:right w:val="single" w:sz="4" w:space="0" w:color="auto"/>
            </w:tcBorders>
            <w:shd w:val="clear" w:color="auto" w:fill="auto"/>
            <w:noWrap/>
            <w:vAlign w:val="bottom"/>
            <w:hideMark/>
          </w:tcPr>
          <w:p w:rsidR="00EC507A" w:rsidRPr="00EC507A" w:rsidRDefault="00EC507A" w:rsidP="00EC507A">
            <w:pPr>
              <w:spacing w:after="0" w:line="240" w:lineRule="auto"/>
              <w:jc w:val="right"/>
              <w:rPr>
                <w:rFonts w:ascii="Calibri" w:eastAsia="Times New Roman" w:hAnsi="Calibri" w:cs="Times New Roman"/>
                <w:color w:val="000000"/>
                <w:lang w:eastAsia="es-ES"/>
              </w:rPr>
            </w:pPr>
            <w:r w:rsidRPr="00EC507A">
              <w:rPr>
                <w:rFonts w:ascii="Calibri" w:eastAsia="Times New Roman" w:hAnsi="Calibri" w:cs="Times New Roman"/>
                <w:color w:val="000000"/>
                <w:lang w:eastAsia="es-ES"/>
              </w:rPr>
              <w:t>20.20%</w:t>
            </w:r>
          </w:p>
        </w:tc>
        <w:tc>
          <w:tcPr>
            <w:tcW w:w="1137" w:type="dxa"/>
            <w:tcBorders>
              <w:top w:val="nil"/>
              <w:left w:val="nil"/>
              <w:bottom w:val="single" w:sz="4" w:space="0" w:color="auto"/>
              <w:right w:val="single" w:sz="4" w:space="0" w:color="auto"/>
            </w:tcBorders>
            <w:shd w:val="clear" w:color="auto" w:fill="auto"/>
            <w:noWrap/>
            <w:vAlign w:val="bottom"/>
            <w:hideMark/>
          </w:tcPr>
          <w:p w:rsidR="00EC507A" w:rsidRPr="00EC507A" w:rsidRDefault="00EC507A" w:rsidP="00EC507A">
            <w:pPr>
              <w:spacing w:after="0" w:line="240" w:lineRule="auto"/>
              <w:jc w:val="right"/>
              <w:rPr>
                <w:rFonts w:ascii="Calibri" w:eastAsia="Times New Roman" w:hAnsi="Calibri" w:cs="Times New Roman"/>
                <w:color w:val="000000"/>
                <w:lang w:eastAsia="es-ES"/>
              </w:rPr>
            </w:pPr>
            <w:r w:rsidRPr="00EC507A">
              <w:rPr>
                <w:rFonts w:ascii="Calibri" w:eastAsia="Times New Roman" w:hAnsi="Calibri" w:cs="Times New Roman"/>
                <w:color w:val="000000"/>
                <w:lang w:eastAsia="es-ES"/>
              </w:rPr>
              <w:t>18.80%</w:t>
            </w:r>
          </w:p>
        </w:tc>
        <w:tc>
          <w:tcPr>
            <w:tcW w:w="1137" w:type="dxa"/>
            <w:tcBorders>
              <w:top w:val="nil"/>
              <w:left w:val="nil"/>
              <w:bottom w:val="single" w:sz="4" w:space="0" w:color="auto"/>
              <w:right w:val="single" w:sz="4" w:space="0" w:color="auto"/>
            </w:tcBorders>
            <w:shd w:val="clear" w:color="auto" w:fill="auto"/>
            <w:noWrap/>
            <w:vAlign w:val="bottom"/>
            <w:hideMark/>
          </w:tcPr>
          <w:p w:rsidR="00EC507A" w:rsidRPr="00EC507A" w:rsidRDefault="00EC507A" w:rsidP="00EC507A">
            <w:pPr>
              <w:spacing w:after="0" w:line="240" w:lineRule="auto"/>
              <w:jc w:val="right"/>
              <w:rPr>
                <w:rFonts w:ascii="Calibri" w:eastAsia="Times New Roman" w:hAnsi="Calibri" w:cs="Times New Roman"/>
                <w:color w:val="000000"/>
                <w:lang w:eastAsia="es-ES"/>
              </w:rPr>
            </w:pPr>
            <w:r w:rsidRPr="00EC507A">
              <w:rPr>
                <w:rFonts w:ascii="Calibri" w:eastAsia="Times New Roman" w:hAnsi="Calibri" w:cs="Times New Roman"/>
                <w:color w:val="000000"/>
                <w:lang w:eastAsia="es-ES"/>
              </w:rPr>
              <w:t>14.53%</w:t>
            </w:r>
          </w:p>
        </w:tc>
        <w:tc>
          <w:tcPr>
            <w:tcW w:w="1327" w:type="dxa"/>
            <w:tcBorders>
              <w:top w:val="nil"/>
              <w:left w:val="nil"/>
              <w:bottom w:val="single" w:sz="4" w:space="0" w:color="auto"/>
              <w:right w:val="single" w:sz="4" w:space="0" w:color="auto"/>
            </w:tcBorders>
            <w:shd w:val="clear" w:color="auto" w:fill="auto"/>
            <w:noWrap/>
            <w:vAlign w:val="bottom"/>
            <w:hideMark/>
          </w:tcPr>
          <w:p w:rsidR="00EC507A" w:rsidRPr="00EC507A" w:rsidRDefault="00EC507A" w:rsidP="00EC507A">
            <w:pPr>
              <w:spacing w:after="0" w:line="240" w:lineRule="auto"/>
              <w:jc w:val="right"/>
              <w:rPr>
                <w:rFonts w:ascii="Calibri" w:eastAsia="Times New Roman" w:hAnsi="Calibri" w:cs="Times New Roman"/>
                <w:color w:val="000000"/>
                <w:lang w:eastAsia="es-ES"/>
              </w:rPr>
            </w:pPr>
            <w:r w:rsidRPr="00EC507A">
              <w:rPr>
                <w:rFonts w:ascii="Calibri" w:eastAsia="Times New Roman" w:hAnsi="Calibri" w:cs="Times New Roman"/>
                <w:color w:val="000000"/>
                <w:lang w:eastAsia="es-ES"/>
              </w:rPr>
              <w:t>100.00%</w:t>
            </w:r>
          </w:p>
        </w:tc>
      </w:tr>
      <w:tr w:rsidR="00EC507A" w:rsidRPr="00EC507A" w:rsidTr="00EC507A">
        <w:trPr>
          <w:trHeight w:val="300"/>
        </w:trPr>
        <w:tc>
          <w:tcPr>
            <w:tcW w:w="2127" w:type="dxa"/>
            <w:tcBorders>
              <w:top w:val="nil"/>
              <w:left w:val="single" w:sz="4" w:space="0" w:color="auto"/>
              <w:bottom w:val="single" w:sz="4" w:space="0" w:color="auto"/>
              <w:right w:val="single" w:sz="4" w:space="0" w:color="auto"/>
            </w:tcBorders>
            <w:shd w:val="clear" w:color="000000" w:fill="FFFFFF"/>
            <w:noWrap/>
            <w:vAlign w:val="bottom"/>
            <w:hideMark/>
          </w:tcPr>
          <w:p w:rsidR="00EC507A" w:rsidRPr="00EC507A" w:rsidRDefault="00EC507A" w:rsidP="00EC507A">
            <w:pPr>
              <w:spacing w:after="0" w:line="240" w:lineRule="auto"/>
              <w:ind w:firstLineChars="100" w:firstLine="221"/>
              <w:rPr>
                <w:rFonts w:ascii="Calibri" w:eastAsia="Times New Roman" w:hAnsi="Calibri" w:cs="Times New Roman"/>
                <w:b/>
                <w:bCs/>
                <w:color w:val="000000"/>
                <w:lang w:eastAsia="es-ES"/>
              </w:rPr>
            </w:pPr>
            <w:proofErr w:type="spellStart"/>
            <w:r w:rsidRPr="00EC507A">
              <w:rPr>
                <w:rFonts w:ascii="Calibri" w:eastAsia="Times New Roman" w:hAnsi="Calibri" w:cs="Times New Roman"/>
                <w:b/>
                <w:bCs/>
                <w:color w:val="000000"/>
                <w:lang w:eastAsia="es-ES"/>
              </w:rPr>
              <w:t>Secondary</w:t>
            </w:r>
            <w:proofErr w:type="spellEnd"/>
          </w:p>
        </w:tc>
        <w:tc>
          <w:tcPr>
            <w:tcW w:w="895" w:type="dxa"/>
            <w:tcBorders>
              <w:top w:val="nil"/>
              <w:left w:val="nil"/>
              <w:bottom w:val="single" w:sz="4" w:space="0" w:color="auto"/>
              <w:right w:val="single" w:sz="4" w:space="0" w:color="auto"/>
            </w:tcBorders>
            <w:shd w:val="clear" w:color="auto" w:fill="auto"/>
            <w:noWrap/>
            <w:vAlign w:val="bottom"/>
            <w:hideMark/>
          </w:tcPr>
          <w:p w:rsidR="00EC507A" w:rsidRPr="00EC507A" w:rsidRDefault="00EC507A" w:rsidP="00EC507A">
            <w:pPr>
              <w:spacing w:after="0" w:line="240" w:lineRule="auto"/>
              <w:jc w:val="right"/>
              <w:rPr>
                <w:rFonts w:ascii="Calibri" w:eastAsia="Times New Roman" w:hAnsi="Calibri" w:cs="Times New Roman"/>
                <w:color w:val="000000"/>
                <w:lang w:eastAsia="es-ES"/>
              </w:rPr>
            </w:pPr>
            <w:r w:rsidRPr="00EC507A">
              <w:rPr>
                <w:rFonts w:ascii="Calibri" w:eastAsia="Times New Roman" w:hAnsi="Calibri" w:cs="Times New Roman"/>
                <w:color w:val="000000"/>
                <w:lang w:eastAsia="es-ES"/>
              </w:rPr>
              <w:t>15.64%</w:t>
            </w:r>
          </w:p>
        </w:tc>
        <w:tc>
          <w:tcPr>
            <w:tcW w:w="1137" w:type="dxa"/>
            <w:tcBorders>
              <w:top w:val="nil"/>
              <w:left w:val="nil"/>
              <w:bottom w:val="single" w:sz="4" w:space="0" w:color="auto"/>
              <w:right w:val="single" w:sz="4" w:space="0" w:color="auto"/>
            </w:tcBorders>
            <w:shd w:val="clear" w:color="auto" w:fill="auto"/>
            <w:noWrap/>
            <w:vAlign w:val="bottom"/>
            <w:hideMark/>
          </w:tcPr>
          <w:p w:rsidR="00EC507A" w:rsidRPr="00EC507A" w:rsidRDefault="00EC507A" w:rsidP="00EC507A">
            <w:pPr>
              <w:spacing w:after="0" w:line="240" w:lineRule="auto"/>
              <w:jc w:val="right"/>
              <w:rPr>
                <w:rFonts w:ascii="Calibri" w:eastAsia="Times New Roman" w:hAnsi="Calibri" w:cs="Times New Roman"/>
                <w:color w:val="000000"/>
                <w:lang w:eastAsia="es-ES"/>
              </w:rPr>
            </w:pPr>
            <w:r w:rsidRPr="00EC507A">
              <w:rPr>
                <w:rFonts w:ascii="Calibri" w:eastAsia="Times New Roman" w:hAnsi="Calibri" w:cs="Times New Roman"/>
                <w:color w:val="000000"/>
                <w:lang w:eastAsia="es-ES"/>
              </w:rPr>
              <w:t>19.05%</w:t>
            </w:r>
          </w:p>
        </w:tc>
        <w:tc>
          <w:tcPr>
            <w:tcW w:w="1137" w:type="dxa"/>
            <w:tcBorders>
              <w:top w:val="nil"/>
              <w:left w:val="nil"/>
              <w:bottom w:val="single" w:sz="4" w:space="0" w:color="auto"/>
              <w:right w:val="single" w:sz="4" w:space="0" w:color="auto"/>
            </w:tcBorders>
            <w:shd w:val="clear" w:color="auto" w:fill="auto"/>
            <w:noWrap/>
            <w:vAlign w:val="bottom"/>
            <w:hideMark/>
          </w:tcPr>
          <w:p w:rsidR="00EC507A" w:rsidRPr="00EC507A" w:rsidRDefault="00EC507A" w:rsidP="00EC507A">
            <w:pPr>
              <w:spacing w:after="0" w:line="240" w:lineRule="auto"/>
              <w:jc w:val="right"/>
              <w:rPr>
                <w:rFonts w:ascii="Calibri" w:eastAsia="Times New Roman" w:hAnsi="Calibri" w:cs="Times New Roman"/>
                <w:color w:val="000000"/>
                <w:lang w:eastAsia="es-ES"/>
              </w:rPr>
            </w:pPr>
            <w:r w:rsidRPr="00EC507A">
              <w:rPr>
                <w:rFonts w:ascii="Calibri" w:eastAsia="Times New Roman" w:hAnsi="Calibri" w:cs="Times New Roman"/>
                <w:color w:val="000000"/>
                <w:lang w:eastAsia="es-ES"/>
              </w:rPr>
              <w:t>22.01%</w:t>
            </w:r>
          </w:p>
        </w:tc>
        <w:tc>
          <w:tcPr>
            <w:tcW w:w="1137" w:type="dxa"/>
            <w:tcBorders>
              <w:top w:val="nil"/>
              <w:left w:val="nil"/>
              <w:bottom w:val="single" w:sz="4" w:space="0" w:color="auto"/>
              <w:right w:val="single" w:sz="4" w:space="0" w:color="auto"/>
            </w:tcBorders>
            <w:shd w:val="clear" w:color="auto" w:fill="auto"/>
            <w:noWrap/>
            <w:vAlign w:val="bottom"/>
            <w:hideMark/>
          </w:tcPr>
          <w:p w:rsidR="00EC507A" w:rsidRPr="00EC507A" w:rsidRDefault="00EC507A" w:rsidP="00EC507A">
            <w:pPr>
              <w:spacing w:after="0" w:line="240" w:lineRule="auto"/>
              <w:jc w:val="right"/>
              <w:rPr>
                <w:rFonts w:ascii="Calibri" w:eastAsia="Times New Roman" w:hAnsi="Calibri" w:cs="Times New Roman"/>
                <w:color w:val="000000"/>
                <w:lang w:eastAsia="es-ES"/>
              </w:rPr>
            </w:pPr>
            <w:r w:rsidRPr="00EC507A">
              <w:rPr>
                <w:rFonts w:ascii="Calibri" w:eastAsia="Times New Roman" w:hAnsi="Calibri" w:cs="Times New Roman"/>
                <w:color w:val="000000"/>
                <w:lang w:eastAsia="es-ES"/>
              </w:rPr>
              <w:t>22.59%</w:t>
            </w:r>
          </w:p>
        </w:tc>
        <w:tc>
          <w:tcPr>
            <w:tcW w:w="1137" w:type="dxa"/>
            <w:tcBorders>
              <w:top w:val="nil"/>
              <w:left w:val="nil"/>
              <w:bottom w:val="single" w:sz="4" w:space="0" w:color="auto"/>
              <w:right w:val="single" w:sz="4" w:space="0" w:color="auto"/>
            </w:tcBorders>
            <w:shd w:val="clear" w:color="auto" w:fill="auto"/>
            <w:noWrap/>
            <w:vAlign w:val="bottom"/>
            <w:hideMark/>
          </w:tcPr>
          <w:p w:rsidR="00EC507A" w:rsidRPr="00EC507A" w:rsidRDefault="00EC507A" w:rsidP="00EC507A">
            <w:pPr>
              <w:spacing w:after="0" w:line="240" w:lineRule="auto"/>
              <w:jc w:val="right"/>
              <w:rPr>
                <w:rFonts w:ascii="Calibri" w:eastAsia="Times New Roman" w:hAnsi="Calibri" w:cs="Times New Roman"/>
                <w:color w:val="000000"/>
                <w:lang w:eastAsia="es-ES"/>
              </w:rPr>
            </w:pPr>
            <w:r w:rsidRPr="00EC507A">
              <w:rPr>
                <w:rFonts w:ascii="Calibri" w:eastAsia="Times New Roman" w:hAnsi="Calibri" w:cs="Times New Roman"/>
                <w:color w:val="000000"/>
                <w:lang w:eastAsia="es-ES"/>
              </w:rPr>
              <w:t>20.72%</w:t>
            </w:r>
          </w:p>
        </w:tc>
        <w:tc>
          <w:tcPr>
            <w:tcW w:w="1327" w:type="dxa"/>
            <w:tcBorders>
              <w:top w:val="nil"/>
              <w:left w:val="nil"/>
              <w:bottom w:val="single" w:sz="4" w:space="0" w:color="auto"/>
              <w:right w:val="single" w:sz="4" w:space="0" w:color="auto"/>
            </w:tcBorders>
            <w:shd w:val="clear" w:color="auto" w:fill="auto"/>
            <w:noWrap/>
            <w:vAlign w:val="bottom"/>
            <w:hideMark/>
          </w:tcPr>
          <w:p w:rsidR="00EC507A" w:rsidRPr="00EC507A" w:rsidRDefault="00EC507A" w:rsidP="00EC507A">
            <w:pPr>
              <w:spacing w:after="0" w:line="240" w:lineRule="auto"/>
              <w:jc w:val="right"/>
              <w:rPr>
                <w:rFonts w:ascii="Calibri" w:eastAsia="Times New Roman" w:hAnsi="Calibri" w:cs="Times New Roman"/>
                <w:color w:val="000000"/>
                <w:lang w:eastAsia="es-ES"/>
              </w:rPr>
            </w:pPr>
            <w:r w:rsidRPr="00EC507A">
              <w:rPr>
                <w:rFonts w:ascii="Calibri" w:eastAsia="Times New Roman" w:hAnsi="Calibri" w:cs="Times New Roman"/>
                <w:color w:val="000000"/>
                <w:lang w:eastAsia="es-ES"/>
              </w:rPr>
              <w:t>100.00%</w:t>
            </w:r>
          </w:p>
        </w:tc>
      </w:tr>
      <w:tr w:rsidR="00EC507A" w:rsidRPr="00EC507A" w:rsidTr="00EC507A">
        <w:trPr>
          <w:trHeight w:val="315"/>
        </w:trPr>
        <w:tc>
          <w:tcPr>
            <w:tcW w:w="2127" w:type="dxa"/>
            <w:tcBorders>
              <w:top w:val="nil"/>
              <w:left w:val="single" w:sz="4" w:space="0" w:color="auto"/>
              <w:bottom w:val="double" w:sz="6" w:space="0" w:color="auto"/>
              <w:right w:val="single" w:sz="4" w:space="0" w:color="auto"/>
            </w:tcBorders>
            <w:shd w:val="clear" w:color="000000" w:fill="FFFFFF"/>
            <w:noWrap/>
            <w:vAlign w:val="bottom"/>
            <w:hideMark/>
          </w:tcPr>
          <w:p w:rsidR="00EC507A" w:rsidRPr="00EC507A" w:rsidRDefault="00EC507A" w:rsidP="00EC507A">
            <w:pPr>
              <w:spacing w:after="0" w:line="240" w:lineRule="auto"/>
              <w:ind w:firstLineChars="100" w:firstLine="221"/>
              <w:rPr>
                <w:rFonts w:ascii="Calibri" w:eastAsia="Times New Roman" w:hAnsi="Calibri" w:cs="Times New Roman"/>
                <w:b/>
                <w:bCs/>
                <w:color w:val="000000"/>
                <w:lang w:eastAsia="es-ES"/>
              </w:rPr>
            </w:pPr>
            <w:proofErr w:type="spellStart"/>
            <w:r w:rsidRPr="00EC507A">
              <w:rPr>
                <w:rFonts w:ascii="Calibri" w:eastAsia="Times New Roman" w:hAnsi="Calibri" w:cs="Times New Roman"/>
                <w:b/>
                <w:bCs/>
                <w:color w:val="000000"/>
                <w:lang w:eastAsia="es-ES"/>
              </w:rPr>
              <w:t>Tertiary</w:t>
            </w:r>
            <w:proofErr w:type="spellEnd"/>
            <w:r w:rsidRPr="00EC507A">
              <w:rPr>
                <w:rFonts w:ascii="Calibri" w:eastAsia="Times New Roman" w:hAnsi="Calibri" w:cs="Times New Roman"/>
                <w:b/>
                <w:bCs/>
                <w:color w:val="000000"/>
                <w:lang w:eastAsia="es-ES"/>
              </w:rPr>
              <w:t>/</w:t>
            </w:r>
            <w:proofErr w:type="spellStart"/>
            <w:r w:rsidRPr="00EC507A">
              <w:rPr>
                <w:rFonts w:ascii="Calibri" w:eastAsia="Times New Roman" w:hAnsi="Calibri" w:cs="Times New Roman"/>
                <w:b/>
                <w:bCs/>
                <w:color w:val="000000"/>
                <w:lang w:eastAsia="es-ES"/>
              </w:rPr>
              <w:t>University</w:t>
            </w:r>
            <w:proofErr w:type="spellEnd"/>
          </w:p>
        </w:tc>
        <w:tc>
          <w:tcPr>
            <w:tcW w:w="895" w:type="dxa"/>
            <w:tcBorders>
              <w:top w:val="nil"/>
              <w:left w:val="nil"/>
              <w:bottom w:val="single" w:sz="4" w:space="0" w:color="auto"/>
              <w:right w:val="single" w:sz="4" w:space="0" w:color="auto"/>
            </w:tcBorders>
            <w:shd w:val="clear" w:color="auto" w:fill="auto"/>
            <w:noWrap/>
            <w:vAlign w:val="bottom"/>
            <w:hideMark/>
          </w:tcPr>
          <w:p w:rsidR="00EC507A" w:rsidRPr="00EC507A" w:rsidRDefault="00EC507A" w:rsidP="00EC507A">
            <w:pPr>
              <w:spacing w:after="0" w:line="240" w:lineRule="auto"/>
              <w:jc w:val="right"/>
              <w:rPr>
                <w:rFonts w:ascii="Calibri" w:eastAsia="Times New Roman" w:hAnsi="Calibri" w:cs="Times New Roman"/>
                <w:color w:val="000000"/>
                <w:lang w:eastAsia="es-ES"/>
              </w:rPr>
            </w:pPr>
            <w:r w:rsidRPr="00EC507A">
              <w:rPr>
                <w:rFonts w:ascii="Calibri" w:eastAsia="Times New Roman" w:hAnsi="Calibri" w:cs="Times New Roman"/>
                <w:color w:val="000000"/>
                <w:lang w:eastAsia="es-ES"/>
              </w:rPr>
              <w:t>4.93%</w:t>
            </w:r>
          </w:p>
        </w:tc>
        <w:tc>
          <w:tcPr>
            <w:tcW w:w="1137" w:type="dxa"/>
            <w:tcBorders>
              <w:top w:val="nil"/>
              <w:left w:val="nil"/>
              <w:bottom w:val="single" w:sz="4" w:space="0" w:color="auto"/>
              <w:right w:val="single" w:sz="4" w:space="0" w:color="auto"/>
            </w:tcBorders>
            <w:shd w:val="clear" w:color="auto" w:fill="auto"/>
            <w:noWrap/>
            <w:vAlign w:val="bottom"/>
            <w:hideMark/>
          </w:tcPr>
          <w:p w:rsidR="00EC507A" w:rsidRPr="00EC507A" w:rsidRDefault="00EC507A" w:rsidP="00EC507A">
            <w:pPr>
              <w:spacing w:after="0" w:line="240" w:lineRule="auto"/>
              <w:jc w:val="right"/>
              <w:rPr>
                <w:rFonts w:ascii="Calibri" w:eastAsia="Times New Roman" w:hAnsi="Calibri" w:cs="Times New Roman"/>
                <w:color w:val="000000"/>
                <w:lang w:eastAsia="es-ES"/>
              </w:rPr>
            </w:pPr>
            <w:r w:rsidRPr="00EC507A">
              <w:rPr>
                <w:rFonts w:ascii="Calibri" w:eastAsia="Times New Roman" w:hAnsi="Calibri" w:cs="Times New Roman"/>
                <w:color w:val="000000"/>
                <w:lang w:eastAsia="es-ES"/>
              </w:rPr>
              <w:t>8.75%</w:t>
            </w:r>
          </w:p>
        </w:tc>
        <w:tc>
          <w:tcPr>
            <w:tcW w:w="1137" w:type="dxa"/>
            <w:tcBorders>
              <w:top w:val="nil"/>
              <w:left w:val="nil"/>
              <w:bottom w:val="single" w:sz="4" w:space="0" w:color="auto"/>
              <w:right w:val="single" w:sz="4" w:space="0" w:color="auto"/>
            </w:tcBorders>
            <w:shd w:val="clear" w:color="auto" w:fill="auto"/>
            <w:noWrap/>
            <w:vAlign w:val="bottom"/>
            <w:hideMark/>
          </w:tcPr>
          <w:p w:rsidR="00EC507A" w:rsidRPr="00EC507A" w:rsidRDefault="00EC507A" w:rsidP="00EC507A">
            <w:pPr>
              <w:spacing w:after="0" w:line="240" w:lineRule="auto"/>
              <w:jc w:val="right"/>
              <w:rPr>
                <w:rFonts w:ascii="Calibri" w:eastAsia="Times New Roman" w:hAnsi="Calibri" w:cs="Times New Roman"/>
                <w:color w:val="000000"/>
                <w:lang w:eastAsia="es-ES"/>
              </w:rPr>
            </w:pPr>
            <w:r w:rsidRPr="00EC507A">
              <w:rPr>
                <w:rFonts w:ascii="Calibri" w:eastAsia="Times New Roman" w:hAnsi="Calibri" w:cs="Times New Roman"/>
                <w:color w:val="000000"/>
                <w:lang w:eastAsia="es-ES"/>
              </w:rPr>
              <w:t>12.05%</w:t>
            </w:r>
          </w:p>
        </w:tc>
        <w:tc>
          <w:tcPr>
            <w:tcW w:w="1137" w:type="dxa"/>
            <w:tcBorders>
              <w:top w:val="nil"/>
              <w:left w:val="nil"/>
              <w:bottom w:val="single" w:sz="4" w:space="0" w:color="auto"/>
              <w:right w:val="single" w:sz="4" w:space="0" w:color="auto"/>
            </w:tcBorders>
            <w:shd w:val="clear" w:color="auto" w:fill="auto"/>
            <w:noWrap/>
            <w:vAlign w:val="bottom"/>
            <w:hideMark/>
          </w:tcPr>
          <w:p w:rsidR="00EC507A" w:rsidRPr="00EC507A" w:rsidRDefault="00EC507A" w:rsidP="00EC507A">
            <w:pPr>
              <w:spacing w:after="0" w:line="240" w:lineRule="auto"/>
              <w:jc w:val="right"/>
              <w:rPr>
                <w:rFonts w:ascii="Calibri" w:eastAsia="Times New Roman" w:hAnsi="Calibri" w:cs="Times New Roman"/>
                <w:color w:val="000000"/>
                <w:lang w:eastAsia="es-ES"/>
              </w:rPr>
            </w:pPr>
            <w:r w:rsidRPr="00EC507A">
              <w:rPr>
                <w:rFonts w:ascii="Calibri" w:eastAsia="Times New Roman" w:hAnsi="Calibri" w:cs="Times New Roman"/>
                <w:color w:val="000000"/>
                <w:lang w:eastAsia="es-ES"/>
              </w:rPr>
              <w:t>25.01%</w:t>
            </w:r>
          </w:p>
        </w:tc>
        <w:tc>
          <w:tcPr>
            <w:tcW w:w="1137" w:type="dxa"/>
            <w:tcBorders>
              <w:top w:val="nil"/>
              <w:left w:val="nil"/>
              <w:bottom w:val="single" w:sz="4" w:space="0" w:color="auto"/>
              <w:right w:val="single" w:sz="4" w:space="0" w:color="auto"/>
            </w:tcBorders>
            <w:shd w:val="clear" w:color="auto" w:fill="auto"/>
            <w:noWrap/>
            <w:vAlign w:val="bottom"/>
            <w:hideMark/>
          </w:tcPr>
          <w:p w:rsidR="00EC507A" w:rsidRPr="00EC507A" w:rsidRDefault="00EC507A" w:rsidP="00EC507A">
            <w:pPr>
              <w:spacing w:after="0" w:line="240" w:lineRule="auto"/>
              <w:jc w:val="right"/>
              <w:rPr>
                <w:rFonts w:ascii="Calibri" w:eastAsia="Times New Roman" w:hAnsi="Calibri" w:cs="Times New Roman"/>
                <w:color w:val="000000"/>
                <w:lang w:eastAsia="es-ES"/>
              </w:rPr>
            </w:pPr>
            <w:r w:rsidRPr="00EC507A">
              <w:rPr>
                <w:rFonts w:ascii="Calibri" w:eastAsia="Times New Roman" w:hAnsi="Calibri" w:cs="Times New Roman"/>
                <w:color w:val="000000"/>
                <w:lang w:eastAsia="es-ES"/>
              </w:rPr>
              <w:t>49.25%</w:t>
            </w:r>
          </w:p>
        </w:tc>
        <w:tc>
          <w:tcPr>
            <w:tcW w:w="1327" w:type="dxa"/>
            <w:tcBorders>
              <w:top w:val="nil"/>
              <w:left w:val="nil"/>
              <w:bottom w:val="single" w:sz="4" w:space="0" w:color="auto"/>
              <w:right w:val="single" w:sz="4" w:space="0" w:color="auto"/>
            </w:tcBorders>
            <w:shd w:val="clear" w:color="auto" w:fill="auto"/>
            <w:noWrap/>
            <w:vAlign w:val="bottom"/>
            <w:hideMark/>
          </w:tcPr>
          <w:p w:rsidR="00EC507A" w:rsidRPr="00EC507A" w:rsidRDefault="00EC507A" w:rsidP="00EC507A">
            <w:pPr>
              <w:spacing w:after="0" w:line="240" w:lineRule="auto"/>
              <w:jc w:val="right"/>
              <w:rPr>
                <w:rFonts w:ascii="Calibri" w:eastAsia="Times New Roman" w:hAnsi="Calibri" w:cs="Times New Roman"/>
                <w:color w:val="000000"/>
                <w:lang w:eastAsia="es-ES"/>
              </w:rPr>
            </w:pPr>
            <w:r w:rsidRPr="00EC507A">
              <w:rPr>
                <w:rFonts w:ascii="Calibri" w:eastAsia="Times New Roman" w:hAnsi="Calibri" w:cs="Times New Roman"/>
                <w:color w:val="000000"/>
                <w:lang w:eastAsia="es-ES"/>
              </w:rPr>
              <w:t>100.00%</w:t>
            </w:r>
          </w:p>
        </w:tc>
      </w:tr>
      <w:tr w:rsidR="00EC507A" w:rsidRPr="00EC507A" w:rsidTr="00EC507A">
        <w:trPr>
          <w:trHeight w:val="315"/>
        </w:trPr>
        <w:tc>
          <w:tcPr>
            <w:tcW w:w="2127" w:type="dxa"/>
            <w:tcBorders>
              <w:top w:val="nil"/>
              <w:left w:val="single" w:sz="4" w:space="0" w:color="auto"/>
              <w:bottom w:val="single" w:sz="4" w:space="0" w:color="auto"/>
              <w:right w:val="single" w:sz="4" w:space="0" w:color="auto"/>
            </w:tcBorders>
            <w:shd w:val="clear" w:color="000000" w:fill="FFFFFF"/>
            <w:noWrap/>
            <w:vAlign w:val="bottom"/>
            <w:hideMark/>
          </w:tcPr>
          <w:p w:rsidR="00EC507A" w:rsidRPr="00EC507A" w:rsidRDefault="00EC507A" w:rsidP="00EC507A">
            <w:pPr>
              <w:spacing w:after="0" w:line="240" w:lineRule="auto"/>
              <w:ind w:firstLineChars="100" w:firstLine="221"/>
              <w:rPr>
                <w:rFonts w:ascii="Calibri" w:eastAsia="Times New Roman" w:hAnsi="Calibri" w:cs="Times New Roman"/>
                <w:b/>
                <w:bCs/>
                <w:color w:val="000000"/>
                <w:lang w:eastAsia="es-ES"/>
              </w:rPr>
            </w:pPr>
            <w:r w:rsidRPr="00EC507A">
              <w:rPr>
                <w:rFonts w:ascii="Calibri" w:eastAsia="Times New Roman" w:hAnsi="Calibri" w:cs="Times New Roman"/>
                <w:b/>
                <w:bCs/>
                <w:color w:val="000000"/>
                <w:lang w:eastAsia="es-ES"/>
              </w:rPr>
              <w:t>Total</w:t>
            </w:r>
          </w:p>
        </w:tc>
        <w:tc>
          <w:tcPr>
            <w:tcW w:w="895" w:type="dxa"/>
            <w:tcBorders>
              <w:top w:val="nil"/>
              <w:left w:val="nil"/>
              <w:bottom w:val="single" w:sz="4" w:space="0" w:color="auto"/>
              <w:right w:val="single" w:sz="4" w:space="0" w:color="auto"/>
            </w:tcBorders>
            <w:shd w:val="clear" w:color="auto" w:fill="auto"/>
            <w:noWrap/>
            <w:vAlign w:val="bottom"/>
            <w:hideMark/>
          </w:tcPr>
          <w:p w:rsidR="00EC507A" w:rsidRPr="00EC507A" w:rsidRDefault="00EC507A" w:rsidP="00EC507A">
            <w:pPr>
              <w:spacing w:after="0" w:line="240" w:lineRule="auto"/>
              <w:jc w:val="right"/>
              <w:rPr>
                <w:rFonts w:ascii="Calibri" w:eastAsia="Times New Roman" w:hAnsi="Calibri" w:cs="Times New Roman"/>
                <w:color w:val="000000"/>
                <w:lang w:eastAsia="es-ES"/>
              </w:rPr>
            </w:pPr>
            <w:r w:rsidRPr="00EC507A">
              <w:rPr>
                <w:rFonts w:ascii="Calibri" w:eastAsia="Times New Roman" w:hAnsi="Calibri" w:cs="Times New Roman"/>
                <w:color w:val="000000"/>
                <w:lang w:eastAsia="es-ES"/>
              </w:rPr>
              <w:t>17.45%</w:t>
            </w:r>
          </w:p>
        </w:tc>
        <w:tc>
          <w:tcPr>
            <w:tcW w:w="1137" w:type="dxa"/>
            <w:tcBorders>
              <w:top w:val="nil"/>
              <w:left w:val="nil"/>
              <w:bottom w:val="single" w:sz="4" w:space="0" w:color="auto"/>
              <w:right w:val="single" w:sz="4" w:space="0" w:color="auto"/>
            </w:tcBorders>
            <w:shd w:val="clear" w:color="auto" w:fill="auto"/>
            <w:noWrap/>
            <w:vAlign w:val="bottom"/>
            <w:hideMark/>
          </w:tcPr>
          <w:p w:rsidR="00EC507A" w:rsidRPr="00EC507A" w:rsidRDefault="00EC507A" w:rsidP="00EC507A">
            <w:pPr>
              <w:spacing w:after="0" w:line="240" w:lineRule="auto"/>
              <w:jc w:val="right"/>
              <w:rPr>
                <w:rFonts w:ascii="Calibri" w:eastAsia="Times New Roman" w:hAnsi="Calibri" w:cs="Times New Roman"/>
                <w:color w:val="000000"/>
                <w:lang w:eastAsia="es-ES"/>
              </w:rPr>
            </w:pPr>
            <w:r w:rsidRPr="00EC507A">
              <w:rPr>
                <w:rFonts w:ascii="Calibri" w:eastAsia="Times New Roman" w:hAnsi="Calibri" w:cs="Times New Roman"/>
                <w:color w:val="000000"/>
                <w:lang w:eastAsia="es-ES"/>
              </w:rPr>
              <w:t>18.47%</w:t>
            </w:r>
          </w:p>
        </w:tc>
        <w:tc>
          <w:tcPr>
            <w:tcW w:w="1137" w:type="dxa"/>
            <w:tcBorders>
              <w:top w:val="nil"/>
              <w:left w:val="nil"/>
              <w:bottom w:val="single" w:sz="4" w:space="0" w:color="auto"/>
              <w:right w:val="single" w:sz="4" w:space="0" w:color="auto"/>
            </w:tcBorders>
            <w:shd w:val="clear" w:color="auto" w:fill="auto"/>
            <w:noWrap/>
            <w:vAlign w:val="bottom"/>
            <w:hideMark/>
          </w:tcPr>
          <w:p w:rsidR="00EC507A" w:rsidRPr="00EC507A" w:rsidRDefault="00EC507A" w:rsidP="00EC507A">
            <w:pPr>
              <w:spacing w:after="0" w:line="240" w:lineRule="auto"/>
              <w:jc w:val="right"/>
              <w:rPr>
                <w:rFonts w:ascii="Calibri" w:eastAsia="Times New Roman" w:hAnsi="Calibri" w:cs="Times New Roman"/>
                <w:color w:val="000000"/>
                <w:lang w:eastAsia="es-ES"/>
              </w:rPr>
            </w:pPr>
            <w:r w:rsidRPr="00EC507A">
              <w:rPr>
                <w:rFonts w:ascii="Calibri" w:eastAsia="Times New Roman" w:hAnsi="Calibri" w:cs="Times New Roman"/>
                <w:color w:val="000000"/>
                <w:lang w:eastAsia="es-ES"/>
              </w:rPr>
              <w:t>18.97%</w:t>
            </w:r>
          </w:p>
        </w:tc>
        <w:tc>
          <w:tcPr>
            <w:tcW w:w="1137" w:type="dxa"/>
            <w:tcBorders>
              <w:top w:val="nil"/>
              <w:left w:val="nil"/>
              <w:bottom w:val="single" w:sz="4" w:space="0" w:color="auto"/>
              <w:right w:val="single" w:sz="4" w:space="0" w:color="auto"/>
            </w:tcBorders>
            <w:shd w:val="clear" w:color="auto" w:fill="auto"/>
            <w:noWrap/>
            <w:vAlign w:val="bottom"/>
            <w:hideMark/>
          </w:tcPr>
          <w:p w:rsidR="00EC507A" w:rsidRPr="00EC507A" w:rsidRDefault="00EC507A" w:rsidP="00EC507A">
            <w:pPr>
              <w:spacing w:after="0" w:line="240" w:lineRule="auto"/>
              <w:jc w:val="right"/>
              <w:rPr>
                <w:rFonts w:ascii="Calibri" w:eastAsia="Times New Roman" w:hAnsi="Calibri" w:cs="Times New Roman"/>
                <w:color w:val="000000"/>
                <w:lang w:eastAsia="es-ES"/>
              </w:rPr>
            </w:pPr>
            <w:r w:rsidRPr="00EC507A">
              <w:rPr>
                <w:rFonts w:ascii="Calibri" w:eastAsia="Times New Roman" w:hAnsi="Calibri" w:cs="Times New Roman"/>
                <w:color w:val="000000"/>
                <w:lang w:eastAsia="es-ES"/>
              </w:rPr>
              <w:t>21.27%</w:t>
            </w:r>
          </w:p>
        </w:tc>
        <w:tc>
          <w:tcPr>
            <w:tcW w:w="1137" w:type="dxa"/>
            <w:tcBorders>
              <w:top w:val="nil"/>
              <w:left w:val="nil"/>
              <w:bottom w:val="single" w:sz="4" w:space="0" w:color="auto"/>
              <w:right w:val="single" w:sz="4" w:space="0" w:color="auto"/>
            </w:tcBorders>
            <w:shd w:val="clear" w:color="auto" w:fill="auto"/>
            <w:noWrap/>
            <w:vAlign w:val="bottom"/>
            <w:hideMark/>
          </w:tcPr>
          <w:p w:rsidR="00EC507A" w:rsidRPr="00EC507A" w:rsidRDefault="00EC507A" w:rsidP="00EC507A">
            <w:pPr>
              <w:spacing w:after="0" w:line="240" w:lineRule="auto"/>
              <w:jc w:val="right"/>
              <w:rPr>
                <w:rFonts w:ascii="Calibri" w:eastAsia="Times New Roman" w:hAnsi="Calibri" w:cs="Times New Roman"/>
                <w:color w:val="000000"/>
                <w:lang w:eastAsia="es-ES"/>
              </w:rPr>
            </w:pPr>
            <w:r w:rsidRPr="00EC507A">
              <w:rPr>
                <w:rFonts w:ascii="Calibri" w:eastAsia="Times New Roman" w:hAnsi="Calibri" w:cs="Times New Roman"/>
                <w:color w:val="000000"/>
                <w:lang w:eastAsia="es-ES"/>
              </w:rPr>
              <w:t>23.85%</w:t>
            </w:r>
          </w:p>
        </w:tc>
        <w:tc>
          <w:tcPr>
            <w:tcW w:w="1327" w:type="dxa"/>
            <w:tcBorders>
              <w:top w:val="nil"/>
              <w:left w:val="nil"/>
              <w:bottom w:val="single" w:sz="4" w:space="0" w:color="auto"/>
              <w:right w:val="single" w:sz="4" w:space="0" w:color="auto"/>
            </w:tcBorders>
            <w:shd w:val="clear" w:color="auto" w:fill="auto"/>
            <w:noWrap/>
            <w:vAlign w:val="bottom"/>
            <w:hideMark/>
          </w:tcPr>
          <w:p w:rsidR="00EC507A" w:rsidRPr="00EC507A" w:rsidRDefault="00EC507A" w:rsidP="00EC507A">
            <w:pPr>
              <w:spacing w:after="0" w:line="240" w:lineRule="auto"/>
              <w:jc w:val="right"/>
              <w:rPr>
                <w:rFonts w:ascii="Calibri" w:eastAsia="Times New Roman" w:hAnsi="Calibri" w:cs="Times New Roman"/>
                <w:color w:val="000000"/>
                <w:lang w:eastAsia="es-ES"/>
              </w:rPr>
            </w:pPr>
            <w:r w:rsidRPr="00EC507A">
              <w:rPr>
                <w:rFonts w:ascii="Calibri" w:eastAsia="Times New Roman" w:hAnsi="Calibri" w:cs="Times New Roman"/>
                <w:color w:val="000000"/>
                <w:lang w:eastAsia="es-ES"/>
              </w:rPr>
              <w:t>100.00%</w:t>
            </w:r>
          </w:p>
        </w:tc>
      </w:tr>
    </w:tbl>
    <w:p w:rsidR="00983B82" w:rsidRPr="00505444" w:rsidRDefault="00983B82" w:rsidP="00983B82">
      <w:pPr>
        <w:pStyle w:val="NoSpacing"/>
        <w:spacing w:line="276" w:lineRule="auto"/>
        <w:rPr>
          <w:sz w:val="16"/>
          <w:szCs w:val="16"/>
        </w:rPr>
      </w:pPr>
      <w:proofErr w:type="spellStart"/>
      <w:r w:rsidRPr="00505444">
        <w:rPr>
          <w:sz w:val="16"/>
          <w:szCs w:val="16"/>
        </w:rPr>
        <w:t>Source</w:t>
      </w:r>
      <w:proofErr w:type="spellEnd"/>
      <w:r w:rsidRPr="00505444">
        <w:rPr>
          <w:sz w:val="16"/>
          <w:szCs w:val="16"/>
        </w:rPr>
        <w:t xml:space="preserve">: </w:t>
      </w:r>
      <w:r>
        <w:rPr>
          <w:sz w:val="16"/>
          <w:szCs w:val="16"/>
        </w:rPr>
        <w:t>MEF. INEI.</w:t>
      </w:r>
      <w:r w:rsidRPr="00505444">
        <w:rPr>
          <w:sz w:val="16"/>
          <w:szCs w:val="16"/>
        </w:rPr>
        <w:t xml:space="preserve"> </w:t>
      </w:r>
    </w:p>
    <w:p w:rsidR="00216755" w:rsidRDefault="00216755" w:rsidP="00640AF6"/>
    <w:p w:rsidR="0071365B" w:rsidRDefault="00DD6EC5" w:rsidP="0071365B">
      <w:pPr>
        <w:spacing w:after="0"/>
        <w:jc w:val="both"/>
        <w:rPr>
          <w:rFonts w:eastAsia="Times New Roman" w:cs="Arial"/>
          <w:color w:val="000000"/>
          <w:lang w:val="en-US" w:eastAsia="es-ES"/>
        </w:rPr>
      </w:pPr>
      <w:r>
        <w:rPr>
          <w:rFonts w:eastAsia="Times New Roman" w:cs="Arial"/>
          <w:color w:val="000000"/>
          <w:lang w:val="en-US" w:eastAsia="es-ES"/>
        </w:rPr>
        <w:t>If one considers</w:t>
      </w:r>
      <w:r w:rsidR="0071365B" w:rsidRPr="006E04F5">
        <w:rPr>
          <w:rFonts w:eastAsia="Times New Roman" w:cs="Arial"/>
          <w:color w:val="000000"/>
          <w:lang w:val="en-US" w:eastAsia="es-ES"/>
        </w:rPr>
        <w:t xml:space="preserve"> t</w:t>
      </w:r>
      <w:r w:rsidR="0071365B">
        <w:rPr>
          <w:rFonts w:eastAsia="Times New Roman" w:cs="Arial"/>
          <w:color w:val="000000"/>
          <w:lang w:val="en-US" w:eastAsia="es-ES"/>
        </w:rPr>
        <w:t>he access to education as a human right, a</w:t>
      </w:r>
      <w:r w:rsidR="0071365B" w:rsidRPr="006E04F5">
        <w:rPr>
          <w:rFonts w:eastAsia="Times New Roman" w:cs="Arial"/>
          <w:color w:val="000000"/>
          <w:lang w:val="en-US" w:eastAsia="es-ES"/>
        </w:rPr>
        <w:t xml:space="preserve"> normative approach </w:t>
      </w:r>
      <w:r w:rsidR="0071365B">
        <w:rPr>
          <w:rFonts w:eastAsia="Times New Roman" w:cs="Arial"/>
          <w:color w:val="000000"/>
          <w:lang w:val="en-US" w:eastAsia="es-ES"/>
        </w:rPr>
        <w:t>would suppose an equal distribution of public spending. However, the scarcity of resources is a key factor in understanding the need for avoiding a large government subsidy to the highest expenditure quintiles. Since the quality of education in Peru is well below international standards an</w:t>
      </w:r>
      <w:r>
        <w:rPr>
          <w:rFonts w:eastAsia="Times New Roman" w:cs="Arial"/>
          <w:color w:val="000000"/>
          <w:lang w:val="en-US" w:eastAsia="es-ES"/>
        </w:rPr>
        <w:t>d considering that there are private schools which</w:t>
      </w:r>
      <w:r w:rsidR="0071365B">
        <w:rPr>
          <w:rFonts w:eastAsia="Times New Roman" w:cs="Arial"/>
          <w:color w:val="000000"/>
          <w:lang w:val="en-US" w:eastAsia="es-ES"/>
        </w:rPr>
        <w:t xml:space="preserve"> are quite better than public ones, and taken into account that the richest expenditure quintiles can easily afford it, there are reasons to expect a large government subsidy to the poor.</w:t>
      </w:r>
    </w:p>
    <w:p w:rsidR="00F91A3C" w:rsidRPr="006E04F5" w:rsidRDefault="00F91A3C" w:rsidP="00640AF6">
      <w:pPr>
        <w:spacing w:after="0"/>
        <w:jc w:val="both"/>
        <w:rPr>
          <w:rFonts w:eastAsia="Times New Roman" w:cs="Arial"/>
          <w:color w:val="000000"/>
          <w:lang w:val="en-US" w:eastAsia="es-ES"/>
        </w:rPr>
      </w:pPr>
    </w:p>
    <w:p w:rsidR="001E4456" w:rsidRPr="00505444" w:rsidRDefault="003F30B7" w:rsidP="00505444">
      <w:pPr>
        <w:pStyle w:val="Caption"/>
        <w:spacing w:after="0"/>
        <w:jc w:val="center"/>
        <w:rPr>
          <w:sz w:val="22"/>
          <w:szCs w:val="22"/>
          <w:lang w:val="en-US"/>
        </w:rPr>
      </w:pPr>
      <w:proofErr w:type="gramStart"/>
      <w:r w:rsidRPr="00505444">
        <w:rPr>
          <w:sz w:val="22"/>
          <w:szCs w:val="22"/>
          <w:lang w:val="en-US"/>
        </w:rPr>
        <w:t>Table</w:t>
      </w:r>
      <w:r w:rsidR="00505444" w:rsidRPr="00505444">
        <w:rPr>
          <w:sz w:val="22"/>
          <w:szCs w:val="22"/>
          <w:lang w:val="en-US"/>
        </w:rPr>
        <w:t xml:space="preserve"> 1</w:t>
      </w:r>
      <w:r w:rsidR="002B479D">
        <w:rPr>
          <w:sz w:val="22"/>
          <w:szCs w:val="22"/>
          <w:lang w:val="en-US"/>
        </w:rPr>
        <w:t>1</w:t>
      </w:r>
      <w:r w:rsidR="0072737B" w:rsidRPr="00505444">
        <w:rPr>
          <w:sz w:val="22"/>
          <w:szCs w:val="22"/>
          <w:lang w:val="en-US"/>
        </w:rPr>
        <w:t>.</w:t>
      </w:r>
      <w:proofErr w:type="gramEnd"/>
      <w:r w:rsidR="0072737B" w:rsidRPr="00505444">
        <w:rPr>
          <w:sz w:val="22"/>
          <w:szCs w:val="22"/>
          <w:lang w:val="en-US"/>
        </w:rPr>
        <w:t xml:space="preserve"> </w:t>
      </w:r>
      <w:proofErr w:type="gramStart"/>
      <w:r w:rsidR="001E4456" w:rsidRPr="00505444">
        <w:rPr>
          <w:sz w:val="22"/>
          <w:szCs w:val="22"/>
          <w:lang w:val="en-US"/>
        </w:rPr>
        <w:t>Distribution of Benefits of Education Spending.</w:t>
      </w:r>
      <w:proofErr w:type="gramEnd"/>
    </w:p>
    <w:p w:rsidR="0072737B" w:rsidRDefault="001E4456" w:rsidP="00505444">
      <w:pPr>
        <w:pStyle w:val="Caption"/>
        <w:spacing w:after="0"/>
        <w:jc w:val="center"/>
        <w:rPr>
          <w:sz w:val="22"/>
          <w:szCs w:val="22"/>
        </w:rPr>
      </w:pPr>
      <w:proofErr w:type="spellStart"/>
      <w:r w:rsidRPr="00505444">
        <w:rPr>
          <w:sz w:val="22"/>
          <w:szCs w:val="22"/>
        </w:rPr>
        <w:t>An</w:t>
      </w:r>
      <w:proofErr w:type="spellEnd"/>
      <w:r w:rsidRPr="00505444">
        <w:rPr>
          <w:sz w:val="22"/>
          <w:szCs w:val="22"/>
        </w:rPr>
        <w:t xml:space="preserve"> </w:t>
      </w:r>
      <w:proofErr w:type="spellStart"/>
      <w:r w:rsidRPr="00505444">
        <w:rPr>
          <w:sz w:val="22"/>
          <w:szCs w:val="22"/>
        </w:rPr>
        <w:t>overview</w:t>
      </w:r>
      <w:proofErr w:type="spellEnd"/>
      <w:r w:rsidRPr="00505444">
        <w:rPr>
          <w:sz w:val="22"/>
          <w:szCs w:val="22"/>
        </w:rPr>
        <w:t xml:space="preserve"> </w:t>
      </w:r>
      <w:r w:rsidR="0072737B" w:rsidRPr="00505444">
        <w:rPr>
          <w:sz w:val="22"/>
          <w:szCs w:val="22"/>
        </w:rPr>
        <w:t>(</w:t>
      </w:r>
      <w:proofErr w:type="spellStart"/>
      <w:r w:rsidR="0072737B" w:rsidRPr="00505444">
        <w:rPr>
          <w:sz w:val="22"/>
          <w:szCs w:val="22"/>
        </w:rPr>
        <w:t>p</w:t>
      </w:r>
      <w:r w:rsidRPr="00505444">
        <w:rPr>
          <w:sz w:val="22"/>
          <w:szCs w:val="22"/>
        </w:rPr>
        <w:t>ercentage</w:t>
      </w:r>
      <w:proofErr w:type="spellEnd"/>
      <w:r w:rsidR="0072737B" w:rsidRPr="00505444">
        <w:rPr>
          <w:sz w:val="22"/>
          <w:szCs w:val="22"/>
        </w:rPr>
        <w:t>)</w:t>
      </w:r>
    </w:p>
    <w:p w:rsidR="00192FDF" w:rsidRPr="00192FDF" w:rsidRDefault="00192FDF" w:rsidP="00192FDF">
      <w:pPr>
        <w:spacing w:after="0"/>
      </w:pPr>
    </w:p>
    <w:tbl>
      <w:tblPr>
        <w:tblW w:w="9237" w:type="dxa"/>
        <w:jc w:val="center"/>
        <w:tblInd w:w="70" w:type="dxa"/>
        <w:tblCellMar>
          <w:left w:w="70" w:type="dxa"/>
          <w:right w:w="70" w:type="dxa"/>
        </w:tblCellMar>
        <w:tblLook w:val="04A0"/>
      </w:tblPr>
      <w:tblGrid>
        <w:gridCol w:w="2294"/>
        <w:gridCol w:w="903"/>
        <w:gridCol w:w="1169"/>
        <w:gridCol w:w="1169"/>
        <w:gridCol w:w="1169"/>
        <w:gridCol w:w="1169"/>
        <w:gridCol w:w="1364"/>
      </w:tblGrid>
      <w:tr w:rsidR="00EC507A" w:rsidRPr="00EC507A" w:rsidTr="00EC507A">
        <w:trPr>
          <w:trHeight w:val="300"/>
          <w:jc w:val="center"/>
        </w:trPr>
        <w:tc>
          <w:tcPr>
            <w:tcW w:w="2294" w:type="dxa"/>
            <w:tcBorders>
              <w:top w:val="nil"/>
              <w:left w:val="nil"/>
              <w:bottom w:val="nil"/>
              <w:right w:val="nil"/>
            </w:tcBorders>
            <w:shd w:val="clear" w:color="000000" w:fill="FFFFFF"/>
            <w:noWrap/>
            <w:vAlign w:val="bottom"/>
            <w:hideMark/>
          </w:tcPr>
          <w:p w:rsidR="00EC507A" w:rsidRPr="00EC507A" w:rsidRDefault="00EC507A" w:rsidP="00EC507A">
            <w:pPr>
              <w:spacing w:after="0" w:line="240" w:lineRule="auto"/>
              <w:jc w:val="center"/>
              <w:rPr>
                <w:rFonts w:ascii="Calibri" w:eastAsia="Times New Roman" w:hAnsi="Calibri" w:cs="Times New Roman"/>
                <w:b/>
                <w:bCs/>
                <w:color w:val="000000"/>
                <w:lang w:eastAsia="es-ES"/>
              </w:rPr>
            </w:pPr>
            <w:r w:rsidRPr="00EC507A">
              <w:rPr>
                <w:rFonts w:ascii="Calibri" w:eastAsia="Times New Roman" w:hAnsi="Calibri" w:cs="Times New Roman"/>
                <w:b/>
                <w:bCs/>
                <w:color w:val="000000"/>
                <w:lang w:eastAsia="es-ES"/>
              </w:rPr>
              <w:t>TOTAL</w:t>
            </w:r>
          </w:p>
        </w:tc>
        <w:tc>
          <w:tcPr>
            <w:tcW w:w="6943" w:type="dxa"/>
            <w:gridSpan w:val="6"/>
            <w:tcBorders>
              <w:top w:val="single" w:sz="4" w:space="0" w:color="auto"/>
              <w:left w:val="single" w:sz="4" w:space="0" w:color="auto"/>
              <w:bottom w:val="single" w:sz="4" w:space="0" w:color="auto"/>
              <w:right w:val="single" w:sz="4" w:space="0" w:color="auto"/>
            </w:tcBorders>
            <w:shd w:val="clear" w:color="000000" w:fill="B2A1C7"/>
            <w:noWrap/>
            <w:vAlign w:val="bottom"/>
            <w:hideMark/>
          </w:tcPr>
          <w:p w:rsidR="00EC507A" w:rsidRPr="00EC507A" w:rsidRDefault="00EC507A" w:rsidP="00EC507A">
            <w:pPr>
              <w:spacing w:after="0" w:line="240" w:lineRule="auto"/>
              <w:jc w:val="center"/>
              <w:rPr>
                <w:rFonts w:ascii="Calibri" w:eastAsia="Times New Roman" w:hAnsi="Calibri" w:cs="Times New Roman"/>
                <w:b/>
                <w:bCs/>
                <w:color w:val="000000"/>
                <w:lang w:eastAsia="es-ES"/>
              </w:rPr>
            </w:pPr>
            <w:proofErr w:type="spellStart"/>
            <w:r w:rsidRPr="00EC507A">
              <w:rPr>
                <w:rFonts w:ascii="Calibri" w:eastAsia="Times New Roman" w:hAnsi="Calibri" w:cs="Times New Roman"/>
                <w:b/>
                <w:bCs/>
                <w:color w:val="000000"/>
                <w:lang w:eastAsia="es-ES"/>
              </w:rPr>
              <w:t>Expenditure</w:t>
            </w:r>
            <w:proofErr w:type="spellEnd"/>
            <w:r w:rsidRPr="00EC507A">
              <w:rPr>
                <w:rFonts w:ascii="Calibri" w:eastAsia="Times New Roman" w:hAnsi="Calibri" w:cs="Times New Roman"/>
                <w:b/>
                <w:bCs/>
                <w:color w:val="000000"/>
                <w:lang w:eastAsia="es-ES"/>
              </w:rPr>
              <w:t xml:space="preserve"> </w:t>
            </w:r>
            <w:proofErr w:type="spellStart"/>
            <w:r w:rsidRPr="00EC507A">
              <w:rPr>
                <w:rFonts w:ascii="Calibri" w:eastAsia="Times New Roman" w:hAnsi="Calibri" w:cs="Times New Roman"/>
                <w:b/>
                <w:bCs/>
                <w:color w:val="000000"/>
                <w:lang w:eastAsia="es-ES"/>
              </w:rPr>
              <w:t>quintile</w:t>
            </w:r>
            <w:proofErr w:type="spellEnd"/>
          </w:p>
        </w:tc>
      </w:tr>
      <w:tr w:rsidR="00EC507A" w:rsidRPr="00EC507A" w:rsidTr="00EC507A">
        <w:trPr>
          <w:trHeight w:val="300"/>
          <w:jc w:val="center"/>
        </w:trPr>
        <w:tc>
          <w:tcPr>
            <w:tcW w:w="2294" w:type="dxa"/>
            <w:tcBorders>
              <w:top w:val="single" w:sz="4" w:space="0" w:color="auto"/>
              <w:left w:val="single" w:sz="4" w:space="0" w:color="auto"/>
              <w:bottom w:val="single" w:sz="4" w:space="0" w:color="auto"/>
              <w:right w:val="single" w:sz="4" w:space="0" w:color="auto"/>
            </w:tcBorders>
            <w:shd w:val="clear" w:color="000000" w:fill="B2A1C7"/>
            <w:noWrap/>
            <w:vAlign w:val="bottom"/>
            <w:hideMark/>
          </w:tcPr>
          <w:p w:rsidR="00EC507A" w:rsidRPr="00EC507A" w:rsidRDefault="00EC507A" w:rsidP="00EC507A">
            <w:pPr>
              <w:spacing w:after="0" w:line="240" w:lineRule="auto"/>
              <w:ind w:firstLineChars="100" w:firstLine="221"/>
              <w:rPr>
                <w:rFonts w:ascii="Calibri" w:eastAsia="Times New Roman" w:hAnsi="Calibri" w:cs="Times New Roman"/>
                <w:b/>
                <w:bCs/>
                <w:color w:val="000000"/>
                <w:lang w:eastAsia="es-ES"/>
              </w:rPr>
            </w:pPr>
            <w:proofErr w:type="spellStart"/>
            <w:r w:rsidRPr="00EC507A">
              <w:rPr>
                <w:rFonts w:ascii="Calibri" w:eastAsia="Times New Roman" w:hAnsi="Calibri" w:cs="Times New Roman"/>
                <w:b/>
                <w:bCs/>
                <w:color w:val="000000"/>
                <w:lang w:eastAsia="es-ES"/>
              </w:rPr>
              <w:t>Education</w:t>
            </w:r>
            <w:proofErr w:type="spellEnd"/>
            <w:r w:rsidRPr="00EC507A">
              <w:rPr>
                <w:rFonts w:ascii="Calibri" w:eastAsia="Times New Roman" w:hAnsi="Calibri" w:cs="Times New Roman"/>
                <w:b/>
                <w:bCs/>
                <w:color w:val="000000"/>
                <w:lang w:eastAsia="es-ES"/>
              </w:rPr>
              <w:t xml:space="preserve"> </w:t>
            </w:r>
            <w:proofErr w:type="spellStart"/>
            <w:r w:rsidRPr="00EC507A">
              <w:rPr>
                <w:rFonts w:ascii="Calibri" w:eastAsia="Times New Roman" w:hAnsi="Calibri" w:cs="Times New Roman"/>
                <w:b/>
                <w:bCs/>
                <w:color w:val="000000"/>
                <w:lang w:eastAsia="es-ES"/>
              </w:rPr>
              <w:t>level</w:t>
            </w:r>
            <w:proofErr w:type="spellEnd"/>
          </w:p>
        </w:tc>
        <w:tc>
          <w:tcPr>
            <w:tcW w:w="903" w:type="dxa"/>
            <w:tcBorders>
              <w:top w:val="nil"/>
              <w:left w:val="nil"/>
              <w:bottom w:val="nil"/>
              <w:right w:val="nil"/>
            </w:tcBorders>
            <w:shd w:val="clear" w:color="000000" w:fill="B8CCE4"/>
            <w:noWrap/>
            <w:vAlign w:val="bottom"/>
            <w:hideMark/>
          </w:tcPr>
          <w:p w:rsidR="00EC507A" w:rsidRPr="00EC507A" w:rsidRDefault="00EC507A" w:rsidP="00EC507A">
            <w:pPr>
              <w:spacing w:after="0" w:line="240" w:lineRule="auto"/>
              <w:jc w:val="right"/>
              <w:rPr>
                <w:rFonts w:ascii="Calibri" w:eastAsia="Times New Roman" w:hAnsi="Calibri" w:cs="Times New Roman"/>
                <w:color w:val="000000"/>
                <w:lang w:eastAsia="es-ES"/>
              </w:rPr>
            </w:pPr>
            <w:r w:rsidRPr="00EC507A">
              <w:rPr>
                <w:rFonts w:ascii="Calibri" w:eastAsia="Times New Roman" w:hAnsi="Calibri" w:cs="Times New Roman"/>
                <w:color w:val="000000"/>
                <w:lang w:eastAsia="es-ES"/>
              </w:rPr>
              <w:t>1</w:t>
            </w:r>
          </w:p>
        </w:tc>
        <w:tc>
          <w:tcPr>
            <w:tcW w:w="1169" w:type="dxa"/>
            <w:tcBorders>
              <w:top w:val="nil"/>
              <w:left w:val="nil"/>
              <w:bottom w:val="nil"/>
              <w:right w:val="nil"/>
            </w:tcBorders>
            <w:shd w:val="clear" w:color="000000" w:fill="B8CCE4"/>
            <w:noWrap/>
            <w:vAlign w:val="bottom"/>
            <w:hideMark/>
          </w:tcPr>
          <w:p w:rsidR="00EC507A" w:rsidRPr="00EC507A" w:rsidRDefault="00EC507A" w:rsidP="00EC507A">
            <w:pPr>
              <w:spacing w:after="0" w:line="240" w:lineRule="auto"/>
              <w:jc w:val="right"/>
              <w:rPr>
                <w:rFonts w:ascii="Calibri" w:eastAsia="Times New Roman" w:hAnsi="Calibri" w:cs="Times New Roman"/>
                <w:color w:val="000000"/>
                <w:lang w:eastAsia="es-ES"/>
              </w:rPr>
            </w:pPr>
            <w:r w:rsidRPr="00EC507A">
              <w:rPr>
                <w:rFonts w:ascii="Calibri" w:eastAsia="Times New Roman" w:hAnsi="Calibri" w:cs="Times New Roman"/>
                <w:color w:val="000000"/>
                <w:lang w:eastAsia="es-ES"/>
              </w:rPr>
              <w:t>2</w:t>
            </w:r>
          </w:p>
        </w:tc>
        <w:tc>
          <w:tcPr>
            <w:tcW w:w="1169" w:type="dxa"/>
            <w:tcBorders>
              <w:top w:val="nil"/>
              <w:left w:val="nil"/>
              <w:bottom w:val="nil"/>
              <w:right w:val="nil"/>
            </w:tcBorders>
            <w:shd w:val="clear" w:color="000000" w:fill="B8CCE4"/>
            <w:noWrap/>
            <w:vAlign w:val="bottom"/>
            <w:hideMark/>
          </w:tcPr>
          <w:p w:rsidR="00EC507A" w:rsidRPr="00EC507A" w:rsidRDefault="00EC507A" w:rsidP="00EC507A">
            <w:pPr>
              <w:spacing w:after="0" w:line="240" w:lineRule="auto"/>
              <w:jc w:val="right"/>
              <w:rPr>
                <w:rFonts w:ascii="Calibri" w:eastAsia="Times New Roman" w:hAnsi="Calibri" w:cs="Times New Roman"/>
                <w:color w:val="000000"/>
                <w:lang w:eastAsia="es-ES"/>
              </w:rPr>
            </w:pPr>
            <w:r w:rsidRPr="00EC507A">
              <w:rPr>
                <w:rFonts w:ascii="Calibri" w:eastAsia="Times New Roman" w:hAnsi="Calibri" w:cs="Times New Roman"/>
                <w:color w:val="000000"/>
                <w:lang w:eastAsia="es-ES"/>
              </w:rPr>
              <w:t>3</w:t>
            </w:r>
          </w:p>
        </w:tc>
        <w:tc>
          <w:tcPr>
            <w:tcW w:w="1169" w:type="dxa"/>
            <w:tcBorders>
              <w:top w:val="nil"/>
              <w:left w:val="nil"/>
              <w:bottom w:val="nil"/>
              <w:right w:val="nil"/>
            </w:tcBorders>
            <w:shd w:val="clear" w:color="000000" w:fill="B8CCE4"/>
            <w:noWrap/>
            <w:vAlign w:val="bottom"/>
            <w:hideMark/>
          </w:tcPr>
          <w:p w:rsidR="00EC507A" w:rsidRPr="00EC507A" w:rsidRDefault="00EC507A" w:rsidP="00EC507A">
            <w:pPr>
              <w:spacing w:after="0" w:line="240" w:lineRule="auto"/>
              <w:jc w:val="right"/>
              <w:rPr>
                <w:rFonts w:ascii="Calibri" w:eastAsia="Times New Roman" w:hAnsi="Calibri" w:cs="Times New Roman"/>
                <w:color w:val="000000"/>
                <w:lang w:eastAsia="es-ES"/>
              </w:rPr>
            </w:pPr>
            <w:r w:rsidRPr="00EC507A">
              <w:rPr>
                <w:rFonts w:ascii="Calibri" w:eastAsia="Times New Roman" w:hAnsi="Calibri" w:cs="Times New Roman"/>
                <w:color w:val="000000"/>
                <w:lang w:eastAsia="es-ES"/>
              </w:rPr>
              <w:t>4</w:t>
            </w:r>
          </w:p>
        </w:tc>
        <w:tc>
          <w:tcPr>
            <w:tcW w:w="1169" w:type="dxa"/>
            <w:tcBorders>
              <w:top w:val="nil"/>
              <w:left w:val="nil"/>
              <w:bottom w:val="nil"/>
              <w:right w:val="nil"/>
            </w:tcBorders>
            <w:shd w:val="clear" w:color="000000" w:fill="B8CCE4"/>
            <w:noWrap/>
            <w:vAlign w:val="bottom"/>
            <w:hideMark/>
          </w:tcPr>
          <w:p w:rsidR="00EC507A" w:rsidRPr="00EC507A" w:rsidRDefault="00EC507A" w:rsidP="00EC507A">
            <w:pPr>
              <w:spacing w:after="0" w:line="240" w:lineRule="auto"/>
              <w:jc w:val="right"/>
              <w:rPr>
                <w:rFonts w:ascii="Calibri" w:eastAsia="Times New Roman" w:hAnsi="Calibri" w:cs="Times New Roman"/>
                <w:color w:val="000000"/>
                <w:lang w:eastAsia="es-ES"/>
              </w:rPr>
            </w:pPr>
            <w:r w:rsidRPr="00EC507A">
              <w:rPr>
                <w:rFonts w:ascii="Calibri" w:eastAsia="Times New Roman" w:hAnsi="Calibri" w:cs="Times New Roman"/>
                <w:color w:val="000000"/>
                <w:lang w:eastAsia="es-ES"/>
              </w:rPr>
              <w:t>5</w:t>
            </w:r>
          </w:p>
        </w:tc>
        <w:tc>
          <w:tcPr>
            <w:tcW w:w="1364" w:type="dxa"/>
            <w:tcBorders>
              <w:top w:val="nil"/>
              <w:left w:val="nil"/>
              <w:bottom w:val="single" w:sz="4" w:space="0" w:color="auto"/>
              <w:right w:val="single" w:sz="4" w:space="0" w:color="auto"/>
            </w:tcBorders>
            <w:shd w:val="clear" w:color="000000" w:fill="B8CCE4"/>
            <w:noWrap/>
            <w:vAlign w:val="bottom"/>
            <w:hideMark/>
          </w:tcPr>
          <w:p w:rsidR="00EC507A" w:rsidRPr="00EC507A" w:rsidRDefault="00EC507A" w:rsidP="00EC507A">
            <w:pPr>
              <w:spacing w:after="0" w:line="240" w:lineRule="auto"/>
              <w:jc w:val="center"/>
              <w:rPr>
                <w:rFonts w:ascii="Calibri" w:eastAsia="Times New Roman" w:hAnsi="Calibri" w:cs="Times New Roman"/>
                <w:b/>
                <w:bCs/>
                <w:color w:val="000000"/>
                <w:lang w:eastAsia="es-ES"/>
              </w:rPr>
            </w:pPr>
            <w:r w:rsidRPr="00EC507A">
              <w:rPr>
                <w:rFonts w:ascii="Calibri" w:eastAsia="Times New Roman" w:hAnsi="Calibri" w:cs="Times New Roman"/>
                <w:b/>
                <w:bCs/>
                <w:color w:val="000000"/>
                <w:lang w:eastAsia="es-ES"/>
              </w:rPr>
              <w:t>Total</w:t>
            </w:r>
          </w:p>
        </w:tc>
      </w:tr>
      <w:tr w:rsidR="00EC507A" w:rsidRPr="00EC507A" w:rsidTr="00EC507A">
        <w:trPr>
          <w:trHeight w:val="300"/>
          <w:jc w:val="center"/>
        </w:trPr>
        <w:tc>
          <w:tcPr>
            <w:tcW w:w="2294" w:type="dxa"/>
            <w:tcBorders>
              <w:top w:val="nil"/>
              <w:left w:val="single" w:sz="4" w:space="0" w:color="auto"/>
              <w:bottom w:val="single" w:sz="4" w:space="0" w:color="auto"/>
              <w:right w:val="single" w:sz="4" w:space="0" w:color="auto"/>
            </w:tcBorders>
            <w:shd w:val="clear" w:color="000000" w:fill="FFFFFF"/>
            <w:noWrap/>
            <w:vAlign w:val="bottom"/>
            <w:hideMark/>
          </w:tcPr>
          <w:p w:rsidR="00EC507A" w:rsidRPr="00EC507A" w:rsidRDefault="00EC507A" w:rsidP="00EC507A">
            <w:pPr>
              <w:spacing w:after="0" w:line="240" w:lineRule="auto"/>
              <w:ind w:firstLineChars="100" w:firstLine="221"/>
              <w:rPr>
                <w:rFonts w:ascii="Calibri" w:eastAsia="Times New Roman" w:hAnsi="Calibri" w:cs="Times New Roman"/>
                <w:b/>
                <w:bCs/>
                <w:color w:val="000000"/>
                <w:lang w:eastAsia="es-ES"/>
              </w:rPr>
            </w:pPr>
            <w:proofErr w:type="spellStart"/>
            <w:r w:rsidRPr="00EC507A">
              <w:rPr>
                <w:rFonts w:ascii="Calibri" w:eastAsia="Times New Roman" w:hAnsi="Calibri" w:cs="Times New Roman"/>
                <w:b/>
                <w:bCs/>
                <w:color w:val="000000"/>
                <w:lang w:eastAsia="es-ES"/>
              </w:rPr>
              <w:t>Preschool</w:t>
            </w:r>
            <w:proofErr w:type="spellEnd"/>
          </w:p>
        </w:tc>
        <w:tc>
          <w:tcPr>
            <w:tcW w:w="903" w:type="dxa"/>
            <w:tcBorders>
              <w:top w:val="single" w:sz="4" w:space="0" w:color="auto"/>
              <w:left w:val="nil"/>
              <w:bottom w:val="single" w:sz="4" w:space="0" w:color="auto"/>
              <w:right w:val="single" w:sz="4" w:space="0" w:color="auto"/>
            </w:tcBorders>
            <w:shd w:val="clear" w:color="auto" w:fill="auto"/>
            <w:noWrap/>
            <w:vAlign w:val="bottom"/>
            <w:hideMark/>
          </w:tcPr>
          <w:p w:rsidR="00EC507A" w:rsidRPr="00EC507A" w:rsidRDefault="00EC507A" w:rsidP="00EC507A">
            <w:pPr>
              <w:spacing w:after="0" w:line="240" w:lineRule="auto"/>
              <w:jc w:val="right"/>
              <w:rPr>
                <w:rFonts w:ascii="Calibri" w:eastAsia="Times New Roman" w:hAnsi="Calibri" w:cs="Times New Roman"/>
                <w:color w:val="000000"/>
                <w:lang w:eastAsia="es-ES"/>
              </w:rPr>
            </w:pPr>
            <w:r w:rsidRPr="00EC507A">
              <w:rPr>
                <w:rFonts w:ascii="Calibri" w:eastAsia="Times New Roman" w:hAnsi="Calibri" w:cs="Times New Roman"/>
                <w:color w:val="000000"/>
                <w:lang w:eastAsia="es-ES"/>
              </w:rPr>
              <w:t>1.82%</w:t>
            </w:r>
          </w:p>
        </w:tc>
        <w:tc>
          <w:tcPr>
            <w:tcW w:w="1169" w:type="dxa"/>
            <w:tcBorders>
              <w:top w:val="single" w:sz="4" w:space="0" w:color="auto"/>
              <w:left w:val="nil"/>
              <w:bottom w:val="single" w:sz="4" w:space="0" w:color="auto"/>
              <w:right w:val="single" w:sz="4" w:space="0" w:color="auto"/>
            </w:tcBorders>
            <w:shd w:val="clear" w:color="auto" w:fill="auto"/>
            <w:noWrap/>
            <w:vAlign w:val="bottom"/>
            <w:hideMark/>
          </w:tcPr>
          <w:p w:rsidR="00EC507A" w:rsidRPr="00EC507A" w:rsidRDefault="00EC507A" w:rsidP="00EC507A">
            <w:pPr>
              <w:spacing w:after="0" w:line="240" w:lineRule="auto"/>
              <w:jc w:val="right"/>
              <w:rPr>
                <w:rFonts w:ascii="Calibri" w:eastAsia="Times New Roman" w:hAnsi="Calibri" w:cs="Times New Roman"/>
                <w:color w:val="000000"/>
                <w:lang w:eastAsia="es-ES"/>
              </w:rPr>
            </w:pPr>
            <w:r w:rsidRPr="00EC507A">
              <w:rPr>
                <w:rFonts w:ascii="Calibri" w:eastAsia="Times New Roman" w:hAnsi="Calibri" w:cs="Times New Roman"/>
                <w:color w:val="000000"/>
                <w:lang w:eastAsia="es-ES"/>
              </w:rPr>
              <w:t>1.72%</w:t>
            </w:r>
          </w:p>
        </w:tc>
        <w:tc>
          <w:tcPr>
            <w:tcW w:w="1169" w:type="dxa"/>
            <w:tcBorders>
              <w:top w:val="single" w:sz="4" w:space="0" w:color="auto"/>
              <w:left w:val="nil"/>
              <w:bottom w:val="single" w:sz="4" w:space="0" w:color="auto"/>
              <w:right w:val="single" w:sz="4" w:space="0" w:color="auto"/>
            </w:tcBorders>
            <w:shd w:val="clear" w:color="auto" w:fill="auto"/>
            <w:noWrap/>
            <w:vAlign w:val="bottom"/>
            <w:hideMark/>
          </w:tcPr>
          <w:p w:rsidR="00EC507A" w:rsidRPr="00EC507A" w:rsidRDefault="00EC507A" w:rsidP="00EC507A">
            <w:pPr>
              <w:spacing w:after="0" w:line="240" w:lineRule="auto"/>
              <w:jc w:val="right"/>
              <w:rPr>
                <w:rFonts w:ascii="Calibri" w:eastAsia="Times New Roman" w:hAnsi="Calibri" w:cs="Times New Roman"/>
                <w:color w:val="000000"/>
                <w:lang w:eastAsia="es-ES"/>
              </w:rPr>
            </w:pPr>
            <w:r w:rsidRPr="00EC507A">
              <w:rPr>
                <w:rFonts w:ascii="Calibri" w:eastAsia="Times New Roman" w:hAnsi="Calibri" w:cs="Times New Roman"/>
                <w:color w:val="000000"/>
                <w:lang w:eastAsia="es-ES"/>
              </w:rPr>
              <w:t>1.54%</w:t>
            </w:r>
          </w:p>
        </w:tc>
        <w:tc>
          <w:tcPr>
            <w:tcW w:w="1169" w:type="dxa"/>
            <w:tcBorders>
              <w:top w:val="single" w:sz="4" w:space="0" w:color="auto"/>
              <w:left w:val="nil"/>
              <w:bottom w:val="single" w:sz="4" w:space="0" w:color="auto"/>
              <w:right w:val="single" w:sz="4" w:space="0" w:color="auto"/>
            </w:tcBorders>
            <w:shd w:val="clear" w:color="auto" w:fill="auto"/>
            <w:noWrap/>
            <w:vAlign w:val="bottom"/>
            <w:hideMark/>
          </w:tcPr>
          <w:p w:rsidR="00EC507A" w:rsidRPr="00EC507A" w:rsidRDefault="00EC507A" w:rsidP="00EC507A">
            <w:pPr>
              <w:spacing w:after="0" w:line="240" w:lineRule="auto"/>
              <w:jc w:val="right"/>
              <w:rPr>
                <w:rFonts w:ascii="Calibri" w:eastAsia="Times New Roman" w:hAnsi="Calibri" w:cs="Times New Roman"/>
                <w:color w:val="000000"/>
                <w:lang w:eastAsia="es-ES"/>
              </w:rPr>
            </w:pPr>
            <w:r w:rsidRPr="00EC507A">
              <w:rPr>
                <w:rFonts w:ascii="Calibri" w:eastAsia="Times New Roman" w:hAnsi="Calibri" w:cs="Times New Roman"/>
                <w:color w:val="000000"/>
                <w:lang w:eastAsia="es-ES"/>
              </w:rPr>
              <w:t>1.50%</w:t>
            </w:r>
          </w:p>
        </w:tc>
        <w:tc>
          <w:tcPr>
            <w:tcW w:w="1169" w:type="dxa"/>
            <w:tcBorders>
              <w:top w:val="single" w:sz="4" w:space="0" w:color="auto"/>
              <w:left w:val="nil"/>
              <w:bottom w:val="single" w:sz="4" w:space="0" w:color="auto"/>
              <w:right w:val="single" w:sz="4" w:space="0" w:color="auto"/>
            </w:tcBorders>
            <w:shd w:val="clear" w:color="auto" w:fill="auto"/>
            <w:noWrap/>
            <w:vAlign w:val="bottom"/>
            <w:hideMark/>
          </w:tcPr>
          <w:p w:rsidR="00EC507A" w:rsidRPr="00EC507A" w:rsidRDefault="00EC507A" w:rsidP="00EC507A">
            <w:pPr>
              <w:spacing w:after="0" w:line="240" w:lineRule="auto"/>
              <w:jc w:val="right"/>
              <w:rPr>
                <w:rFonts w:ascii="Calibri" w:eastAsia="Times New Roman" w:hAnsi="Calibri" w:cs="Times New Roman"/>
                <w:color w:val="000000"/>
                <w:lang w:eastAsia="es-ES"/>
              </w:rPr>
            </w:pPr>
            <w:r w:rsidRPr="00EC507A">
              <w:rPr>
                <w:rFonts w:ascii="Calibri" w:eastAsia="Times New Roman" w:hAnsi="Calibri" w:cs="Times New Roman"/>
                <w:color w:val="000000"/>
                <w:lang w:eastAsia="es-ES"/>
              </w:rPr>
              <w:t>1.26%</w:t>
            </w:r>
          </w:p>
        </w:tc>
        <w:tc>
          <w:tcPr>
            <w:tcW w:w="1364" w:type="dxa"/>
            <w:tcBorders>
              <w:top w:val="nil"/>
              <w:left w:val="nil"/>
              <w:bottom w:val="single" w:sz="4" w:space="0" w:color="auto"/>
              <w:right w:val="single" w:sz="4" w:space="0" w:color="auto"/>
            </w:tcBorders>
            <w:shd w:val="clear" w:color="auto" w:fill="auto"/>
            <w:noWrap/>
            <w:vAlign w:val="bottom"/>
            <w:hideMark/>
          </w:tcPr>
          <w:p w:rsidR="00EC507A" w:rsidRPr="00EC507A" w:rsidRDefault="00EC507A" w:rsidP="00EC507A">
            <w:pPr>
              <w:spacing w:after="0" w:line="240" w:lineRule="auto"/>
              <w:jc w:val="right"/>
              <w:rPr>
                <w:rFonts w:ascii="Calibri" w:eastAsia="Times New Roman" w:hAnsi="Calibri" w:cs="Times New Roman"/>
                <w:color w:val="000000"/>
                <w:lang w:eastAsia="es-ES"/>
              </w:rPr>
            </w:pPr>
            <w:r w:rsidRPr="00EC507A">
              <w:rPr>
                <w:rFonts w:ascii="Calibri" w:eastAsia="Times New Roman" w:hAnsi="Calibri" w:cs="Times New Roman"/>
                <w:color w:val="000000"/>
                <w:lang w:eastAsia="es-ES"/>
              </w:rPr>
              <w:t>7.84%</w:t>
            </w:r>
          </w:p>
        </w:tc>
      </w:tr>
      <w:tr w:rsidR="00EC507A" w:rsidRPr="00EC507A" w:rsidTr="00EC507A">
        <w:trPr>
          <w:trHeight w:val="300"/>
          <w:jc w:val="center"/>
        </w:trPr>
        <w:tc>
          <w:tcPr>
            <w:tcW w:w="2294" w:type="dxa"/>
            <w:tcBorders>
              <w:top w:val="nil"/>
              <w:left w:val="single" w:sz="4" w:space="0" w:color="auto"/>
              <w:bottom w:val="single" w:sz="4" w:space="0" w:color="auto"/>
              <w:right w:val="single" w:sz="4" w:space="0" w:color="auto"/>
            </w:tcBorders>
            <w:shd w:val="clear" w:color="000000" w:fill="FFFFFF"/>
            <w:noWrap/>
            <w:vAlign w:val="bottom"/>
            <w:hideMark/>
          </w:tcPr>
          <w:p w:rsidR="00EC507A" w:rsidRPr="00EC507A" w:rsidRDefault="00EC507A" w:rsidP="00EC507A">
            <w:pPr>
              <w:spacing w:after="0" w:line="240" w:lineRule="auto"/>
              <w:ind w:firstLineChars="100" w:firstLine="221"/>
              <w:rPr>
                <w:rFonts w:ascii="Calibri" w:eastAsia="Times New Roman" w:hAnsi="Calibri" w:cs="Times New Roman"/>
                <w:b/>
                <w:bCs/>
                <w:color w:val="000000"/>
                <w:lang w:eastAsia="es-ES"/>
              </w:rPr>
            </w:pPr>
            <w:proofErr w:type="spellStart"/>
            <w:r w:rsidRPr="00EC507A">
              <w:rPr>
                <w:rFonts w:ascii="Calibri" w:eastAsia="Times New Roman" w:hAnsi="Calibri" w:cs="Times New Roman"/>
                <w:b/>
                <w:bCs/>
                <w:color w:val="000000"/>
                <w:lang w:eastAsia="es-ES"/>
              </w:rPr>
              <w:t>Primary</w:t>
            </w:r>
            <w:proofErr w:type="spellEnd"/>
          </w:p>
        </w:tc>
        <w:tc>
          <w:tcPr>
            <w:tcW w:w="903" w:type="dxa"/>
            <w:tcBorders>
              <w:top w:val="nil"/>
              <w:left w:val="nil"/>
              <w:bottom w:val="single" w:sz="4" w:space="0" w:color="auto"/>
              <w:right w:val="single" w:sz="4" w:space="0" w:color="auto"/>
            </w:tcBorders>
            <w:shd w:val="clear" w:color="auto" w:fill="auto"/>
            <w:noWrap/>
            <w:vAlign w:val="bottom"/>
            <w:hideMark/>
          </w:tcPr>
          <w:p w:rsidR="00EC507A" w:rsidRPr="00EC507A" w:rsidRDefault="00EC507A" w:rsidP="00EC507A">
            <w:pPr>
              <w:spacing w:after="0" w:line="240" w:lineRule="auto"/>
              <w:jc w:val="right"/>
              <w:rPr>
                <w:rFonts w:ascii="Calibri" w:eastAsia="Times New Roman" w:hAnsi="Calibri" w:cs="Times New Roman"/>
                <w:color w:val="000000"/>
                <w:lang w:eastAsia="es-ES"/>
              </w:rPr>
            </w:pPr>
            <w:r w:rsidRPr="00EC507A">
              <w:rPr>
                <w:rFonts w:ascii="Calibri" w:eastAsia="Times New Roman" w:hAnsi="Calibri" w:cs="Times New Roman"/>
                <w:color w:val="000000"/>
                <w:lang w:eastAsia="es-ES"/>
              </w:rPr>
              <w:t>9.93%</w:t>
            </w:r>
          </w:p>
        </w:tc>
        <w:tc>
          <w:tcPr>
            <w:tcW w:w="1169" w:type="dxa"/>
            <w:tcBorders>
              <w:top w:val="nil"/>
              <w:left w:val="nil"/>
              <w:bottom w:val="single" w:sz="4" w:space="0" w:color="auto"/>
              <w:right w:val="single" w:sz="4" w:space="0" w:color="auto"/>
            </w:tcBorders>
            <w:shd w:val="clear" w:color="auto" w:fill="auto"/>
            <w:noWrap/>
            <w:vAlign w:val="bottom"/>
            <w:hideMark/>
          </w:tcPr>
          <w:p w:rsidR="00EC507A" w:rsidRPr="00EC507A" w:rsidRDefault="00EC507A" w:rsidP="00EC507A">
            <w:pPr>
              <w:spacing w:after="0" w:line="240" w:lineRule="auto"/>
              <w:jc w:val="right"/>
              <w:rPr>
                <w:rFonts w:ascii="Calibri" w:eastAsia="Times New Roman" w:hAnsi="Calibri" w:cs="Times New Roman"/>
                <w:color w:val="000000"/>
                <w:lang w:eastAsia="es-ES"/>
              </w:rPr>
            </w:pPr>
            <w:r w:rsidRPr="00EC507A">
              <w:rPr>
                <w:rFonts w:ascii="Calibri" w:eastAsia="Times New Roman" w:hAnsi="Calibri" w:cs="Times New Roman"/>
                <w:color w:val="000000"/>
                <w:lang w:eastAsia="es-ES"/>
              </w:rPr>
              <w:t>9.22%</w:t>
            </w:r>
          </w:p>
        </w:tc>
        <w:tc>
          <w:tcPr>
            <w:tcW w:w="1169" w:type="dxa"/>
            <w:tcBorders>
              <w:top w:val="nil"/>
              <w:left w:val="nil"/>
              <w:bottom w:val="single" w:sz="4" w:space="0" w:color="auto"/>
              <w:right w:val="single" w:sz="4" w:space="0" w:color="auto"/>
            </w:tcBorders>
            <w:shd w:val="clear" w:color="auto" w:fill="auto"/>
            <w:noWrap/>
            <w:vAlign w:val="bottom"/>
            <w:hideMark/>
          </w:tcPr>
          <w:p w:rsidR="00EC507A" w:rsidRPr="00EC507A" w:rsidRDefault="00EC507A" w:rsidP="00EC507A">
            <w:pPr>
              <w:spacing w:after="0" w:line="240" w:lineRule="auto"/>
              <w:jc w:val="right"/>
              <w:rPr>
                <w:rFonts w:ascii="Calibri" w:eastAsia="Times New Roman" w:hAnsi="Calibri" w:cs="Times New Roman"/>
                <w:color w:val="000000"/>
                <w:lang w:eastAsia="es-ES"/>
              </w:rPr>
            </w:pPr>
            <w:r w:rsidRPr="00EC507A">
              <w:rPr>
                <w:rFonts w:ascii="Calibri" w:eastAsia="Times New Roman" w:hAnsi="Calibri" w:cs="Times New Roman"/>
                <w:color w:val="000000"/>
                <w:lang w:eastAsia="es-ES"/>
              </w:rPr>
              <w:t>8.32%</w:t>
            </w:r>
          </w:p>
        </w:tc>
        <w:tc>
          <w:tcPr>
            <w:tcW w:w="1169" w:type="dxa"/>
            <w:tcBorders>
              <w:top w:val="nil"/>
              <w:left w:val="nil"/>
              <w:bottom w:val="single" w:sz="4" w:space="0" w:color="auto"/>
              <w:right w:val="single" w:sz="4" w:space="0" w:color="auto"/>
            </w:tcBorders>
            <w:shd w:val="clear" w:color="auto" w:fill="auto"/>
            <w:noWrap/>
            <w:vAlign w:val="bottom"/>
            <w:hideMark/>
          </w:tcPr>
          <w:p w:rsidR="00EC507A" w:rsidRPr="00EC507A" w:rsidRDefault="00EC507A" w:rsidP="00EC507A">
            <w:pPr>
              <w:spacing w:after="0" w:line="240" w:lineRule="auto"/>
              <w:jc w:val="right"/>
              <w:rPr>
                <w:rFonts w:ascii="Calibri" w:eastAsia="Times New Roman" w:hAnsi="Calibri" w:cs="Times New Roman"/>
                <w:color w:val="000000"/>
                <w:lang w:eastAsia="es-ES"/>
              </w:rPr>
            </w:pPr>
            <w:r w:rsidRPr="00EC507A">
              <w:rPr>
                <w:rFonts w:ascii="Calibri" w:eastAsia="Times New Roman" w:hAnsi="Calibri" w:cs="Times New Roman"/>
                <w:color w:val="000000"/>
                <w:lang w:eastAsia="es-ES"/>
              </w:rPr>
              <w:t>7.74%</w:t>
            </w:r>
          </w:p>
        </w:tc>
        <w:tc>
          <w:tcPr>
            <w:tcW w:w="1169" w:type="dxa"/>
            <w:tcBorders>
              <w:top w:val="nil"/>
              <w:left w:val="nil"/>
              <w:bottom w:val="single" w:sz="4" w:space="0" w:color="auto"/>
              <w:right w:val="single" w:sz="4" w:space="0" w:color="auto"/>
            </w:tcBorders>
            <w:shd w:val="clear" w:color="auto" w:fill="auto"/>
            <w:noWrap/>
            <w:vAlign w:val="bottom"/>
            <w:hideMark/>
          </w:tcPr>
          <w:p w:rsidR="00EC507A" w:rsidRPr="00EC507A" w:rsidRDefault="00EC507A" w:rsidP="00EC507A">
            <w:pPr>
              <w:spacing w:after="0" w:line="240" w:lineRule="auto"/>
              <w:jc w:val="right"/>
              <w:rPr>
                <w:rFonts w:ascii="Calibri" w:eastAsia="Times New Roman" w:hAnsi="Calibri" w:cs="Times New Roman"/>
                <w:color w:val="000000"/>
                <w:lang w:eastAsia="es-ES"/>
              </w:rPr>
            </w:pPr>
            <w:r w:rsidRPr="00EC507A">
              <w:rPr>
                <w:rFonts w:ascii="Calibri" w:eastAsia="Times New Roman" w:hAnsi="Calibri" w:cs="Times New Roman"/>
                <w:color w:val="000000"/>
                <w:lang w:eastAsia="es-ES"/>
              </w:rPr>
              <w:t>5.99%</w:t>
            </w:r>
          </w:p>
        </w:tc>
        <w:tc>
          <w:tcPr>
            <w:tcW w:w="1364" w:type="dxa"/>
            <w:tcBorders>
              <w:top w:val="nil"/>
              <w:left w:val="nil"/>
              <w:bottom w:val="single" w:sz="4" w:space="0" w:color="auto"/>
              <w:right w:val="single" w:sz="4" w:space="0" w:color="auto"/>
            </w:tcBorders>
            <w:shd w:val="clear" w:color="auto" w:fill="auto"/>
            <w:noWrap/>
            <w:vAlign w:val="bottom"/>
            <w:hideMark/>
          </w:tcPr>
          <w:p w:rsidR="00EC507A" w:rsidRPr="00EC507A" w:rsidRDefault="00EC507A" w:rsidP="00EC507A">
            <w:pPr>
              <w:spacing w:after="0" w:line="240" w:lineRule="auto"/>
              <w:jc w:val="right"/>
              <w:rPr>
                <w:rFonts w:ascii="Calibri" w:eastAsia="Times New Roman" w:hAnsi="Calibri" w:cs="Times New Roman"/>
                <w:color w:val="000000"/>
                <w:lang w:eastAsia="es-ES"/>
              </w:rPr>
            </w:pPr>
            <w:r w:rsidRPr="00EC507A">
              <w:rPr>
                <w:rFonts w:ascii="Calibri" w:eastAsia="Times New Roman" w:hAnsi="Calibri" w:cs="Times New Roman"/>
                <w:color w:val="000000"/>
                <w:lang w:eastAsia="es-ES"/>
              </w:rPr>
              <w:t>41.20%</w:t>
            </w:r>
          </w:p>
        </w:tc>
      </w:tr>
      <w:tr w:rsidR="00EC507A" w:rsidRPr="00EC507A" w:rsidTr="00EC507A">
        <w:trPr>
          <w:trHeight w:val="300"/>
          <w:jc w:val="center"/>
        </w:trPr>
        <w:tc>
          <w:tcPr>
            <w:tcW w:w="2294" w:type="dxa"/>
            <w:tcBorders>
              <w:top w:val="nil"/>
              <w:left w:val="single" w:sz="4" w:space="0" w:color="auto"/>
              <w:bottom w:val="single" w:sz="4" w:space="0" w:color="auto"/>
              <w:right w:val="single" w:sz="4" w:space="0" w:color="auto"/>
            </w:tcBorders>
            <w:shd w:val="clear" w:color="000000" w:fill="FFFFFF"/>
            <w:noWrap/>
            <w:vAlign w:val="bottom"/>
            <w:hideMark/>
          </w:tcPr>
          <w:p w:rsidR="00EC507A" w:rsidRPr="00EC507A" w:rsidRDefault="00EC507A" w:rsidP="00EC507A">
            <w:pPr>
              <w:spacing w:after="0" w:line="240" w:lineRule="auto"/>
              <w:ind w:firstLineChars="100" w:firstLine="221"/>
              <w:rPr>
                <w:rFonts w:ascii="Calibri" w:eastAsia="Times New Roman" w:hAnsi="Calibri" w:cs="Times New Roman"/>
                <w:b/>
                <w:bCs/>
                <w:color w:val="000000"/>
                <w:lang w:eastAsia="es-ES"/>
              </w:rPr>
            </w:pPr>
            <w:proofErr w:type="spellStart"/>
            <w:r w:rsidRPr="00EC507A">
              <w:rPr>
                <w:rFonts w:ascii="Calibri" w:eastAsia="Times New Roman" w:hAnsi="Calibri" w:cs="Times New Roman"/>
                <w:b/>
                <w:bCs/>
                <w:color w:val="000000"/>
                <w:lang w:eastAsia="es-ES"/>
              </w:rPr>
              <w:t>Secondary</w:t>
            </w:r>
            <w:proofErr w:type="spellEnd"/>
          </w:p>
        </w:tc>
        <w:tc>
          <w:tcPr>
            <w:tcW w:w="903" w:type="dxa"/>
            <w:tcBorders>
              <w:top w:val="nil"/>
              <w:left w:val="nil"/>
              <w:bottom w:val="single" w:sz="4" w:space="0" w:color="auto"/>
              <w:right w:val="single" w:sz="4" w:space="0" w:color="auto"/>
            </w:tcBorders>
            <w:shd w:val="clear" w:color="auto" w:fill="auto"/>
            <w:noWrap/>
            <w:vAlign w:val="bottom"/>
            <w:hideMark/>
          </w:tcPr>
          <w:p w:rsidR="00EC507A" w:rsidRPr="00EC507A" w:rsidRDefault="00EC507A" w:rsidP="00EC507A">
            <w:pPr>
              <w:spacing w:after="0" w:line="240" w:lineRule="auto"/>
              <w:jc w:val="right"/>
              <w:rPr>
                <w:rFonts w:ascii="Calibri" w:eastAsia="Times New Roman" w:hAnsi="Calibri" w:cs="Times New Roman"/>
                <w:color w:val="000000"/>
                <w:lang w:eastAsia="es-ES"/>
              </w:rPr>
            </w:pPr>
            <w:r w:rsidRPr="00EC507A">
              <w:rPr>
                <w:rFonts w:ascii="Calibri" w:eastAsia="Times New Roman" w:hAnsi="Calibri" w:cs="Times New Roman"/>
                <w:color w:val="000000"/>
                <w:lang w:eastAsia="es-ES"/>
              </w:rPr>
              <w:t>4.66%</w:t>
            </w:r>
          </w:p>
        </w:tc>
        <w:tc>
          <w:tcPr>
            <w:tcW w:w="1169" w:type="dxa"/>
            <w:tcBorders>
              <w:top w:val="nil"/>
              <w:left w:val="nil"/>
              <w:bottom w:val="single" w:sz="4" w:space="0" w:color="auto"/>
              <w:right w:val="single" w:sz="4" w:space="0" w:color="auto"/>
            </w:tcBorders>
            <w:shd w:val="clear" w:color="auto" w:fill="auto"/>
            <w:noWrap/>
            <w:vAlign w:val="bottom"/>
            <w:hideMark/>
          </w:tcPr>
          <w:p w:rsidR="00EC507A" w:rsidRPr="00EC507A" w:rsidRDefault="00EC507A" w:rsidP="00EC507A">
            <w:pPr>
              <w:spacing w:after="0" w:line="240" w:lineRule="auto"/>
              <w:jc w:val="right"/>
              <w:rPr>
                <w:rFonts w:ascii="Calibri" w:eastAsia="Times New Roman" w:hAnsi="Calibri" w:cs="Times New Roman"/>
                <w:color w:val="000000"/>
                <w:lang w:eastAsia="es-ES"/>
              </w:rPr>
            </w:pPr>
            <w:r w:rsidRPr="00EC507A">
              <w:rPr>
                <w:rFonts w:ascii="Calibri" w:eastAsia="Times New Roman" w:hAnsi="Calibri" w:cs="Times New Roman"/>
                <w:color w:val="000000"/>
                <w:lang w:eastAsia="es-ES"/>
              </w:rPr>
              <w:t>5.68%</w:t>
            </w:r>
          </w:p>
        </w:tc>
        <w:tc>
          <w:tcPr>
            <w:tcW w:w="1169" w:type="dxa"/>
            <w:tcBorders>
              <w:top w:val="nil"/>
              <w:left w:val="nil"/>
              <w:bottom w:val="single" w:sz="4" w:space="0" w:color="auto"/>
              <w:right w:val="single" w:sz="4" w:space="0" w:color="auto"/>
            </w:tcBorders>
            <w:shd w:val="clear" w:color="auto" w:fill="auto"/>
            <w:noWrap/>
            <w:vAlign w:val="bottom"/>
            <w:hideMark/>
          </w:tcPr>
          <w:p w:rsidR="00EC507A" w:rsidRPr="00EC507A" w:rsidRDefault="00EC507A" w:rsidP="00EC507A">
            <w:pPr>
              <w:spacing w:after="0" w:line="240" w:lineRule="auto"/>
              <w:jc w:val="right"/>
              <w:rPr>
                <w:rFonts w:ascii="Calibri" w:eastAsia="Times New Roman" w:hAnsi="Calibri" w:cs="Times New Roman"/>
                <w:color w:val="000000"/>
                <w:lang w:eastAsia="es-ES"/>
              </w:rPr>
            </w:pPr>
            <w:r w:rsidRPr="00EC507A">
              <w:rPr>
                <w:rFonts w:ascii="Calibri" w:eastAsia="Times New Roman" w:hAnsi="Calibri" w:cs="Times New Roman"/>
                <w:color w:val="000000"/>
                <w:lang w:eastAsia="es-ES"/>
              </w:rPr>
              <w:t>6.56%</w:t>
            </w:r>
          </w:p>
        </w:tc>
        <w:tc>
          <w:tcPr>
            <w:tcW w:w="1169" w:type="dxa"/>
            <w:tcBorders>
              <w:top w:val="nil"/>
              <w:left w:val="nil"/>
              <w:bottom w:val="single" w:sz="4" w:space="0" w:color="auto"/>
              <w:right w:val="single" w:sz="4" w:space="0" w:color="auto"/>
            </w:tcBorders>
            <w:shd w:val="clear" w:color="auto" w:fill="auto"/>
            <w:noWrap/>
            <w:vAlign w:val="bottom"/>
            <w:hideMark/>
          </w:tcPr>
          <w:p w:rsidR="00EC507A" w:rsidRPr="00EC507A" w:rsidRDefault="00EC507A" w:rsidP="00EC507A">
            <w:pPr>
              <w:spacing w:after="0" w:line="240" w:lineRule="auto"/>
              <w:jc w:val="right"/>
              <w:rPr>
                <w:rFonts w:ascii="Calibri" w:eastAsia="Times New Roman" w:hAnsi="Calibri" w:cs="Times New Roman"/>
                <w:color w:val="000000"/>
                <w:lang w:eastAsia="es-ES"/>
              </w:rPr>
            </w:pPr>
            <w:r w:rsidRPr="00EC507A">
              <w:rPr>
                <w:rFonts w:ascii="Calibri" w:eastAsia="Times New Roman" w:hAnsi="Calibri" w:cs="Times New Roman"/>
                <w:color w:val="000000"/>
                <w:lang w:eastAsia="es-ES"/>
              </w:rPr>
              <w:t>6.73%</w:t>
            </w:r>
          </w:p>
        </w:tc>
        <w:tc>
          <w:tcPr>
            <w:tcW w:w="1169" w:type="dxa"/>
            <w:tcBorders>
              <w:top w:val="nil"/>
              <w:left w:val="nil"/>
              <w:bottom w:val="single" w:sz="4" w:space="0" w:color="auto"/>
              <w:right w:val="single" w:sz="4" w:space="0" w:color="auto"/>
            </w:tcBorders>
            <w:shd w:val="clear" w:color="auto" w:fill="auto"/>
            <w:noWrap/>
            <w:vAlign w:val="bottom"/>
            <w:hideMark/>
          </w:tcPr>
          <w:p w:rsidR="00EC507A" w:rsidRPr="00EC507A" w:rsidRDefault="00EC507A" w:rsidP="00EC507A">
            <w:pPr>
              <w:spacing w:after="0" w:line="240" w:lineRule="auto"/>
              <w:jc w:val="right"/>
              <w:rPr>
                <w:rFonts w:ascii="Calibri" w:eastAsia="Times New Roman" w:hAnsi="Calibri" w:cs="Times New Roman"/>
                <w:color w:val="000000"/>
                <w:lang w:eastAsia="es-ES"/>
              </w:rPr>
            </w:pPr>
            <w:r w:rsidRPr="00EC507A">
              <w:rPr>
                <w:rFonts w:ascii="Calibri" w:eastAsia="Times New Roman" w:hAnsi="Calibri" w:cs="Times New Roman"/>
                <w:color w:val="000000"/>
                <w:lang w:eastAsia="es-ES"/>
              </w:rPr>
              <w:t>6.18%</w:t>
            </w:r>
          </w:p>
        </w:tc>
        <w:tc>
          <w:tcPr>
            <w:tcW w:w="1364" w:type="dxa"/>
            <w:tcBorders>
              <w:top w:val="nil"/>
              <w:left w:val="nil"/>
              <w:bottom w:val="single" w:sz="4" w:space="0" w:color="auto"/>
              <w:right w:val="single" w:sz="4" w:space="0" w:color="auto"/>
            </w:tcBorders>
            <w:shd w:val="clear" w:color="auto" w:fill="auto"/>
            <w:noWrap/>
            <w:vAlign w:val="bottom"/>
            <w:hideMark/>
          </w:tcPr>
          <w:p w:rsidR="00EC507A" w:rsidRPr="00EC507A" w:rsidRDefault="00EC507A" w:rsidP="00EC507A">
            <w:pPr>
              <w:spacing w:after="0" w:line="240" w:lineRule="auto"/>
              <w:jc w:val="right"/>
              <w:rPr>
                <w:rFonts w:ascii="Calibri" w:eastAsia="Times New Roman" w:hAnsi="Calibri" w:cs="Times New Roman"/>
                <w:color w:val="000000"/>
                <w:lang w:eastAsia="es-ES"/>
              </w:rPr>
            </w:pPr>
            <w:r w:rsidRPr="00EC507A">
              <w:rPr>
                <w:rFonts w:ascii="Calibri" w:eastAsia="Times New Roman" w:hAnsi="Calibri" w:cs="Times New Roman"/>
                <w:color w:val="000000"/>
                <w:lang w:eastAsia="es-ES"/>
              </w:rPr>
              <w:t>29.80%</w:t>
            </w:r>
          </w:p>
        </w:tc>
      </w:tr>
      <w:tr w:rsidR="00EC507A" w:rsidRPr="00EC507A" w:rsidTr="00EC507A">
        <w:trPr>
          <w:trHeight w:val="315"/>
          <w:jc w:val="center"/>
        </w:trPr>
        <w:tc>
          <w:tcPr>
            <w:tcW w:w="2294" w:type="dxa"/>
            <w:tcBorders>
              <w:top w:val="nil"/>
              <w:left w:val="single" w:sz="4" w:space="0" w:color="auto"/>
              <w:bottom w:val="double" w:sz="6" w:space="0" w:color="auto"/>
              <w:right w:val="single" w:sz="4" w:space="0" w:color="auto"/>
            </w:tcBorders>
            <w:shd w:val="clear" w:color="000000" w:fill="FFFFFF"/>
            <w:noWrap/>
            <w:vAlign w:val="bottom"/>
            <w:hideMark/>
          </w:tcPr>
          <w:p w:rsidR="00EC507A" w:rsidRPr="00EC507A" w:rsidRDefault="00EC507A" w:rsidP="00EC507A">
            <w:pPr>
              <w:spacing w:after="0" w:line="240" w:lineRule="auto"/>
              <w:ind w:firstLineChars="100" w:firstLine="221"/>
              <w:rPr>
                <w:rFonts w:ascii="Calibri" w:eastAsia="Times New Roman" w:hAnsi="Calibri" w:cs="Times New Roman"/>
                <w:b/>
                <w:bCs/>
                <w:color w:val="000000"/>
                <w:lang w:eastAsia="es-ES"/>
              </w:rPr>
            </w:pPr>
            <w:proofErr w:type="spellStart"/>
            <w:r w:rsidRPr="00EC507A">
              <w:rPr>
                <w:rFonts w:ascii="Calibri" w:eastAsia="Times New Roman" w:hAnsi="Calibri" w:cs="Times New Roman"/>
                <w:b/>
                <w:bCs/>
                <w:color w:val="000000"/>
                <w:lang w:eastAsia="es-ES"/>
              </w:rPr>
              <w:t>Tertiary</w:t>
            </w:r>
            <w:proofErr w:type="spellEnd"/>
            <w:r w:rsidRPr="00EC507A">
              <w:rPr>
                <w:rFonts w:ascii="Calibri" w:eastAsia="Times New Roman" w:hAnsi="Calibri" w:cs="Times New Roman"/>
                <w:b/>
                <w:bCs/>
                <w:color w:val="000000"/>
                <w:lang w:eastAsia="es-ES"/>
              </w:rPr>
              <w:t>/</w:t>
            </w:r>
            <w:proofErr w:type="spellStart"/>
            <w:r w:rsidRPr="00EC507A">
              <w:rPr>
                <w:rFonts w:ascii="Calibri" w:eastAsia="Times New Roman" w:hAnsi="Calibri" w:cs="Times New Roman"/>
                <w:b/>
                <w:bCs/>
                <w:color w:val="000000"/>
                <w:lang w:eastAsia="es-ES"/>
              </w:rPr>
              <w:t>University</w:t>
            </w:r>
            <w:proofErr w:type="spellEnd"/>
          </w:p>
        </w:tc>
        <w:tc>
          <w:tcPr>
            <w:tcW w:w="903" w:type="dxa"/>
            <w:tcBorders>
              <w:top w:val="nil"/>
              <w:left w:val="nil"/>
              <w:bottom w:val="double" w:sz="6" w:space="0" w:color="auto"/>
              <w:right w:val="single" w:sz="4" w:space="0" w:color="auto"/>
            </w:tcBorders>
            <w:shd w:val="clear" w:color="auto" w:fill="auto"/>
            <w:noWrap/>
            <w:vAlign w:val="bottom"/>
            <w:hideMark/>
          </w:tcPr>
          <w:p w:rsidR="00EC507A" w:rsidRPr="00EC507A" w:rsidRDefault="00EC507A" w:rsidP="00EC507A">
            <w:pPr>
              <w:spacing w:after="0" w:line="240" w:lineRule="auto"/>
              <w:jc w:val="right"/>
              <w:rPr>
                <w:rFonts w:ascii="Calibri" w:eastAsia="Times New Roman" w:hAnsi="Calibri" w:cs="Times New Roman"/>
                <w:color w:val="000000"/>
                <w:lang w:eastAsia="es-ES"/>
              </w:rPr>
            </w:pPr>
            <w:r w:rsidRPr="00EC507A">
              <w:rPr>
                <w:rFonts w:ascii="Calibri" w:eastAsia="Times New Roman" w:hAnsi="Calibri" w:cs="Times New Roman"/>
                <w:color w:val="000000"/>
                <w:lang w:eastAsia="es-ES"/>
              </w:rPr>
              <w:t>1.04%</w:t>
            </w:r>
          </w:p>
        </w:tc>
        <w:tc>
          <w:tcPr>
            <w:tcW w:w="1169" w:type="dxa"/>
            <w:tcBorders>
              <w:top w:val="nil"/>
              <w:left w:val="nil"/>
              <w:bottom w:val="double" w:sz="6" w:space="0" w:color="auto"/>
              <w:right w:val="single" w:sz="4" w:space="0" w:color="auto"/>
            </w:tcBorders>
            <w:shd w:val="clear" w:color="auto" w:fill="auto"/>
            <w:noWrap/>
            <w:vAlign w:val="bottom"/>
            <w:hideMark/>
          </w:tcPr>
          <w:p w:rsidR="00EC507A" w:rsidRPr="00EC507A" w:rsidRDefault="00EC507A" w:rsidP="00EC507A">
            <w:pPr>
              <w:spacing w:after="0" w:line="240" w:lineRule="auto"/>
              <w:jc w:val="right"/>
              <w:rPr>
                <w:rFonts w:ascii="Calibri" w:eastAsia="Times New Roman" w:hAnsi="Calibri" w:cs="Times New Roman"/>
                <w:color w:val="000000"/>
                <w:lang w:eastAsia="es-ES"/>
              </w:rPr>
            </w:pPr>
            <w:r w:rsidRPr="00EC507A">
              <w:rPr>
                <w:rFonts w:ascii="Calibri" w:eastAsia="Times New Roman" w:hAnsi="Calibri" w:cs="Times New Roman"/>
                <w:color w:val="000000"/>
                <w:lang w:eastAsia="es-ES"/>
              </w:rPr>
              <w:t>1.85%</w:t>
            </w:r>
          </w:p>
        </w:tc>
        <w:tc>
          <w:tcPr>
            <w:tcW w:w="1169" w:type="dxa"/>
            <w:tcBorders>
              <w:top w:val="nil"/>
              <w:left w:val="nil"/>
              <w:bottom w:val="double" w:sz="6" w:space="0" w:color="auto"/>
              <w:right w:val="single" w:sz="4" w:space="0" w:color="auto"/>
            </w:tcBorders>
            <w:shd w:val="clear" w:color="auto" w:fill="auto"/>
            <w:noWrap/>
            <w:vAlign w:val="bottom"/>
            <w:hideMark/>
          </w:tcPr>
          <w:p w:rsidR="00EC507A" w:rsidRPr="00EC507A" w:rsidRDefault="00EC507A" w:rsidP="00EC507A">
            <w:pPr>
              <w:spacing w:after="0" w:line="240" w:lineRule="auto"/>
              <w:jc w:val="right"/>
              <w:rPr>
                <w:rFonts w:ascii="Calibri" w:eastAsia="Times New Roman" w:hAnsi="Calibri" w:cs="Times New Roman"/>
                <w:color w:val="000000"/>
                <w:lang w:eastAsia="es-ES"/>
              </w:rPr>
            </w:pPr>
            <w:r w:rsidRPr="00EC507A">
              <w:rPr>
                <w:rFonts w:ascii="Calibri" w:eastAsia="Times New Roman" w:hAnsi="Calibri" w:cs="Times New Roman"/>
                <w:color w:val="000000"/>
                <w:lang w:eastAsia="es-ES"/>
              </w:rPr>
              <w:t>2.55%</w:t>
            </w:r>
          </w:p>
        </w:tc>
        <w:tc>
          <w:tcPr>
            <w:tcW w:w="1169" w:type="dxa"/>
            <w:tcBorders>
              <w:top w:val="nil"/>
              <w:left w:val="nil"/>
              <w:bottom w:val="double" w:sz="6" w:space="0" w:color="auto"/>
              <w:right w:val="single" w:sz="4" w:space="0" w:color="auto"/>
            </w:tcBorders>
            <w:shd w:val="clear" w:color="auto" w:fill="auto"/>
            <w:noWrap/>
            <w:vAlign w:val="bottom"/>
            <w:hideMark/>
          </w:tcPr>
          <w:p w:rsidR="00EC507A" w:rsidRPr="00EC507A" w:rsidRDefault="00EC507A" w:rsidP="00EC507A">
            <w:pPr>
              <w:spacing w:after="0" w:line="240" w:lineRule="auto"/>
              <w:jc w:val="right"/>
              <w:rPr>
                <w:rFonts w:ascii="Calibri" w:eastAsia="Times New Roman" w:hAnsi="Calibri" w:cs="Times New Roman"/>
                <w:color w:val="000000"/>
                <w:lang w:eastAsia="es-ES"/>
              </w:rPr>
            </w:pPr>
            <w:r w:rsidRPr="00EC507A">
              <w:rPr>
                <w:rFonts w:ascii="Calibri" w:eastAsia="Times New Roman" w:hAnsi="Calibri" w:cs="Times New Roman"/>
                <w:color w:val="000000"/>
                <w:lang w:eastAsia="es-ES"/>
              </w:rPr>
              <w:t>5.29%</w:t>
            </w:r>
          </w:p>
        </w:tc>
        <w:tc>
          <w:tcPr>
            <w:tcW w:w="1169" w:type="dxa"/>
            <w:tcBorders>
              <w:top w:val="nil"/>
              <w:left w:val="nil"/>
              <w:bottom w:val="double" w:sz="6" w:space="0" w:color="auto"/>
              <w:right w:val="single" w:sz="4" w:space="0" w:color="auto"/>
            </w:tcBorders>
            <w:shd w:val="clear" w:color="auto" w:fill="auto"/>
            <w:noWrap/>
            <w:vAlign w:val="bottom"/>
            <w:hideMark/>
          </w:tcPr>
          <w:p w:rsidR="00EC507A" w:rsidRPr="00EC507A" w:rsidRDefault="00EC507A" w:rsidP="00EC507A">
            <w:pPr>
              <w:spacing w:after="0" w:line="240" w:lineRule="auto"/>
              <w:jc w:val="right"/>
              <w:rPr>
                <w:rFonts w:ascii="Calibri" w:eastAsia="Times New Roman" w:hAnsi="Calibri" w:cs="Times New Roman"/>
                <w:color w:val="000000"/>
                <w:lang w:eastAsia="es-ES"/>
              </w:rPr>
            </w:pPr>
            <w:r w:rsidRPr="00EC507A">
              <w:rPr>
                <w:rFonts w:ascii="Calibri" w:eastAsia="Times New Roman" w:hAnsi="Calibri" w:cs="Times New Roman"/>
                <w:color w:val="000000"/>
                <w:lang w:eastAsia="es-ES"/>
              </w:rPr>
              <w:t>10.42%</w:t>
            </w:r>
          </w:p>
        </w:tc>
        <w:tc>
          <w:tcPr>
            <w:tcW w:w="1364" w:type="dxa"/>
            <w:tcBorders>
              <w:top w:val="nil"/>
              <w:left w:val="nil"/>
              <w:bottom w:val="double" w:sz="6" w:space="0" w:color="auto"/>
              <w:right w:val="single" w:sz="4" w:space="0" w:color="auto"/>
            </w:tcBorders>
            <w:shd w:val="clear" w:color="auto" w:fill="auto"/>
            <w:noWrap/>
            <w:vAlign w:val="bottom"/>
            <w:hideMark/>
          </w:tcPr>
          <w:p w:rsidR="00EC507A" w:rsidRPr="00EC507A" w:rsidRDefault="00EC507A" w:rsidP="00EC507A">
            <w:pPr>
              <w:spacing w:after="0" w:line="240" w:lineRule="auto"/>
              <w:jc w:val="right"/>
              <w:rPr>
                <w:rFonts w:ascii="Calibri" w:eastAsia="Times New Roman" w:hAnsi="Calibri" w:cs="Times New Roman"/>
                <w:color w:val="000000"/>
                <w:lang w:eastAsia="es-ES"/>
              </w:rPr>
            </w:pPr>
            <w:r w:rsidRPr="00EC507A">
              <w:rPr>
                <w:rFonts w:ascii="Calibri" w:eastAsia="Times New Roman" w:hAnsi="Calibri" w:cs="Times New Roman"/>
                <w:color w:val="000000"/>
                <w:lang w:eastAsia="es-ES"/>
              </w:rPr>
              <w:t>21.16%</w:t>
            </w:r>
          </w:p>
        </w:tc>
      </w:tr>
      <w:tr w:rsidR="00EC507A" w:rsidRPr="00EC507A" w:rsidTr="00EC507A">
        <w:trPr>
          <w:trHeight w:val="315"/>
          <w:jc w:val="center"/>
        </w:trPr>
        <w:tc>
          <w:tcPr>
            <w:tcW w:w="2294" w:type="dxa"/>
            <w:tcBorders>
              <w:top w:val="nil"/>
              <w:left w:val="single" w:sz="4" w:space="0" w:color="auto"/>
              <w:bottom w:val="single" w:sz="4" w:space="0" w:color="auto"/>
              <w:right w:val="single" w:sz="4" w:space="0" w:color="auto"/>
            </w:tcBorders>
            <w:shd w:val="clear" w:color="000000" w:fill="FFFFFF"/>
            <w:noWrap/>
            <w:vAlign w:val="bottom"/>
            <w:hideMark/>
          </w:tcPr>
          <w:p w:rsidR="00EC507A" w:rsidRPr="00EC507A" w:rsidRDefault="00EC507A" w:rsidP="00EC507A">
            <w:pPr>
              <w:spacing w:after="0" w:line="240" w:lineRule="auto"/>
              <w:ind w:firstLineChars="100" w:firstLine="221"/>
              <w:rPr>
                <w:rFonts w:ascii="Calibri" w:eastAsia="Times New Roman" w:hAnsi="Calibri" w:cs="Times New Roman"/>
                <w:b/>
                <w:bCs/>
                <w:color w:val="000000"/>
                <w:lang w:eastAsia="es-ES"/>
              </w:rPr>
            </w:pPr>
            <w:r w:rsidRPr="00EC507A">
              <w:rPr>
                <w:rFonts w:ascii="Calibri" w:eastAsia="Times New Roman" w:hAnsi="Calibri" w:cs="Times New Roman"/>
                <w:b/>
                <w:bCs/>
                <w:color w:val="000000"/>
                <w:lang w:eastAsia="es-ES"/>
              </w:rPr>
              <w:t>Total</w:t>
            </w:r>
          </w:p>
        </w:tc>
        <w:tc>
          <w:tcPr>
            <w:tcW w:w="903" w:type="dxa"/>
            <w:tcBorders>
              <w:top w:val="nil"/>
              <w:left w:val="nil"/>
              <w:bottom w:val="single" w:sz="4" w:space="0" w:color="auto"/>
              <w:right w:val="single" w:sz="4" w:space="0" w:color="auto"/>
            </w:tcBorders>
            <w:shd w:val="clear" w:color="auto" w:fill="auto"/>
            <w:noWrap/>
            <w:vAlign w:val="bottom"/>
            <w:hideMark/>
          </w:tcPr>
          <w:p w:rsidR="00EC507A" w:rsidRPr="00EC507A" w:rsidRDefault="00EC507A" w:rsidP="00EC507A">
            <w:pPr>
              <w:spacing w:after="0" w:line="240" w:lineRule="auto"/>
              <w:jc w:val="right"/>
              <w:rPr>
                <w:rFonts w:ascii="Calibri" w:eastAsia="Times New Roman" w:hAnsi="Calibri" w:cs="Times New Roman"/>
                <w:color w:val="000000"/>
                <w:lang w:eastAsia="es-ES"/>
              </w:rPr>
            </w:pPr>
            <w:r w:rsidRPr="00EC507A">
              <w:rPr>
                <w:rFonts w:ascii="Calibri" w:eastAsia="Times New Roman" w:hAnsi="Calibri" w:cs="Times New Roman"/>
                <w:color w:val="000000"/>
                <w:lang w:eastAsia="es-ES"/>
              </w:rPr>
              <w:t>17.45%</w:t>
            </w:r>
          </w:p>
        </w:tc>
        <w:tc>
          <w:tcPr>
            <w:tcW w:w="1169" w:type="dxa"/>
            <w:tcBorders>
              <w:top w:val="nil"/>
              <w:left w:val="nil"/>
              <w:bottom w:val="single" w:sz="4" w:space="0" w:color="auto"/>
              <w:right w:val="single" w:sz="4" w:space="0" w:color="auto"/>
            </w:tcBorders>
            <w:shd w:val="clear" w:color="auto" w:fill="auto"/>
            <w:noWrap/>
            <w:vAlign w:val="bottom"/>
            <w:hideMark/>
          </w:tcPr>
          <w:p w:rsidR="00EC507A" w:rsidRPr="00EC507A" w:rsidRDefault="00EC507A" w:rsidP="00EC507A">
            <w:pPr>
              <w:spacing w:after="0" w:line="240" w:lineRule="auto"/>
              <w:jc w:val="right"/>
              <w:rPr>
                <w:rFonts w:ascii="Calibri" w:eastAsia="Times New Roman" w:hAnsi="Calibri" w:cs="Times New Roman"/>
                <w:color w:val="000000"/>
                <w:lang w:eastAsia="es-ES"/>
              </w:rPr>
            </w:pPr>
            <w:r w:rsidRPr="00EC507A">
              <w:rPr>
                <w:rFonts w:ascii="Calibri" w:eastAsia="Times New Roman" w:hAnsi="Calibri" w:cs="Times New Roman"/>
                <w:color w:val="000000"/>
                <w:lang w:eastAsia="es-ES"/>
              </w:rPr>
              <w:t>18.47%</w:t>
            </w:r>
          </w:p>
        </w:tc>
        <w:tc>
          <w:tcPr>
            <w:tcW w:w="1169" w:type="dxa"/>
            <w:tcBorders>
              <w:top w:val="nil"/>
              <w:left w:val="nil"/>
              <w:bottom w:val="single" w:sz="4" w:space="0" w:color="auto"/>
              <w:right w:val="single" w:sz="4" w:space="0" w:color="auto"/>
            </w:tcBorders>
            <w:shd w:val="clear" w:color="auto" w:fill="auto"/>
            <w:noWrap/>
            <w:vAlign w:val="bottom"/>
            <w:hideMark/>
          </w:tcPr>
          <w:p w:rsidR="00EC507A" w:rsidRPr="00EC507A" w:rsidRDefault="00EC507A" w:rsidP="00EC507A">
            <w:pPr>
              <w:spacing w:after="0" w:line="240" w:lineRule="auto"/>
              <w:jc w:val="right"/>
              <w:rPr>
                <w:rFonts w:ascii="Calibri" w:eastAsia="Times New Roman" w:hAnsi="Calibri" w:cs="Times New Roman"/>
                <w:color w:val="000000"/>
                <w:lang w:eastAsia="es-ES"/>
              </w:rPr>
            </w:pPr>
            <w:r w:rsidRPr="00EC507A">
              <w:rPr>
                <w:rFonts w:ascii="Calibri" w:eastAsia="Times New Roman" w:hAnsi="Calibri" w:cs="Times New Roman"/>
                <w:color w:val="000000"/>
                <w:lang w:eastAsia="es-ES"/>
              </w:rPr>
              <w:t>18.97%</w:t>
            </w:r>
          </w:p>
        </w:tc>
        <w:tc>
          <w:tcPr>
            <w:tcW w:w="1169" w:type="dxa"/>
            <w:tcBorders>
              <w:top w:val="nil"/>
              <w:left w:val="nil"/>
              <w:bottom w:val="single" w:sz="4" w:space="0" w:color="auto"/>
              <w:right w:val="single" w:sz="4" w:space="0" w:color="auto"/>
            </w:tcBorders>
            <w:shd w:val="clear" w:color="auto" w:fill="auto"/>
            <w:noWrap/>
            <w:vAlign w:val="bottom"/>
            <w:hideMark/>
          </w:tcPr>
          <w:p w:rsidR="00EC507A" w:rsidRPr="00EC507A" w:rsidRDefault="00EC507A" w:rsidP="00EC507A">
            <w:pPr>
              <w:spacing w:after="0" w:line="240" w:lineRule="auto"/>
              <w:jc w:val="right"/>
              <w:rPr>
                <w:rFonts w:ascii="Calibri" w:eastAsia="Times New Roman" w:hAnsi="Calibri" w:cs="Times New Roman"/>
                <w:color w:val="000000"/>
                <w:lang w:eastAsia="es-ES"/>
              </w:rPr>
            </w:pPr>
            <w:r w:rsidRPr="00EC507A">
              <w:rPr>
                <w:rFonts w:ascii="Calibri" w:eastAsia="Times New Roman" w:hAnsi="Calibri" w:cs="Times New Roman"/>
                <w:color w:val="000000"/>
                <w:lang w:eastAsia="es-ES"/>
              </w:rPr>
              <w:t>21.27%</w:t>
            </w:r>
          </w:p>
        </w:tc>
        <w:tc>
          <w:tcPr>
            <w:tcW w:w="1169" w:type="dxa"/>
            <w:tcBorders>
              <w:top w:val="nil"/>
              <w:left w:val="nil"/>
              <w:bottom w:val="single" w:sz="4" w:space="0" w:color="auto"/>
              <w:right w:val="single" w:sz="4" w:space="0" w:color="auto"/>
            </w:tcBorders>
            <w:shd w:val="clear" w:color="auto" w:fill="auto"/>
            <w:noWrap/>
            <w:vAlign w:val="bottom"/>
            <w:hideMark/>
          </w:tcPr>
          <w:p w:rsidR="00EC507A" w:rsidRPr="00EC507A" w:rsidRDefault="00EC507A" w:rsidP="00EC507A">
            <w:pPr>
              <w:spacing w:after="0" w:line="240" w:lineRule="auto"/>
              <w:jc w:val="right"/>
              <w:rPr>
                <w:rFonts w:ascii="Calibri" w:eastAsia="Times New Roman" w:hAnsi="Calibri" w:cs="Times New Roman"/>
                <w:color w:val="000000"/>
                <w:lang w:eastAsia="es-ES"/>
              </w:rPr>
            </w:pPr>
            <w:r w:rsidRPr="00EC507A">
              <w:rPr>
                <w:rFonts w:ascii="Calibri" w:eastAsia="Times New Roman" w:hAnsi="Calibri" w:cs="Times New Roman"/>
                <w:color w:val="000000"/>
                <w:lang w:eastAsia="es-ES"/>
              </w:rPr>
              <w:t>23.85%</w:t>
            </w:r>
          </w:p>
        </w:tc>
        <w:tc>
          <w:tcPr>
            <w:tcW w:w="1364" w:type="dxa"/>
            <w:tcBorders>
              <w:top w:val="nil"/>
              <w:left w:val="nil"/>
              <w:bottom w:val="single" w:sz="4" w:space="0" w:color="auto"/>
              <w:right w:val="single" w:sz="4" w:space="0" w:color="auto"/>
            </w:tcBorders>
            <w:shd w:val="clear" w:color="auto" w:fill="auto"/>
            <w:noWrap/>
            <w:vAlign w:val="bottom"/>
            <w:hideMark/>
          </w:tcPr>
          <w:p w:rsidR="00EC507A" w:rsidRPr="00EC507A" w:rsidRDefault="00EC507A" w:rsidP="00EC507A">
            <w:pPr>
              <w:spacing w:after="0" w:line="240" w:lineRule="auto"/>
              <w:jc w:val="right"/>
              <w:rPr>
                <w:rFonts w:ascii="Calibri" w:eastAsia="Times New Roman" w:hAnsi="Calibri" w:cs="Times New Roman"/>
                <w:color w:val="000000"/>
                <w:lang w:eastAsia="es-ES"/>
              </w:rPr>
            </w:pPr>
            <w:r w:rsidRPr="00EC507A">
              <w:rPr>
                <w:rFonts w:ascii="Calibri" w:eastAsia="Times New Roman" w:hAnsi="Calibri" w:cs="Times New Roman"/>
                <w:color w:val="000000"/>
                <w:lang w:eastAsia="es-ES"/>
              </w:rPr>
              <w:t>100.00%</w:t>
            </w:r>
          </w:p>
        </w:tc>
      </w:tr>
    </w:tbl>
    <w:p w:rsidR="004C5220" w:rsidRPr="00505444" w:rsidRDefault="004C5220" w:rsidP="004C5220">
      <w:pPr>
        <w:pStyle w:val="NoSpacing"/>
        <w:spacing w:line="276" w:lineRule="auto"/>
        <w:rPr>
          <w:sz w:val="16"/>
          <w:szCs w:val="16"/>
        </w:rPr>
      </w:pPr>
      <w:proofErr w:type="spellStart"/>
      <w:r w:rsidRPr="00505444">
        <w:rPr>
          <w:sz w:val="16"/>
          <w:szCs w:val="16"/>
        </w:rPr>
        <w:t>Source</w:t>
      </w:r>
      <w:proofErr w:type="spellEnd"/>
      <w:r w:rsidRPr="00505444">
        <w:rPr>
          <w:sz w:val="16"/>
          <w:szCs w:val="16"/>
        </w:rPr>
        <w:t xml:space="preserve">: </w:t>
      </w:r>
      <w:r>
        <w:rPr>
          <w:sz w:val="16"/>
          <w:szCs w:val="16"/>
        </w:rPr>
        <w:t>MEF. INEI.</w:t>
      </w:r>
      <w:r w:rsidRPr="00505444">
        <w:rPr>
          <w:sz w:val="16"/>
          <w:szCs w:val="16"/>
        </w:rPr>
        <w:t xml:space="preserve"> </w:t>
      </w:r>
    </w:p>
    <w:p w:rsidR="0072737B" w:rsidRDefault="0072737B" w:rsidP="00640AF6">
      <w:pPr>
        <w:spacing w:after="0"/>
        <w:rPr>
          <w:rFonts w:eastAsia="Times New Roman" w:cs="Arial"/>
          <w:color w:val="000000"/>
          <w:lang w:eastAsia="es-ES"/>
        </w:rPr>
      </w:pPr>
    </w:p>
    <w:p w:rsidR="00615D69" w:rsidRDefault="00431CF6" w:rsidP="00F91B14">
      <w:pPr>
        <w:spacing w:after="0"/>
        <w:jc w:val="both"/>
        <w:rPr>
          <w:rFonts w:eastAsia="Times New Roman" w:cs="Arial"/>
          <w:color w:val="000000"/>
          <w:lang w:val="en-US" w:eastAsia="es-ES"/>
        </w:rPr>
      </w:pPr>
      <w:r w:rsidRPr="00AD4D09">
        <w:rPr>
          <w:rFonts w:eastAsia="Times New Roman" w:cs="Arial"/>
          <w:color w:val="000000"/>
          <w:lang w:val="en-US" w:eastAsia="es-ES"/>
        </w:rPr>
        <w:t>Table 1</w:t>
      </w:r>
      <w:r w:rsidR="00CD4798">
        <w:rPr>
          <w:rFonts w:eastAsia="Times New Roman" w:cs="Arial"/>
          <w:color w:val="000000"/>
          <w:lang w:val="en-US" w:eastAsia="es-ES"/>
        </w:rPr>
        <w:t>1</w:t>
      </w:r>
      <w:r w:rsidRPr="00AD4D09">
        <w:rPr>
          <w:rFonts w:eastAsia="Times New Roman" w:cs="Arial"/>
          <w:color w:val="000000"/>
          <w:lang w:val="en-US" w:eastAsia="es-ES"/>
        </w:rPr>
        <w:t xml:space="preserve"> sho</w:t>
      </w:r>
      <w:r w:rsidR="00615D69" w:rsidRPr="00AD4D09">
        <w:rPr>
          <w:rFonts w:eastAsia="Times New Roman" w:cs="Arial"/>
          <w:color w:val="000000"/>
          <w:lang w:val="en-US" w:eastAsia="es-ES"/>
        </w:rPr>
        <w:t xml:space="preserve">ws </w:t>
      </w:r>
      <w:r w:rsidR="00AD4D09" w:rsidRPr="00AD4D09">
        <w:rPr>
          <w:rFonts w:eastAsia="Times New Roman" w:cs="Arial"/>
          <w:color w:val="000000"/>
          <w:lang w:val="en-US" w:eastAsia="es-ES"/>
        </w:rPr>
        <w:t>that the g</w:t>
      </w:r>
      <w:r w:rsidR="00AD4D09">
        <w:rPr>
          <w:rFonts w:eastAsia="Times New Roman" w:cs="Arial"/>
          <w:color w:val="000000"/>
          <w:lang w:val="en-US" w:eastAsia="es-ES"/>
        </w:rPr>
        <w:t xml:space="preserve">overnment </w:t>
      </w:r>
      <w:r w:rsidR="006E5BB3">
        <w:rPr>
          <w:rFonts w:eastAsia="Times New Roman" w:cs="Arial"/>
          <w:color w:val="000000"/>
          <w:lang w:val="en-US" w:eastAsia="es-ES"/>
        </w:rPr>
        <w:t xml:space="preserve">subsidy is mainly focused on Primary education, </w:t>
      </w:r>
      <w:r w:rsidR="007E11FF">
        <w:rPr>
          <w:rFonts w:eastAsia="Times New Roman" w:cs="Arial"/>
          <w:color w:val="000000"/>
          <w:lang w:val="en-US" w:eastAsia="es-ES"/>
        </w:rPr>
        <w:t xml:space="preserve">and </w:t>
      </w:r>
      <w:r w:rsidR="006E5BB3">
        <w:rPr>
          <w:rFonts w:eastAsia="Times New Roman" w:cs="Arial"/>
          <w:color w:val="000000"/>
          <w:lang w:val="en-US" w:eastAsia="es-ES"/>
        </w:rPr>
        <w:t xml:space="preserve">particularly </w:t>
      </w:r>
      <w:r w:rsidR="007E11FF">
        <w:rPr>
          <w:rFonts w:eastAsia="Times New Roman" w:cs="Arial"/>
          <w:color w:val="000000"/>
          <w:lang w:val="en-US" w:eastAsia="es-ES"/>
        </w:rPr>
        <w:t>on</w:t>
      </w:r>
      <w:r w:rsidR="006E5BB3">
        <w:rPr>
          <w:rFonts w:eastAsia="Times New Roman" w:cs="Arial"/>
          <w:color w:val="000000"/>
          <w:lang w:val="en-US" w:eastAsia="es-ES"/>
        </w:rPr>
        <w:t xml:space="preserve"> the three lowest expenditure quintiles</w:t>
      </w:r>
      <w:r w:rsidR="00F91B14">
        <w:rPr>
          <w:rFonts w:eastAsia="Times New Roman" w:cs="Arial"/>
          <w:color w:val="000000"/>
          <w:lang w:val="en-US" w:eastAsia="es-ES"/>
        </w:rPr>
        <w:t xml:space="preserve"> (</w:t>
      </w:r>
      <w:r w:rsidR="007E11FF">
        <w:rPr>
          <w:rFonts w:eastAsia="Times New Roman" w:cs="Arial"/>
          <w:color w:val="000000"/>
          <w:lang w:val="en-US" w:eastAsia="es-ES"/>
        </w:rPr>
        <w:t>as a group</w:t>
      </w:r>
      <w:r w:rsidR="00F91B14">
        <w:rPr>
          <w:rFonts w:eastAsia="Times New Roman" w:cs="Arial"/>
          <w:color w:val="000000"/>
          <w:lang w:val="en-US" w:eastAsia="es-ES"/>
        </w:rPr>
        <w:t xml:space="preserve"> they </w:t>
      </w:r>
      <w:r w:rsidR="007E11FF">
        <w:rPr>
          <w:rFonts w:eastAsia="Times New Roman" w:cs="Arial"/>
          <w:color w:val="000000"/>
          <w:lang w:val="en-US" w:eastAsia="es-ES"/>
        </w:rPr>
        <w:t xml:space="preserve">would </w:t>
      </w:r>
      <w:r w:rsidR="00F91B14">
        <w:rPr>
          <w:rFonts w:eastAsia="Times New Roman" w:cs="Arial"/>
          <w:color w:val="000000"/>
          <w:lang w:val="en-US" w:eastAsia="es-ES"/>
        </w:rPr>
        <w:t xml:space="preserve">represent </w:t>
      </w:r>
      <w:r w:rsidR="007E11FF">
        <w:rPr>
          <w:rFonts w:eastAsia="Times New Roman" w:cs="Arial"/>
          <w:color w:val="000000"/>
          <w:lang w:val="en-US" w:eastAsia="es-ES"/>
        </w:rPr>
        <w:t xml:space="preserve">approximately </w:t>
      </w:r>
      <w:r w:rsidR="00EF3097">
        <w:rPr>
          <w:rFonts w:eastAsia="Times New Roman" w:cs="Arial"/>
          <w:color w:val="000000"/>
          <w:lang w:val="en-US" w:eastAsia="es-ES"/>
        </w:rPr>
        <w:t>28</w:t>
      </w:r>
      <w:r w:rsidR="007E11FF">
        <w:rPr>
          <w:rFonts w:eastAsia="Times New Roman" w:cs="Arial"/>
          <w:color w:val="000000"/>
          <w:lang w:val="en-US" w:eastAsia="es-ES"/>
        </w:rPr>
        <w:t>%</w:t>
      </w:r>
      <w:r w:rsidR="00F91B14">
        <w:rPr>
          <w:rFonts w:eastAsia="Times New Roman" w:cs="Arial"/>
          <w:color w:val="000000"/>
          <w:lang w:val="en-US" w:eastAsia="es-ES"/>
        </w:rPr>
        <w:t xml:space="preserve"> </w:t>
      </w:r>
      <w:r w:rsidR="00DD6EC5">
        <w:rPr>
          <w:rFonts w:eastAsia="Times New Roman" w:cs="Arial"/>
          <w:color w:val="000000"/>
          <w:lang w:val="en-US" w:eastAsia="es-ES"/>
        </w:rPr>
        <w:t>of public e</w:t>
      </w:r>
      <w:r w:rsidR="007E11FF">
        <w:rPr>
          <w:rFonts w:eastAsia="Times New Roman" w:cs="Arial"/>
          <w:color w:val="000000"/>
          <w:lang w:val="en-US" w:eastAsia="es-ES"/>
        </w:rPr>
        <w:t>ducation expenses)</w:t>
      </w:r>
      <w:r w:rsidR="006E5BB3">
        <w:rPr>
          <w:rFonts w:eastAsia="Times New Roman" w:cs="Arial"/>
          <w:color w:val="000000"/>
          <w:lang w:val="en-US" w:eastAsia="es-ES"/>
        </w:rPr>
        <w:t>.</w:t>
      </w:r>
      <w:r w:rsidR="007E11FF">
        <w:rPr>
          <w:rFonts w:eastAsia="Times New Roman" w:cs="Arial"/>
          <w:color w:val="000000"/>
          <w:lang w:val="en-US" w:eastAsia="es-ES"/>
        </w:rPr>
        <w:t xml:space="preserve"> On the other hand, </w:t>
      </w:r>
      <w:r w:rsidR="00D17D2B">
        <w:rPr>
          <w:rFonts w:eastAsia="Times New Roman" w:cs="Arial"/>
          <w:color w:val="000000"/>
          <w:lang w:val="en-US" w:eastAsia="es-ES"/>
        </w:rPr>
        <w:t xml:space="preserve">the </w:t>
      </w:r>
      <w:r w:rsidR="007E11FF">
        <w:rPr>
          <w:rFonts w:eastAsia="Times New Roman" w:cs="Arial"/>
          <w:color w:val="000000"/>
          <w:lang w:val="en-US" w:eastAsia="es-ES"/>
        </w:rPr>
        <w:t xml:space="preserve">Secondary </w:t>
      </w:r>
      <w:r w:rsidR="007E11FF">
        <w:rPr>
          <w:rFonts w:eastAsia="Times New Roman" w:cs="Arial"/>
          <w:color w:val="000000"/>
          <w:lang w:val="en-US" w:eastAsia="es-ES"/>
        </w:rPr>
        <w:lastRenderedPageBreak/>
        <w:t>education</w:t>
      </w:r>
      <w:r w:rsidR="00D17D2B">
        <w:rPr>
          <w:rFonts w:eastAsia="Times New Roman" w:cs="Arial"/>
          <w:color w:val="000000"/>
          <w:lang w:val="en-US" w:eastAsia="es-ES"/>
        </w:rPr>
        <w:t xml:space="preserve"> subsidy follows a normal distribution</w:t>
      </w:r>
      <w:r w:rsidR="00513DE3">
        <w:rPr>
          <w:rFonts w:eastAsia="Times New Roman" w:cs="Arial"/>
          <w:color w:val="000000"/>
          <w:lang w:val="en-US" w:eastAsia="es-ES"/>
        </w:rPr>
        <w:t xml:space="preserve">. </w:t>
      </w:r>
      <w:r w:rsidR="00FE7E2A">
        <w:rPr>
          <w:rFonts w:eastAsia="Times New Roman" w:cs="Arial"/>
          <w:color w:val="000000"/>
          <w:lang w:val="en-US" w:eastAsia="es-ES"/>
        </w:rPr>
        <w:t>On the whole, t</w:t>
      </w:r>
      <w:r w:rsidR="00513DE3">
        <w:rPr>
          <w:rFonts w:eastAsia="Times New Roman" w:cs="Arial"/>
          <w:color w:val="000000"/>
          <w:lang w:val="en-US" w:eastAsia="es-ES"/>
        </w:rPr>
        <w:t xml:space="preserve">he total </w:t>
      </w:r>
      <w:r w:rsidR="00530DE1">
        <w:rPr>
          <w:rFonts w:eastAsia="Times New Roman" w:cs="Arial"/>
          <w:color w:val="000000"/>
          <w:lang w:val="en-US" w:eastAsia="es-ES"/>
        </w:rPr>
        <w:t>expenses (analyzed by expenditure quintiles) follow</w:t>
      </w:r>
      <w:r w:rsidR="00513DE3">
        <w:rPr>
          <w:rFonts w:eastAsia="Times New Roman" w:cs="Arial"/>
          <w:color w:val="000000"/>
          <w:lang w:val="en-US" w:eastAsia="es-ES"/>
        </w:rPr>
        <w:t xml:space="preserve"> </w:t>
      </w:r>
      <w:r w:rsidR="00FE7E2A">
        <w:rPr>
          <w:rFonts w:eastAsia="Times New Roman" w:cs="Arial"/>
          <w:color w:val="000000"/>
          <w:lang w:val="en-US" w:eastAsia="es-ES"/>
        </w:rPr>
        <w:t xml:space="preserve">a slightly </w:t>
      </w:r>
      <w:r w:rsidR="00CD4798">
        <w:rPr>
          <w:rFonts w:eastAsia="Times New Roman" w:cs="Arial"/>
          <w:color w:val="000000"/>
          <w:lang w:val="en-US" w:eastAsia="es-ES"/>
        </w:rPr>
        <w:t>right</w:t>
      </w:r>
      <w:r w:rsidR="00FE7E2A">
        <w:rPr>
          <w:rFonts w:eastAsia="Times New Roman" w:cs="Arial"/>
          <w:color w:val="000000"/>
          <w:lang w:val="en-US" w:eastAsia="es-ES"/>
        </w:rPr>
        <w:t xml:space="preserve"> bias in its distribution</w:t>
      </w:r>
      <w:r w:rsidR="00835597">
        <w:rPr>
          <w:rFonts w:eastAsia="Times New Roman" w:cs="Arial"/>
          <w:color w:val="000000"/>
          <w:lang w:val="en-US" w:eastAsia="es-ES"/>
        </w:rPr>
        <w:t>.</w:t>
      </w:r>
      <w:r w:rsidR="00530DE1">
        <w:rPr>
          <w:rFonts w:eastAsia="Times New Roman" w:cs="Arial"/>
          <w:color w:val="000000"/>
          <w:lang w:val="en-US" w:eastAsia="es-ES"/>
        </w:rPr>
        <w:t xml:space="preserve"> The lowest expenditure quintile represents </w:t>
      </w:r>
      <w:r w:rsidR="00CD4798">
        <w:rPr>
          <w:rFonts w:eastAsia="Times New Roman" w:cs="Arial"/>
          <w:color w:val="000000"/>
          <w:lang w:val="en-US" w:eastAsia="es-ES"/>
        </w:rPr>
        <w:t>17.79</w:t>
      </w:r>
      <w:r w:rsidR="00530DE1">
        <w:rPr>
          <w:rFonts w:eastAsia="Times New Roman" w:cs="Arial"/>
          <w:color w:val="000000"/>
          <w:lang w:val="en-US" w:eastAsia="es-ES"/>
        </w:rPr>
        <w:t xml:space="preserve">% of education budget, while the second quintile signifies </w:t>
      </w:r>
      <w:r w:rsidR="00CD4798">
        <w:rPr>
          <w:rFonts w:eastAsia="Times New Roman" w:cs="Arial"/>
          <w:color w:val="000000"/>
          <w:lang w:val="en-US" w:eastAsia="es-ES"/>
        </w:rPr>
        <w:t>18.80</w:t>
      </w:r>
      <w:r w:rsidR="008433D8">
        <w:rPr>
          <w:rFonts w:eastAsia="Times New Roman" w:cs="Arial"/>
          <w:color w:val="000000"/>
          <w:lang w:val="en-US" w:eastAsia="es-ES"/>
        </w:rPr>
        <w:t>%,</w:t>
      </w:r>
      <w:r w:rsidR="00530DE1">
        <w:rPr>
          <w:rFonts w:eastAsia="Times New Roman" w:cs="Arial"/>
          <w:color w:val="000000"/>
          <w:lang w:val="en-US" w:eastAsia="es-ES"/>
        </w:rPr>
        <w:t xml:space="preserve"> </w:t>
      </w:r>
      <w:r w:rsidR="008433D8">
        <w:rPr>
          <w:rFonts w:eastAsia="Times New Roman" w:cs="Arial"/>
          <w:color w:val="000000"/>
          <w:lang w:val="en-US" w:eastAsia="es-ES"/>
        </w:rPr>
        <w:t xml:space="preserve">the middle quintile represents </w:t>
      </w:r>
      <w:r w:rsidR="00CD4798">
        <w:rPr>
          <w:rFonts w:eastAsia="Times New Roman" w:cs="Arial"/>
          <w:color w:val="000000"/>
          <w:lang w:val="en-US" w:eastAsia="es-ES"/>
        </w:rPr>
        <w:t>19.26</w:t>
      </w:r>
      <w:r w:rsidR="00530DE1">
        <w:rPr>
          <w:rFonts w:eastAsia="Times New Roman" w:cs="Arial"/>
          <w:color w:val="000000"/>
          <w:lang w:val="en-US" w:eastAsia="es-ES"/>
        </w:rPr>
        <w:t>%</w:t>
      </w:r>
      <w:r w:rsidR="008433D8">
        <w:rPr>
          <w:rFonts w:eastAsia="Times New Roman" w:cs="Arial"/>
          <w:color w:val="000000"/>
          <w:lang w:val="en-US" w:eastAsia="es-ES"/>
        </w:rPr>
        <w:t xml:space="preserve">, and the two highest quintiles signifies the </w:t>
      </w:r>
      <w:r w:rsidR="00CD4798">
        <w:rPr>
          <w:rFonts w:eastAsia="Times New Roman" w:cs="Arial"/>
          <w:color w:val="000000"/>
          <w:lang w:val="en-US" w:eastAsia="es-ES"/>
        </w:rPr>
        <w:t>21.34</w:t>
      </w:r>
      <w:r w:rsidR="008433D8">
        <w:rPr>
          <w:rFonts w:eastAsia="Times New Roman" w:cs="Arial"/>
          <w:color w:val="000000"/>
          <w:lang w:val="en-US" w:eastAsia="es-ES"/>
        </w:rPr>
        <w:t xml:space="preserve">% and </w:t>
      </w:r>
      <w:r w:rsidR="00CD4798">
        <w:rPr>
          <w:rFonts w:eastAsia="Times New Roman" w:cs="Arial"/>
          <w:color w:val="000000"/>
          <w:lang w:val="en-US" w:eastAsia="es-ES"/>
        </w:rPr>
        <w:t>22.81</w:t>
      </w:r>
      <w:r w:rsidR="008433D8">
        <w:rPr>
          <w:rFonts w:eastAsia="Times New Roman" w:cs="Arial"/>
          <w:color w:val="000000"/>
          <w:lang w:val="en-US" w:eastAsia="es-ES"/>
        </w:rPr>
        <w:t>%, respectively.</w:t>
      </w:r>
      <w:r w:rsidR="00FF702B">
        <w:rPr>
          <w:rFonts w:eastAsia="Times New Roman" w:cs="Arial"/>
          <w:color w:val="000000"/>
          <w:lang w:val="en-US" w:eastAsia="es-ES"/>
        </w:rPr>
        <w:t xml:space="preserve"> The ra</w:t>
      </w:r>
      <w:r w:rsidR="00EF5DBC">
        <w:rPr>
          <w:rFonts w:eastAsia="Times New Roman" w:cs="Arial"/>
          <w:color w:val="000000"/>
          <w:lang w:val="en-US" w:eastAsia="es-ES"/>
        </w:rPr>
        <w:t xml:space="preserve">tio between the lowest </w:t>
      </w:r>
      <w:r w:rsidR="00110555">
        <w:rPr>
          <w:rFonts w:eastAsia="Times New Roman" w:cs="Arial"/>
          <w:color w:val="000000"/>
          <w:lang w:val="en-US" w:eastAsia="es-ES"/>
        </w:rPr>
        <w:t>and the highest quintile is 1.28</w:t>
      </w:r>
      <w:r w:rsidR="00EF5DBC">
        <w:rPr>
          <w:rFonts w:eastAsia="Times New Roman" w:cs="Arial"/>
          <w:color w:val="000000"/>
          <w:lang w:val="en-US" w:eastAsia="es-ES"/>
        </w:rPr>
        <w:t>. Th</w:t>
      </w:r>
      <w:r w:rsidR="00744A96">
        <w:rPr>
          <w:rFonts w:eastAsia="Times New Roman" w:cs="Arial"/>
          <w:color w:val="000000"/>
          <w:lang w:val="en-US" w:eastAsia="es-ES"/>
        </w:rPr>
        <w:t xml:space="preserve">at </w:t>
      </w:r>
      <w:r w:rsidR="00EF5DBC">
        <w:rPr>
          <w:rFonts w:eastAsia="Times New Roman" w:cs="Arial"/>
          <w:color w:val="000000"/>
          <w:lang w:val="en-US" w:eastAsia="es-ES"/>
        </w:rPr>
        <w:t>would mean a</w:t>
      </w:r>
      <w:r w:rsidR="00744A96">
        <w:rPr>
          <w:rFonts w:eastAsia="Times New Roman" w:cs="Arial"/>
          <w:color w:val="000000"/>
          <w:lang w:val="en-US" w:eastAsia="es-ES"/>
        </w:rPr>
        <w:t xml:space="preserve"> weak bias in favor of the lowest expenditure people.</w:t>
      </w:r>
      <w:r w:rsidR="00053BC2">
        <w:rPr>
          <w:rFonts w:eastAsia="Times New Roman" w:cs="Arial"/>
          <w:color w:val="000000"/>
          <w:lang w:val="en-US" w:eastAsia="es-ES"/>
        </w:rPr>
        <w:t xml:space="preserve"> </w:t>
      </w:r>
      <w:r w:rsidR="00D11325">
        <w:rPr>
          <w:rFonts w:eastAsia="Times New Roman" w:cs="Arial"/>
          <w:color w:val="000000"/>
          <w:lang w:val="en-US" w:eastAsia="es-ES"/>
        </w:rPr>
        <w:t>A</w:t>
      </w:r>
      <w:r w:rsidR="009C7593">
        <w:rPr>
          <w:rFonts w:eastAsia="Times New Roman" w:cs="Arial"/>
          <w:color w:val="000000"/>
          <w:lang w:val="en-US" w:eastAsia="es-ES"/>
        </w:rPr>
        <w:t xml:space="preserve">ccording to a normative approach, </w:t>
      </w:r>
      <w:r w:rsidR="00053BC2">
        <w:rPr>
          <w:rFonts w:eastAsia="Times New Roman" w:cs="Arial"/>
          <w:color w:val="000000"/>
          <w:lang w:val="en-US" w:eastAsia="es-ES"/>
        </w:rPr>
        <w:t>this bias is still not as stronger as should be</w:t>
      </w:r>
      <w:r w:rsidR="00D23C24">
        <w:rPr>
          <w:rFonts w:eastAsia="Times New Roman" w:cs="Arial"/>
          <w:color w:val="000000"/>
          <w:lang w:val="en-US" w:eastAsia="es-ES"/>
        </w:rPr>
        <w:t xml:space="preserve">. </w:t>
      </w:r>
      <w:r w:rsidR="00D11325">
        <w:rPr>
          <w:rFonts w:eastAsia="Times New Roman" w:cs="Arial"/>
          <w:color w:val="000000"/>
          <w:lang w:val="en-US" w:eastAsia="es-ES"/>
        </w:rPr>
        <w:t>However, f</w:t>
      </w:r>
      <w:r w:rsidR="00D23C24">
        <w:rPr>
          <w:rFonts w:eastAsia="Times New Roman" w:cs="Arial"/>
          <w:color w:val="000000"/>
          <w:lang w:val="en-US" w:eastAsia="es-ES"/>
        </w:rPr>
        <w:t xml:space="preserve">or a better </w:t>
      </w:r>
      <w:r w:rsidR="004A2B77">
        <w:rPr>
          <w:rFonts w:eastAsia="Times New Roman" w:cs="Arial"/>
          <w:color w:val="000000"/>
          <w:lang w:val="en-US" w:eastAsia="es-ES"/>
        </w:rPr>
        <w:t xml:space="preserve">conclusion, it should be useful to analyze </w:t>
      </w:r>
      <w:r w:rsidR="00D84F59">
        <w:rPr>
          <w:rFonts w:eastAsia="Times New Roman" w:cs="Arial"/>
          <w:color w:val="000000"/>
          <w:lang w:val="en-US" w:eastAsia="es-ES"/>
        </w:rPr>
        <w:t xml:space="preserve">some of the </w:t>
      </w:r>
      <w:r w:rsidR="009F1907">
        <w:rPr>
          <w:rFonts w:eastAsia="Times New Roman" w:cs="Arial"/>
          <w:color w:val="000000"/>
          <w:lang w:val="en-US" w:eastAsia="es-ES"/>
        </w:rPr>
        <w:t>coverage and quality</w:t>
      </w:r>
      <w:r w:rsidR="009C06D7">
        <w:rPr>
          <w:rFonts w:eastAsia="Times New Roman" w:cs="Arial"/>
          <w:color w:val="000000"/>
          <w:lang w:val="en-US" w:eastAsia="es-ES"/>
        </w:rPr>
        <w:t xml:space="preserve"> educational</w:t>
      </w:r>
      <w:r w:rsidR="009F1907">
        <w:rPr>
          <w:rFonts w:eastAsia="Times New Roman" w:cs="Arial"/>
          <w:color w:val="000000"/>
          <w:lang w:val="en-US" w:eastAsia="es-ES"/>
        </w:rPr>
        <w:t xml:space="preserve"> indicators.</w:t>
      </w:r>
    </w:p>
    <w:p w:rsidR="00291A31" w:rsidRDefault="00291A31" w:rsidP="00674747">
      <w:pPr>
        <w:pStyle w:val="Caption"/>
        <w:jc w:val="center"/>
        <w:rPr>
          <w:sz w:val="22"/>
          <w:szCs w:val="22"/>
          <w:lang w:val="en-US"/>
        </w:rPr>
      </w:pPr>
      <w:bookmarkStart w:id="22" w:name="_Ref252273362"/>
    </w:p>
    <w:p w:rsidR="0039740B" w:rsidRPr="00674747" w:rsidRDefault="00457C50" w:rsidP="00291A31">
      <w:pPr>
        <w:pStyle w:val="Caption"/>
        <w:spacing w:after="0"/>
        <w:jc w:val="center"/>
        <w:rPr>
          <w:sz w:val="22"/>
          <w:szCs w:val="22"/>
          <w:lang w:val="en-US"/>
        </w:rPr>
      </w:pPr>
      <w:r w:rsidRPr="00674747">
        <w:rPr>
          <w:sz w:val="22"/>
          <w:szCs w:val="22"/>
          <w:lang w:val="en-US"/>
        </w:rPr>
        <w:t>Figure</w:t>
      </w:r>
      <w:bookmarkEnd w:id="22"/>
      <w:r w:rsidR="00674747" w:rsidRPr="00674747">
        <w:rPr>
          <w:sz w:val="22"/>
          <w:szCs w:val="22"/>
          <w:lang w:val="en-US"/>
        </w:rPr>
        <w:t xml:space="preserve"> 9</w:t>
      </w:r>
      <w:r w:rsidR="0039740B" w:rsidRPr="00674747">
        <w:rPr>
          <w:sz w:val="22"/>
          <w:szCs w:val="22"/>
          <w:lang w:val="en-US"/>
        </w:rPr>
        <w:t xml:space="preserve">: </w:t>
      </w:r>
      <w:r w:rsidR="00475852" w:rsidRPr="00674747">
        <w:rPr>
          <w:sz w:val="22"/>
          <w:szCs w:val="22"/>
          <w:lang w:val="en-US"/>
        </w:rPr>
        <w:t>Basic e</w:t>
      </w:r>
      <w:r w:rsidR="00710D6B" w:rsidRPr="00674747">
        <w:rPr>
          <w:sz w:val="22"/>
          <w:szCs w:val="22"/>
          <w:lang w:val="en-US"/>
        </w:rPr>
        <w:t>ducation profile, by area of origin (</w:t>
      </w:r>
      <w:r w:rsidR="00E814FB" w:rsidRPr="00674747">
        <w:rPr>
          <w:sz w:val="22"/>
          <w:szCs w:val="22"/>
          <w:lang w:val="en-US"/>
        </w:rPr>
        <w:t>P</w:t>
      </w:r>
      <w:r w:rsidR="00920548" w:rsidRPr="00674747">
        <w:rPr>
          <w:sz w:val="22"/>
          <w:szCs w:val="22"/>
          <w:lang w:val="en-US"/>
        </w:rPr>
        <w:t>opulation</w:t>
      </w:r>
      <w:r w:rsidR="00E814FB" w:rsidRPr="00674747">
        <w:rPr>
          <w:sz w:val="22"/>
          <w:szCs w:val="22"/>
          <w:lang w:val="en-US"/>
        </w:rPr>
        <w:t xml:space="preserve"> 20-24 years old, as percentage</w:t>
      </w:r>
      <w:r w:rsidR="00710D6B" w:rsidRPr="00674747">
        <w:rPr>
          <w:sz w:val="22"/>
          <w:szCs w:val="22"/>
          <w:lang w:val="en-US"/>
        </w:rPr>
        <w:t>)</w:t>
      </w:r>
    </w:p>
    <w:p w:rsidR="0039740B" w:rsidRDefault="00AC0D93" w:rsidP="00640AF6">
      <w:pPr>
        <w:pStyle w:val="NoSpacing"/>
        <w:spacing w:line="276" w:lineRule="auto"/>
        <w:jc w:val="center"/>
        <w:rPr>
          <w:lang w:val="es-PE"/>
        </w:rPr>
      </w:pPr>
      <w:r w:rsidRPr="00AC0D93">
        <w:rPr>
          <w:noProof/>
          <w:lang w:val="en-US"/>
        </w:rPr>
        <w:drawing>
          <wp:inline distT="0" distB="0" distL="0" distR="0">
            <wp:extent cx="4922520" cy="2314575"/>
            <wp:effectExtent l="19050" t="0" r="11430" b="0"/>
            <wp:docPr id="19"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4C3F9A" w:rsidRPr="005E7850" w:rsidRDefault="004C3F9A" w:rsidP="00640AF6">
      <w:pPr>
        <w:pStyle w:val="NoSpacing"/>
        <w:spacing w:line="276" w:lineRule="auto"/>
        <w:rPr>
          <w:sz w:val="18"/>
          <w:szCs w:val="18"/>
          <w:lang w:val="en-US"/>
        </w:rPr>
      </w:pPr>
      <w:r>
        <w:rPr>
          <w:lang w:val="es-PE"/>
        </w:rPr>
        <w:t xml:space="preserve">         </w:t>
      </w:r>
      <w:proofErr w:type="spellStart"/>
      <w:r w:rsidR="00457C50">
        <w:rPr>
          <w:sz w:val="18"/>
          <w:szCs w:val="18"/>
          <w:lang w:val="es-PE"/>
        </w:rPr>
        <w:t>Source</w:t>
      </w:r>
      <w:proofErr w:type="spellEnd"/>
      <w:r w:rsidR="00457C50">
        <w:rPr>
          <w:sz w:val="18"/>
          <w:szCs w:val="18"/>
          <w:lang w:val="es-PE"/>
        </w:rPr>
        <w:t xml:space="preserve">: </w:t>
      </w:r>
      <w:proofErr w:type="spellStart"/>
      <w:r w:rsidR="00482016">
        <w:rPr>
          <w:sz w:val="18"/>
          <w:szCs w:val="18"/>
          <w:lang w:val="es-PE"/>
        </w:rPr>
        <w:t>Ministry</w:t>
      </w:r>
      <w:proofErr w:type="spellEnd"/>
      <w:r w:rsidR="00482016">
        <w:rPr>
          <w:sz w:val="18"/>
          <w:szCs w:val="18"/>
          <w:lang w:val="es-PE"/>
        </w:rPr>
        <w:t xml:space="preserve"> of </w:t>
      </w:r>
      <w:proofErr w:type="spellStart"/>
      <w:r w:rsidR="00482016">
        <w:rPr>
          <w:sz w:val="18"/>
          <w:szCs w:val="18"/>
          <w:lang w:val="es-PE"/>
        </w:rPr>
        <w:t>Education</w:t>
      </w:r>
      <w:proofErr w:type="spellEnd"/>
      <w:r w:rsidR="00482016">
        <w:rPr>
          <w:sz w:val="18"/>
          <w:szCs w:val="18"/>
          <w:lang w:val="es-PE"/>
        </w:rPr>
        <w:t xml:space="preserve"> - </w:t>
      </w:r>
      <w:r w:rsidR="00457C50">
        <w:rPr>
          <w:sz w:val="18"/>
          <w:szCs w:val="18"/>
          <w:lang w:val="es-PE"/>
        </w:rPr>
        <w:t>Estadística de la Calidad E</w:t>
      </w:r>
      <w:r w:rsidRPr="00715DBC">
        <w:rPr>
          <w:sz w:val="18"/>
          <w:szCs w:val="18"/>
          <w:lang w:val="es-PE"/>
        </w:rPr>
        <w:t xml:space="preserve">ducativa (ESCALE). </w:t>
      </w:r>
      <w:r w:rsidR="00E814FB" w:rsidRPr="005E7850">
        <w:rPr>
          <w:sz w:val="18"/>
          <w:szCs w:val="18"/>
          <w:lang w:val="en-US"/>
        </w:rPr>
        <w:t>2008</w:t>
      </w:r>
    </w:p>
    <w:p w:rsidR="00110555" w:rsidRDefault="00110555" w:rsidP="00624706">
      <w:pPr>
        <w:jc w:val="both"/>
        <w:rPr>
          <w:lang w:val="en-US"/>
        </w:rPr>
      </w:pPr>
    </w:p>
    <w:p w:rsidR="00791019" w:rsidRDefault="00791019" w:rsidP="00624706">
      <w:pPr>
        <w:jc w:val="both"/>
        <w:rPr>
          <w:lang w:val="en-US"/>
        </w:rPr>
      </w:pPr>
    </w:p>
    <w:p w:rsidR="00624706" w:rsidRDefault="00791019" w:rsidP="00624706">
      <w:pPr>
        <w:jc w:val="both"/>
        <w:rPr>
          <w:lang w:val="en-US"/>
        </w:rPr>
      </w:pPr>
      <w:r>
        <w:rPr>
          <w:lang w:val="en-US"/>
        </w:rPr>
        <w:t xml:space="preserve">Figure </w:t>
      </w:r>
      <w:r w:rsidR="00624706">
        <w:rPr>
          <w:lang w:val="en-US"/>
        </w:rPr>
        <w:t>9</w:t>
      </w:r>
      <w:r>
        <w:rPr>
          <w:lang w:val="en-US"/>
        </w:rPr>
        <w:t xml:space="preserve"> shows that</w:t>
      </w:r>
      <w:r w:rsidR="00624706" w:rsidRPr="009B47DE">
        <w:rPr>
          <w:lang w:val="en-US"/>
        </w:rPr>
        <w:t xml:space="preserve"> there is </w:t>
      </w:r>
      <w:r w:rsidR="00DD6EC5">
        <w:rPr>
          <w:lang w:val="en-US"/>
        </w:rPr>
        <w:t>a vast educational quality gap</w:t>
      </w:r>
      <w:r w:rsidR="00624706" w:rsidRPr="009B47DE">
        <w:rPr>
          <w:lang w:val="en-US"/>
        </w:rPr>
        <w:t xml:space="preserve"> between</w:t>
      </w:r>
      <w:r w:rsidR="00624706">
        <w:rPr>
          <w:lang w:val="en-US"/>
        </w:rPr>
        <w:t xml:space="preserve"> urban and rural areas. The </w:t>
      </w:r>
      <w:r>
        <w:rPr>
          <w:lang w:val="en-US"/>
        </w:rPr>
        <w:t xml:space="preserve">majority of urban population, </w:t>
      </w:r>
      <w:r w:rsidR="00624706">
        <w:rPr>
          <w:lang w:val="en-US"/>
        </w:rPr>
        <w:t xml:space="preserve">between </w:t>
      </w:r>
      <w:r>
        <w:rPr>
          <w:lang w:val="en-US"/>
        </w:rPr>
        <w:t>20</w:t>
      </w:r>
      <w:r w:rsidR="00624706">
        <w:rPr>
          <w:lang w:val="en-US"/>
        </w:rPr>
        <w:t xml:space="preserve"> and </w:t>
      </w:r>
      <w:r>
        <w:rPr>
          <w:lang w:val="en-US"/>
        </w:rPr>
        <w:t>24</w:t>
      </w:r>
      <w:r w:rsidR="00624706">
        <w:rPr>
          <w:lang w:val="en-US"/>
        </w:rPr>
        <w:t xml:space="preserve"> years old (81.3%)</w:t>
      </w:r>
      <w:r>
        <w:rPr>
          <w:lang w:val="en-US"/>
        </w:rPr>
        <w:t>,</w:t>
      </w:r>
      <w:r w:rsidR="00624706">
        <w:rPr>
          <w:lang w:val="en-US"/>
        </w:rPr>
        <w:t xml:space="preserve"> has finished Secondary school, while just 45.5% of rural population has </w:t>
      </w:r>
      <w:r w:rsidR="00DD6EC5">
        <w:rPr>
          <w:lang w:val="en-US"/>
        </w:rPr>
        <w:t>graduated from this</w:t>
      </w:r>
      <w:r w:rsidR="00624706">
        <w:rPr>
          <w:lang w:val="en-US"/>
        </w:rPr>
        <w:t xml:space="preserve"> level. </w:t>
      </w:r>
    </w:p>
    <w:p w:rsidR="00624706" w:rsidRDefault="0008079E" w:rsidP="00624706">
      <w:pPr>
        <w:jc w:val="both"/>
        <w:rPr>
          <w:lang w:val="en-US"/>
        </w:rPr>
      </w:pPr>
      <w:r>
        <w:rPr>
          <w:lang w:val="en-US"/>
        </w:rPr>
        <w:t>More</w:t>
      </w:r>
      <w:r w:rsidR="00791019">
        <w:rPr>
          <w:lang w:val="en-US"/>
        </w:rPr>
        <w:t>over</w:t>
      </w:r>
      <w:r w:rsidR="00624706">
        <w:rPr>
          <w:lang w:val="en-US"/>
        </w:rPr>
        <w:t xml:space="preserve">, the difference between urban and rural </w:t>
      </w:r>
      <w:r w:rsidR="00791019">
        <w:rPr>
          <w:lang w:val="en-US"/>
        </w:rPr>
        <w:t xml:space="preserve">areas </w:t>
      </w:r>
      <w:r w:rsidR="00624706">
        <w:rPr>
          <w:lang w:val="en-US"/>
        </w:rPr>
        <w:t xml:space="preserve">has to be taken into account. </w:t>
      </w:r>
      <w:r w:rsidR="004D690D">
        <w:rPr>
          <w:lang w:val="en-US"/>
        </w:rPr>
        <w:t xml:space="preserve"> </w:t>
      </w:r>
      <w:r w:rsidR="00624706">
        <w:rPr>
          <w:lang w:val="en-US"/>
        </w:rPr>
        <w:t xml:space="preserve">Several of the indicators, such as the level of education </w:t>
      </w:r>
      <w:r w:rsidR="004D690D">
        <w:rPr>
          <w:lang w:val="en-US"/>
        </w:rPr>
        <w:t xml:space="preserve">measured by the students in their normative age and depicted in </w:t>
      </w:r>
      <w:r w:rsidR="00624706">
        <w:rPr>
          <w:lang w:val="en-US"/>
        </w:rPr>
        <w:t>figure 9</w:t>
      </w:r>
      <w:r w:rsidR="004D690D">
        <w:rPr>
          <w:lang w:val="en-US"/>
        </w:rPr>
        <w:t xml:space="preserve">, </w:t>
      </w:r>
      <w:proofErr w:type="gramStart"/>
      <w:r w:rsidR="004D690D">
        <w:rPr>
          <w:lang w:val="en-US"/>
        </w:rPr>
        <w:t>certifies</w:t>
      </w:r>
      <w:proofErr w:type="gramEnd"/>
      <w:r w:rsidR="004D690D">
        <w:rPr>
          <w:lang w:val="en-US"/>
        </w:rPr>
        <w:t xml:space="preserve"> that </w:t>
      </w:r>
      <w:r w:rsidR="00624706">
        <w:rPr>
          <w:lang w:val="en-US"/>
        </w:rPr>
        <w:t xml:space="preserve">the rural areas </w:t>
      </w:r>
      <w:r w:rsidR="004D690D">
        <w:rPr>
          <w:lang w:val="en-US"/>
        </w:rPr>
        <w:t>are completely behind</w:t>
      </w:r>
      <w:r w:rsidR="00624706">
        <w:rPr>
          <w:lang w:val="en-US"/>
        </w:rPr>
        <w:t xml:space="preserve">.  </w:t>
      </w:r>
      <w:r w:rsidR="00624706" w:rsidRPr="00217DEB">
        <w:rPr>
          <w:lang w:val="en-US"/>
        </w:rPr>
        <w:t xml:space="preserve">It </w:t>
      </w:r>
      <w:r w:rsidR="004D690D">
        <w:rPr>
          <w:lang w:val="en-US"/>
        </w:rPr>
        <w:t>provides</w:t>
      </w:r>
      <w:r w:rsidR="00624706" w:rsidRPr="00217DEB">
        <w:rPr>
          <w:lang w:val="en-US"/>
        </w:rPr>
        <w:t xml:space="preserve"> more evidence that the way to equalize t</w:t>
      </w:r>
      <w:r w:rsidR="00624706">
        <w:rPr>
          <w:lang w:val="en-US"/>
        </w:rPr>
        <w:t>he t</w:t>
      </w:r>
      <w:r w:rsidR="004D690D">
        <w:rPr>
          <w:lang w:val="en-US"/>
        </w:rPr>
        <w:t xml:space="preserve">reatment </w:t>
      </w:r>
      <w:r w:rsidR="00624706">
        <w:rPr>
          <w:lang w:val="en-US"/>
        </w:rPr>
        <w:t>rural</w:t>
      </w:r>
      <w:r w:rsidR="004D690D">
        <w:rPr>
          <w:lang w:val="en-US"/>
        </w:rPr>
        <w:t>/urban</w:t>
      </w:r>
      <w:r w:rsidR="00624706">
        <w:rPr>
          <w:lang w:val="en-US"/>
        </w:rPr>
        <w:t xml:space="preserve"> areas would have to include other elements in their costs.</w:t>
      </w:r>
    </w:p>
    <w:p w:rsidR="008B56A5" w:rsidRDefault="008B56A5">
      <w:pPr>
        <w:rPr>
          <w:b/>
          <w:bCs/>
          <w:color w:val="4F81BD" w:themeColor="accent1"/>
          <w:lang w:val="en-US"/>
        </w:rPr>
      </w:pPr>
      <w:r>
        <w:rPr>
          <w:lang w:val="en-US"/>
        </w:rPr>
        <w:br w:type="page"/>
      </w:r>
    </w:p>
    <w:p w:rsidR="006D5694" w:rsidRPr="005030C3" w:rsidRDefault="005030C3" w:rsidP="005030C3">
      <w:pPr>
        <w:pStyle w:val="Caption"/>
        <w:spacing w:after="0"/>
        <w:jc w:val="center"/>
        <w:rPr>
          <w:sz w:val="22"/>
          <w:szCs w:val="22"/>
          <w:lang w:val="en-US"/>
        </w:rPr>
      </w:pPr>
      <w:bookmarkStart w:id="23" w:name="OLE_LINK15"/>
      <w:bookmarkStart w:id="24" w:name="OLE_LINK16"/>
      <w:r>
        <w:rPr>
          <w:sz w:val="22"/>
          <w:szCs w:val="22"/>
          <w:lang w:val="en-US"/>
        </w:rPr>
        <w:lastRenderedPageBreak/>
        <w:t>Figure 10</w:t>
      </w:r>
      <w:r w:rsidR="00643BA3" w:rsidRPr="005030C3">
        <w:rPr>
          <w:sz w:val="22"/>
          <w:szCs w:val="22"/>
          <w:lang w:val="en-US"/>
        </w:rPr>
        <w:t>: Distribution of benefits, by facility level and expenditure quintile, 2008</w:t>
      </w:r>
    </w:p>
    <w:bookmarkEnd w:id="23"/>
    <w:bookmarkEnd w:id="24"/>
    <w:p w:rsidR="005C4C92" w:rsidRDefault="00254189" w:rsidP="00624706">
      <w:pPr>
        <w:spacing w:after="0"/>
        <w:jc w:val="center"/>
        <w:rPr>
          <w:lang w:val="en-US"/>
        </w:rPr>
      </w:pPr>
      <w:r w:rsidRPr="00254189">
        <w:rPr>
          <w:noProof/>
          <w:lang w:val="en-US"/>
        </w:rPr>
        <w:drawing>
          <wp:inline distT="0" distB="0" distL="0" distR="0">
            <wp:extent cx="5292725" cy="3011667"/>
            <wp:effectExtent l="19050" t="0" r="22225" b="0"/>
            <wp:docPr id="7"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624706" w:rsidRPr="00624706" w:rsidRDefault="00624706" w:rsidP="00624706">
      <w:pPr>
        <w:spacing w:after="0"/>
        <w:jc w:val="both"/>
        <w:rPr>
          <w:sz w:val="16"/>
          <w:szCs w:val="16"/>
          <w:lang w:val="en-US"/>
        </w:rPr>
      </w:pPr>
      <w:r w:rsidRPr="00624706">
        <w:rPr>
          <w:sz w:val="16"/>
          <w:szCs w:val="16"/>
          <w:lang w:val="en-US"/>
        </w:rPr>
        <w:t xml:space="preserve">Source: National Statistics Institute. </w:t>
      </w:r>
      <w:proofErr w:type="gramStart"/>
      <w:r w:rsidRPr="00624706">
        <w:rPr>
          <w:sz w:val="16"/>
          <w:szCs w:val="16"/>
          <w:lang w:val="en-US"/>
        </w:rPr>
        <w:t>Ministry of Economics and Finance.</w:t>
      </w:r>
      <w:proofErr w:type="gramEnd"/>
    </w:p>
    <w:p w:rsidR="00624706" w:rsidRPr="00624706" w:rsidRDefault="00624706" w:rsidP="00624706">
      <w:pPr>
        <w:spacing w:after="0"/>
        <w:jc w:val="both"/>
        <w:rPr>
          <w:sz w:val="16"/>
          <w:szCs w:val="16"/>
          <w:lang w:val="en-US"/>
        </w:rPr>
      </w:pPr>
      <w:proofErr w:type="gramStart"/>
      <w:r w:rsidRPr="00624706">
        <w:rPr>
          <w:sz w:val="16"/>
          <w:szCs w:val="16"/>
          <w:lang w:val="en-US"/>
        </w:rPr>
        <w:t>a\.</w:t>
      </w:r>
      <w:proofErr w:type="gramEnd"/>
      <w:r w:rsidRPr="00624706">
        <w:rPr>
          <w:sz w:val="16"/>
          <w:szCs w:val="16"/>
          <w:lang w:val="en-US"/>
        </w:rPr>
        <w:t xml:space="preserve"> The size of bubbles represents the amount of subsidy (in </w:t>
      </w:r>
      <w:proofErr w:type="spellStart"/>
      <w:r w:rsidR="00CB5E17">
        <w:rPr>
          <w:sz w:val="16"/>
          <w:szCs w:val="16"/>
          <w:lang w:val="en-US"/>
        </w:rPr>
        <w:t>Nuevos</w:t>
      </w:r>
      <w:proofErr w:type="spellEnd"/>
      <w:r w:rsidR="00CB5E17">
        <w:rPr>
          <w:sz w:val="16"/>
          <w:szCs w:val="16"/>
          <w:lang w:val="en-US"/>
        </w:rPr>
        <w:t xml:space="preserve"> Soles)</w:t>
      </w:r>
    </w:p>
    <w:p w:rsidR="00624706" w:rsidRDefault="00624706" w:rsidP="00624706">
      <w:pPr>
        <w:jc w:val="both"/>
        <w:rPr>
          <w:lang w:val="en-US"/>
        </w:rPr>
      </w:pPr>
    </w:p>
    <w:p w:rsidR="00624706" w:rsidRDefault="00624706" w:rsidP="00624706">
      <w:pPr>
        <w:jc w:val="both"/>
        <w:rPr>
          <w:lang w:val="en-US"/>
        </w:rPr>
      </w:pPr>
      <w:r>
        <w:rPr>
          <w:lang w:val="en-US"/>
        </w:rPr>
        <w:t xml:space="preserve">The figure 10 summarizes in one single </w:t>
      </w:r>
      <w:r w:rsidR="004D690D">
        <w:rPr>
          <w:lang w:val="en-US"/>
        </w:rPr>
        <w:t>diagram</w:t>
      </w:r>
      <w:r>
        <w:rPr>
          <w:lang w:val="en-US"/>
        </w:rPr>
        <w:t xml:space="preserve"> the distribution of resources among quintiles and levels of education. A very small and constant amount of resources is directed to preschool, a larger, actually the largest chunk of resources</w:t>
      </w:r>
      <w:r w:rsidR="004D690D">
        <w:rPr>
          <w:lang w:val="en-US"/>
        </w:rPr>
        <w:t>,</w:t>
      </w:r>
      <w:r>
        <w:rPr>
          <w:lang w:val="en-US"/>
        </w:rPr>
        <w:t xml:space="preserve"> goes to primary level and</w:t>
      </w:r>
      <w:r w:rsidR="004D690D">
        <w:rPr>
          <w:lang w:val="en-US"/>
        </w:rPr>
        <w:t xml:space="preserve"> it is </w:t>
      </w:r>
      <w:r>
        <w:rPr>
          <w:lang w:val="en-US"/>
        </w:rPr>
        <w:t xml:space="preserve">slightly progressive; the level of the amount and progressivity decreases in </w:t>
      </w:r>
      <w:r w:rsidR="004D690D">
        <w:rPr>
          <w:lang w:val="en-US"/>
        </w:rPr>
        <w:t xml:space="preserve">the </w:t>
      </w:r>
      <w:r>
        <w:rPr>
          <w:lang w:val="en-US"/>
        </w:rPr>
        <w:t>secondary level</w:t>
      </w:r>
      <w:r w:rsidR="004D690D">
        <w:rPr>
          <w:lang w:val="en-US"/>
        </w:rPr>
        <w:t xml:space="preserve">. Finally, </w:t>
      </w:r>
      <w:r>
        <w:rPr>
          <w:lang w:val="en-US"/>
        </w:rPr>
        <w:t xml:space="preserve">the pattern changes </w:t>
      </w:r>
      <w:r w:rsidR="004D690D">
        <w:rPr>
          <w:lang w:val="en-US"/>
        </w:rPr>
        <w:t xml:space="preserve">dramatically </w:t>
      </w:r>
      <w:r>
        <w:rPr>
          <w:lang w:val="en-US"/>
        </w:rPr>
        <w:t xml:space="preserve">in tertiary level, </w:t>
      </w:r>
      <w:r w:rsidR="004D690D">
        <w:rPr>
          <w:lang w:val="en-US"/>
        </w:rPr>
        <w:t>where most of the resources go</w:t>
      </w:r>
      <w:r>
        <w:rPr>
          <w:lang w:val="en-US"/>
        </w:rPr>
        <w:t xml:space="preserve"> to the relative </w:t>
      </w:r>
      <w:r w:rsidR="00791019">
        <w:rPr>
          <w:lang w:val="en-US"/>
        </w:rPr>
        <w:t>less</w:t>
      </w:r>
      <w:r>
        <w:rPr>
          <w:lang w:val="en-US"/>
        </w:rPr>
        <w:t xml:space="preserve"> population.</w:t>
      </w:r>
      <w:r w:rsidR="00DD6EC5">
        <w:rPr>
          <w:lang w:val="en-US"/>
        </w:rPr>
        <w:t xml:space="preserve">  This figure is actual</w:t>
      </w:r>
      <w:r w:rsidR="004D690D">
        <w:rPr>
          <w:lang w:val="en-US"/>
        </w:rPr>
        <w:t>ly incomplete or does not tell</w:t>
      </w:r>
      <w:r w:rsidR="00DD6EC5">
        <w:rPr>
          <w:lang w:val="en-US"/>
        </w:rPr>
        <w:t xml:space="preserve"> </w:t>
      </w:r>
      <w:r w:rsidR="004D690D">
        <w:rPr>
          <w:lang w:val="en-US"/>
        </w:rPr>
        <w:t>the entire</w:t>
      </w:r>
      <w:r w:rsidR="00DD6EC5">
        <w:rPr>
          <w:lang w:val="en-US"/>
        </w:rPr>
        <w:t xml:space="preserve"> story</w:t>
      </w:r>
      <w:r w:rsidR="004D690D">
        <w:rPr>
          <w:lang w:val="en-US"/>
        </w:rPr>
        <w:t>; one must</w:t>
      </w:r>
      <w:r w:rsidR="00DD6EC5">
        <w:rPr>
          <w:lang w:val="en-US"/>
        </w:rPr>
        <w:t xml:space="preserve"> review other indicators like coverage</w:t>
      </w:r>
      <w:r w:rsidR="004D690D">
        <w:rPr>
          <w:lang w:val="en-US"/>
        </w:rPr>
        <w:t xml:space="preserve"> to complement these findings</w:t>
      </w:r>
      <w:r w:rsidR="00DD6EC5">
        <w:rPr>
          <w:lang w:val="en-US"/>
        </w:rPr>
        <w:t xml:space="preserve">. </w:t>
      </w:r>
    </w:p>
    <w:p w:rsidR="00624706" w:rsidRDefault="00624706" w:rsidP="006D5694">
      <w:pPr>
        <w:jc w:val="center"/>
        <w:rPr>
          <w:lang w:val="en-US"/>
        </w:rPr>
      </w:pPr>
    </w:p>
    <w:p w:rsidR="00624706" w:rsidRDefault="00624706" w:rsidP="006D5694">
      <w:pPr>
        <w:jc w:val="center"/>
        <w:rPr>
          <w:lang w:val="en-US"/>
        </w:rPr>
      </w:pPr>
    </w:p>
    <w:p w:rsidR="005C4C92" w:rsidRDefault="005C4C92" w:rsidP="00715DBC">
      <w:pPr>
        <w:jc w:val="both"/>
        <w:rPr>
          <w:lang w:val="en-US"/>
        </w:rPr>
      </w:pPr>
    </w:p>
    <w:p w:rsidR="005C4C92" w:rsidRDefault="005C4C92">
      <w:pPr>
        <w:rPr>
          <w:lang w:val="en-US"/>
        </w:rPr>
      </w:pPr>
      <w:r>
        <w:rPr>
          <w:lang w:val="en-US"/>
        </w:rPr>
        <w:br w:type="page"/>
      </w:r>
    </w:p>
    <w:p w:rsidR="0055584E" w:rsidRDefault="00887D69" w:rsidP="0055584E">
      <w:pPr>
        <w:pStyle w:val="Heading1"/>
        <w:rPr>
          <w:lang w:val="en-US"/>
        </w:rPr>
      </w:pPr>
      <w:bookmarkStart w:id="25" w:name="_Toc255446172"/>
      <w:r>
        <w:rPr>
          <w:lang w:val="en-US"/>
        </w:rPr>
        <w:lastRenderedPageBreak/>
        <w:t xml:space="preserve">IV. </w:t>
      </w:r>
      <w:r w:rsidR="00DD6EC5">
        <w:rPr>
          <w:lang w:val="en-US"/>
        </w:rPr>
        <w:t>Equity at the regional scene</w:t>
      </w:r>
      <w:bookmarkEnd w:id="25"/>
    </w:p>
    <w:p w:rsidR="00CC6B34" w:rsidRDefault="00CC6B34" w:rsidP="00910DB6">
      <w:pPr>
        <w:spacing w:after="0"/>
        <w:rPr>
          <w:lang w:val="en-US"/>
        </w:rPr>
      </w:pPr>
    </w:p>
    <w:p w:rsidR="00E466BC" w:rsidRDefault="00B04885" w:rsidP="00910DB6">
      <w:pPr>
        <w:spacing w:after="0"/>
        <w:jc w:val="both"/>
        <w:rPr>
          <w:lang w:val="en-US"/>
        </w:rPr>
      </w:pPr>
      <w:r>
        <w:rPr>
          <w:lang w:val="en-US"/>
        </w:rPr>
        <w:t xml:space="preserve">As an extension of </w:t>
      </w:r>
      <w:r w:rsidR="00EA1B4E">
        <w:rPr>
          <w:lang w:val="en-US"/>
        </w:rPr>
        <w:t xml:space="preserve">the BIA analysis, </w:t>
      </w:r>
      <w:r w:rsidR="0036372E">
        <w:rPr>
          <w:lang w:val="en-US"/>
        </w:rPr>
        <w:t xml:space="preserve">it would have been quite useful to compare rural and urban areas. However, the data set available has some restrictions </w:t>
      </w:r>
      <w:r w:rsidR="00220824">
        <w:rPr>
          <w:lang w:val="en-US"/>
        </w:rPr>
        <w:t>that limit a proper analysis (</w:t>
      </w:r>
      <w:r w:rsidR="00A51092">
        <w:rPr>
          <w:lang w:val="en-US"/>
        </w:rPr>
        <w:t>specifically regarding the SIAF data</w:t>
      </w:r>
      <w:r w:rsidR="003D6D21">
        <w:rPr>
          <w:lang w:val="en-US"/>
        </w:rPr>
        <w:t>set</w:t>
      </w:r>
      <w:r w:rsidR="00220824">
        <w:rPr>
          <w:lang w:val="en-US"/>
        </w:rPr>
        <w:t>)</w:t>
      </w:r>
      <w:r w:rsidR="005B0A63">
        <w:rPr>
          <w:lang w:val="en-US"/>
        </w:rPr>
        <w:t xml:space="preserve">. </w:t>
      </w:r>
      <w:r w:rsidR="00220824">
        <w:rPr>
          <w:lang w:val="en-US"/>
        </w:rPr>
        <w:t>However the team was able to perform a regional analysis</w:t>
      </w:r>
      <w:r w:rsidR="00593961">
        <w:rPr>
          <w:lang w:val="en-US"/>
        </w:rPr>
        <w:t xml:space="preserve"> and </w:t>
      </w:r>
      <w:r w:rsidR="000B2473">
        <w:rPr>
          <w:lang w:val="en-US"/>
        </w:rPr>
        <w:t>identify how much of the public expenditure is spent for each of the twenty-five regions</w:t>
      </w:r>
      <w:r w:rsidR="00F162D3">
        <w:rPr>
          <w:lang w:val="en-US"/>
        </w:rPr>
        <w:t>.</w:t>
      </w:r>
      <w:r w:rsidR="00DD6EC5">
        <w:rPr>
          <w:lang w:val="en-US"/>
        </w:rPr>
        <w:t xml:space="preserve">  The BIA analysis has been extended </w:t>
      </w:r>
      <w:r w:rsidR="00E466BC">
        <w:rPr>
          <w:lang w:val="en-US"/>
        </w:rPr>
        <w:t xml:space="preserve">to </w:t>
      </w:r>
      <w:r w:rsidR="00593961">
        <w:rPr>
          <w:lang w:val="en-US"/>
        </w:rPr>
        <w:t xml:space="preserve">a group of </w:t>
      </w:r>
      <w:r w:rsidR="00E466BC">
        <w:rPr>
          <w:lang w:val="en-US"/>
        </w:rPr>
        <w:t xml:space="preserve">regions </w:t>
      </w:r>
      <w:r w:rsidR="00DD6EC5">
        <w:rPr>
          <w:lang w:val="en-US"/>
        </w:rPr>
        <w:t xml:space="preserve">and looks </w:t>
      </w:r>
      <w:r w:rsidR="00E466BC">
        <w:rPr>
          <w:lang w:val="en-US"/>
        </w:rPr>
        <w:t>for patterns and differences depending on the</w:t>
      </w:r>
      <w:r w:rsidR="00593961">
        <w:rPr>
          <w:lang w:val="en-US"/>
        </w:rPr>
        <w:t>ir regional</w:t>
      </w:r>
      <w:r w:rsidR="00E466BC">
        <w:rPr>
          <w:lang w:val="en-US"/>
        </w:rPr>
        <w:t xml:space="preserve"> location.</w:t>
      </w:r>
    </w:p>
    <w:p w:rsidR="00910DB6" w:rsidRDefault="00E466BC" w:rsidP="00910DB6">
      <w:pPr>
        <w:spacing w:after="0"/>
        <w:jc w:val="both"/>
        <w:rPr>
          <w:lang w:val="en-US"/>
        </w:rPr>
      </w:pPr>
      <w:r>
        <w:rPr>
          <w:lang w:val="en-US"/>
        </w:rPr>
        <w:t xml:space="preserve"> </w:t>
      </w:r>
    </w:p>
    <w:p w:rsidR="00B9097B" w:rsidRDefault="00B9097B" w:rsidP="005001F7">
      <w:pPr>
        <w:jc w:val="both"/>
        <w:rPr>
          <w:lang w:val="en-US"/>
        </w:rPr>
      </w:pPr>
      <w:r>
        <w:rPr>
          <w:lang w:val="en-US"/>
        </w:rPr>
        <w:t>These regions have been regroup</w:t>
      </w:r>
      <w:r w:rsidR="00423F8B">
        <w:rPr>
          <w:lang w:val="en-US"/>
        </w:rPr>
        <w:t>ed</w:t>
      </w:r>
      <w:r>
        <w:rPr>
          <w:lang w:val="en-US"/>
        </w:rPr>
        <w:t xml:space="preserve"> taken into account their </w:t>
      </w:r>
      <w:r w:rsidR="0062017D">
        <w:rPr>
          <w:lang w:val="en-US"/>
        </w:rPr>
        <w:t xml:space="preserve">geographical, social and economic </w:t>
      </w:r>
      <w:r>
        <w:rPr>
          <w:lang w:val="en-US"/>
        </w:rPr>
        <w:t>similarities</w:t>
      </w:r>
      <w:r w:rsidR="0037232D">
        <w:rPr>
          <w:lang w:val="en-US"/>
        </w:rPr>
        <w:t>.</w:t>
      </w:r>
      <w:r w:rsidR="00AD4EBA">
        <w:rPr>
          <w:lang w:val="en-US"/>
        </w:rPr>
        <w:t xml:space="preserve"> </w:t>
      </w:r>
      <w:r w:rsidR="009626BC">
        <w:rPr>
          <w:lang w:val="en-US"/>
        </w:rPr>
        <w:t>F</w:t>
      </w:r>
      <w:r w:rsidR="0037232D">
        <w:rPr>
          <w:lang w:val="en-US"/>
        </w:rPr>
        <w:t>or example, the Costa Norte region</w:t>
      </w:r>
      <w:r w:rsidR="00834DAF">
        <w:rPr>
          <w:lang w:val="en-US"/>
        </w:rPr>
        <w:t xml:space="preserve"> (</w:t>
      </w:r>
      <w:r w:rsidR="004C437A">
        <w:rPr>
          <w:lang w:val="en-US"/>
        </w:rPr>
        <w:t>Table</w:t>
      </w:r>
      <w:r w:rsidR="00834DAF">
        <w:rPr>
          <w:lang w:val="en-US"/>
        </w:rPr>
        <w:t xml:space="preserve"> 12)</w:t>
      </w:r>
      <w:r w:rsidR="00AD4EBA">
        <w:rPr>
          <w:lang w:val="en-US"/>
        </w:rPr>
        <w:t xml:space="preserve"> </w:t>
      </w:r>
      <w:r w:rsidR="00834DAF">
        <w:rPr>
          <w:lang w:val="en-US"/>
        </w:rPr>
        <w:t>presents</w:t>
      </w:r>
      <w:r w:rsidR="00AD4EBA">
        <w:rPr>
          <w:lang w:val="en-US"/>
        </w:rPr>
        <w:t xml:space="preserve"> that a very small percentage of the public expenditure goes to Preschool education</w:t>
      </w:r>
      <w:r w:rsidR="00650447">
        <w:rPr>
          <w:lang w:val="en-US"/>
        </w:rPr>
        <w:t xml:space="preserve"> (8.39% of the </w:t>
      </w:r>
      <w:r w:rsidR="0092473F">
        <w:rPr>
          <w:lang w:val="en-US"/>
        </w:rPr>
        <w:t xml:space="preserve">total </w:t>
      </w:r>
      <w:r w:rsidR="00650447">
        <w:rPr>
          <w:lang w:val="en-US"/>
        </w:rPr>
        <w:t xml:space="preserve">budget for </w:t>
      </w:r>
      <w:r w:rsidR="008A6983">
        <w:rPr>
          <w:lang w:val="en-US"/>
        </w:rPr>
        <w:t>that</w:t>
      </w:r>
      <w:r w:rsidR="00650447">
        <w:rPr>
          <w:lang w:val="en-US"/>
        </w:rPr>
        <w:t xml:space="preserve"> region)</w:t>
      </w:r>
      <w:r w:rsidR="00AD4EBA">
        <w:rPr>
          <w:lang w:val="en-US"/>
        </w:rPr>
        <w:t xml:space="preserve">. </w:t>
      </w:r>
      <w:r w:rsidR="006C35A5">
        <w:rPr>
          <w:lang w:val="en-US"/>
        </w:rPr>
        <w:t xml:space="preserve">About the </w:t>
      </w:r>
      <w:r w:rsidR="00F25C12">
        <w:rPr>
          <w:lang w:val="en-US"/>
        </w:rPr>
        <w:t xml:space="preserve">distribution of </w:t>
      </w:r>
      <w:r w:rsidR="006C35A5">
        <w:rPr>
          <w:lang w:val="en-US"/>
        </w:rPr>
        <w:t>budget for Primary school</w:t>
      </w:r>
      <w:r w:rsidR="00DC7679">
        <w:rPr>
          <w:lang w:val="en-US"/>
        </w:rPr>
        <w:t>,</w:t>
      </w:r>
      <w:r w:rsidR="006C35A5">
        <w:rPr>
          <w:lang w:val="en-US"/>
        </w:rPr>
        <w:t xml:space="preserve"> </w:t>
      </w:r>
      <w:r w:rsidR="00661683">
        <w:rPr>
          <w:lang w:val="en-US"/>
        </w:rPr>
        <w:t xml:space="preserve">there is a </w:t>
      </w:r>
      <w:r w:rsidR="00F25C12">
        <w:rPr>
          <w:lang w:val="en-US"/>
        </w:rPr>
        <w:t>moderate</w:t>
      </w:r>
      <w:r w:rsidR="00593961">
        <w:rPr>
          <w:lang w:val="en-US"/>
        </w:rPr>
        <w:t xml:space="preserve"> concentration in the first quintiles</w:t>
      </w:r>
      <w:r w:rsidR="00DC7679">
        <w:rPr>
          <w:lang w:val="en-US"/>
        </w:rPr>
        <w:t>,</w:t>
      </w:r>
      <w:r w:rsidR="00834DAF">
        <w:rPr>
          <w:lang w:val="en-US"/>
        </w:rPr>
        <w:t xml:space="preserve"> and</w:t>
      </w:r>
      <w:r w:rsidR="00593961">
        <w:rPr>
          <w:lang w:val="en-US"/>
        </w:rPr>
        <w:t xml:space="preserve"> it</w:t>
      </w:r>
      <w:r w:rsidR="00834DAF">
        <w:rPr>
          <w:lang w:val="en-US"/>
        </w:rPr>
        <w:t xml:space="preserve"> is the </w:t>
      </w:r>
      <w:r w:rsidR="00650447">
        <w:rPr>
          <w:lang w:val="en-US"/>
        </w:rPr>
        <w:t>level that spends</w:t>
      </w:r>
      <w:r w:rsidR="00793E26">
        <w:rPr>
          <w:lang w:val="en-US"/>
        </w:rPr>
        <w:t xml:space="preserve"> the most</w:t>
      </w:r>
      <w:r w:rsidR="00650447">
        <w:rPr>
          <w:lang w:val="en-US"/>
        </w:rPr>
        <w:t xml:space="preserve"> (39.40%)</w:t>
      </w:r>
      <w:r w:rsidR="00793E26">
        <w:rPr>
          <w:lang w:val="en-US"/>
        </w:rPr>
        <w:t>.</w:t>
      </w:r>
      <w:r w:rsidR="00DC7679">
        <w:rPr>
          <w:lang w:val="en-US"/>
        </w:rPr>
        <w:t xml:space="preserve"> In Secondary Education, there is a slight focus on the middle quintiles</w:t>
      </w:r>
      <w:r w:rsidR="0009591F">
        <w:rPr>
          <w:lang w:val="en-US"/>
        </w:rPr>
        <w:t xml:space="preserve">. Finally, for Tertiary education there is </w:t>
      </w:r>
      <w:r w:rsidR="005D1E43">
        <w:rPr>
          <w:lang w:val="en-US"/>
        </w:rPr>
        <w:t>a</w:t>
      </w:r>
      <w:r w:rsidR="0009591F">
        <w:rPr>
          <w:lang w:val="en-US"/>
        </w:rPr>
        <w:t xml:space="preserve"> </w:t>
      </w:r>
      <w:r w:rsidR="007505D1">
        <w:rPr>
          <w:lang w:val="en-US"/>
        </w:rPr>
        <w:t xml:space="preserve">clear </w:t>
      </w:r>
      <w:r w:rsidR="0009591F">
        <w:rPr>
          <w:lang w:val="en-US"/>
        </w:rPr>
        <w:t>bias</w:t>
      </w:r>
      <w:r w:rsidR="00593961">
        <w:rPr>
          <w:lang w:val="en-US"/>
        </w:rPr>
        <w:t xml:space="preserve"> to the relative richest quintile</w:t>
      </w:r>
      <w:r w:rsidR="00F94A67">
        <w:rPr>
          <w:lang w:val="en-US"/>
        </w:rPr>
        <w:t>.</w:t>
      </w:r>
      <w:r w:rsidR="001A7EC9">
        <w:rPr>
          <w:lang w:val="en-US"/>
        </w:rPr>
        <w:t xml:space="preserve"> Th</w:t>
      </w:r>
      <w:r w:rsidR="00352F78">
        <w:rPr>
          <w:lang w:val="en-US"/>
        </w:rPr>
        <w:t xml:space="preserve">is is </w:t>
      </w:r>
      <w:r w:rsidR="001A7EC9">
        <w:rPr>
          <w:lang w:val="en-US"/>
        </w:rPr>
        <w:t xml:space="preserve">explained by the simple fact that </w:t>
      </w:r>
      <w:r w:rsidR="007505D1">
        <w:rPr>
          <w:lang w:val="en-US"/>
        </w:rPr>
        <w:t>young people who come from the lowest quintiles do not usually go to university or any kind of Tertiary education.</w:t>
      </w:r>
      <w:r w:rsidR="001C5049">
        <w:rPr>
          <w:lang w:val="en-US"/>
        </w:rPr>
        <w:t xml:space="preserve"> Instead, they are forced to work in order to support household spending</w:t>
      </w:r>
      <w:r w:rsidR="0073295B">
        <w:rPr>
          <w:lang w:val="en-US"/>
        </w:rPr>
        <w:t>.</w:t>
      </w:r>
    </w:p>
    <w:p w:rsidR="008A6983" w:rsidRDefault="008A6983" w:rsidP="005001F7">
      <w:pPr>
        <w:jc w:val="both"/>
        <w:rPr>
          <w:lang w:val="en-US"/>
        </w:rPr>
      </w:pPr>
    </w:p>
    <w:p w:rsidR="00EA1B4E" w:rsidRPr="005030C3" w:rsidRDefault="004C437A" w:rsidP="00EA1B4E">
      <w:pPr>
        <w:pStyle w:val="Caption"/>
        <w:spacing w:after="0"/>
        <w:jc w:val="center"/>
        <w:rPr>
          <w:sz w:val="22"/>
          <w:szCs w:val="22"/>
          <w:lang w:val="en-US"/>
        </w:rPr>
      </w:pPr>
      <w:r>
        <w:rPr>
          <w:sz w:val="22"/>
          <w:szCs w:val="22"/>
          <w:lang w:val="en-US"/>
        </w:rPr>
        <w:t xml:space="preserve">Table </w:t>
      </w:r>
      <w:r w:rsidR="00EA1B4E">
        <w:rPr>
          <w:sz w:val="22"/>
          <w:szCs w:val="22"/>
          <w:lang w:val="en-US"/>
        </w:rPr>
        <w:t>1</w:t>
      </w:r>
      <w:r w:rsidR="00E6087B">
        <w:rPr>
          <w:sz w:val="22"/>
          <w:szCs w:val="22"/>
          <w:lang w:val="en-US"/>
        </w:rPr>
        <w:t>2</w:t>
      </w:r>
      <w:r w:rsidR="00EA1B4E" w:rsidRPr="005030C3">
        <w:rPr>
          <w:sz w:val="22"/>
          <w:szCs w:val="22"/>
          <w:lang w:val="en-US"/>
        </w:rPr>
        <w:t>: Distribution of benefits</w:t>
      </w:r>
      <w:r w:rsidR="00EA1B4E">
        <w:rPr>
          <w:sz w:val="22"/>
          <w:szCs w:val="22"/>
          <w:lang w:val="en-US"/>
        </w:rPr>
        <w:t xml:space="preserve"> of budget in Macro-region 1</w:t>
      </w:r>
      <w:r w:rsidR="00EA1B4E" w:rsidRPr="005030C3">
        <w:rPr>
          <w:sz w:val="22"/>
          <w:szCs w:val="22"/>
          <w:lang w:val="en-US"/>
        </w:rPr>
        <w:t>, by facility level and expenditure quintile, 2008</w:t>
      </w:r>
    </w:p>
    <w:tbl>
      <w:tblPr>
        <w:tblW w:w="8962" w:type="dxa"/>
        <w:jc w:val="center"/>
        <w:tblInd w:w="55" w:type="dxa"/>
        <w:tblCellMar>
          <w:left w:w="70" w:type="dxa"/>
          <w:right w:w="70" w:type="dxa"/>
        </w:tblCellMar>
        <w:tblLook w:val="04A0"/>
      </w:tblPr>
      <w:tblGrid>
        <w:gridCol w:w="2283"/>
        <w:gridCol w:w="799"/>
        <w:gridCol w:w="1139"/>
        <w:gridCol w:w="1139"/>
        <w:gridCol w:w="1139"/>
        <w:gridCol w:w="1139"/>
        <w:gridCol w:w="1324"/>
      </w:tblGrid>
      <w:tr w:rsidR="00EB531B" w:rsidRPr="00EB531B" w:rsidTr="00910DB6">
        <w:trPr>
          <w:trHeight w:val="300"/>
          <w:jc w:val="center"/>
        </w:trPr>
        <w:tc>
          <w:tcPr>
            <w:tcW w:w="2283" w:type="dxa"/>
            <w:tcBorders>
              <w:top w:val="nil"/>
              <w:left w:val="nil"/>
              <w:bottom w:val="nil"/>
              <w:right w:val="nil"/>
            </w:tcBorders>
            <w:shd w:val="clear" w:color="000000" w:fill="FFFFFF"/>
            <w:noWrap/>
            <w:vAlign w:val="bottom"/>
            <w:hideMark/>
          </w:tcPr>
          <w:p w:rsidR="00EB531B" w:rsidRPr="00EB531B" w:rsidRDefault="00EB531B" w:rsidP="00EB531B">
            <w:pPr>
              <w:spacing w:after="0" w:line="240" w:lineRule="auto"/>
              <w:jc w:val="center"/>
              <w:rPr>
                <w:rFonts w:ascii="Calibri" w:eastAsia="Times New Roman" w:hAnsi="Calibri" w:cs="Times New Roman"/>
                <w:b/>
                <w:bCs/>
                <w:color w:val="000000"/>
                <w:lang w:eastAsia="es-ES"/>
              </w:rPr>
            </w:pPr>
            <w:r w:rsidRPr="00EB531B">
              <w:rPr>
                <w:rFonts w:ascii="Calibri" w:eastAsia="Times New Roman" w:hAnsi="Calibri" w:cs="Times New Roman"/>
                <w:b/>
                <w:bCs/>
                <w:color w:val="000000"/>
                <w:lang w:eastAsia="es-ES"/>
              </w:rPr>
              <w:t>Costa Norte</w:t>
            </w:r>
          </w:p>
        </w:tc>
        <w:tc>
          <w:tcPr>
            <w:tcW w:w="6679" w:type="dxa"/>
            <w:gridSpan w:val="6"/>
            <w:tcBorders>
              <w:top w:val="single" w:sz="4" w:space="0" w:color="auto"/>
              <w:left w:val="single" w:sz="4" w:space="0" w:color="auto"/>
              <w:bottom w:val="single" w:sz="4" w:space="0" w:color="auto"/>
              <w:right w:val="single" w:sz="4" w:space="0" w:color="auto"/>
            </w:tcBorders>
            <w:shd w:val="clear" w:color="000000" w:fill="B2A1C7"/>
            <w:noWrap/>
            <w:vAlign w:val="bottom"/>
            <w:hideMark/>
          </w:tcPr>
          <w:p w:rsidR="00EB531B" w:rsidRPr="00EB531B" w:rsidRDefault="00EB531B" w:rsidP="00EB531B">
            <w:pPr>
              <w:spacing w:after="0" w:line="240" w:lineRule="auto"/>
              <w:jc w:val="center"/>
              <w:rPr>
                <w:rFonts w:ascii="Calibri" w:eastAsia="Times New Roman" w:hAnsi="Calibri" w:cs="Times New Roman"/>
                <w:b/>
                <w:bCs/>
                <w:color w:val="000000"/>
                <w:lang w:eastAsia="es-ES"/>
              </w:rPr>
            </w:pPr>
            <w:proofErr w:type="spellStart"/>
            <w:r w:rsidRPr="00EB531B">
              <w:rPr>
                <w:rFonts w:ascii="Calibri" w:eastAsia="Times New Roman" w:hAnsi="Calibri" w:cs="Times New Roman"/>
                <w:b/>
                <w:bCs/>
                <w:color w:val="000000"/>
                <w:lang w:eastAsia="es-ES"/>
              </w:rPr>
              <w:t>Expenditure</w:t>
            </w:r>
            <w:proofErr w:type="spellEnd"/>
            <w:r w:rsidRPr="00EB531B">
              <w:rPr>
                <w:rFonts w:ascii="Calibri" w:eastAsia="Times New Roman" w:hAnsi="Calibri" w:cs="Times New Roman"/>
                <w:b/>
                <w:bCs/>
                <w:color w:val="000000"/>
                <w:lang w:eastAsia="es-ES"/>
              </w:rPr>
              <w:t xml:space="preserve"> </w:t>
            </w:r>
            <w:proofErr w:type="spellStart"/>
            <w:r w:rsidRPr="00EB531B">
              <w:rPr>
                <w:rFonts w:ascii="Calibri" w:eastAsia="Times New Roman" w:hAnsi="Calibri" w:cs="Times New Roman"/>
                <w:b/>
                <w:bCs/>
                <w:color w:val="000000"/>
                <w:lang w:eastAsia="es-ES"/>
              </w:rPr>
              <w:t>quintile</w:t>
            </w:r>
            <w:proofErr w:type="spellEnd"/>
          </w:p>
        </w:tc>
      </w:tr>
      <w:tr w:rsidR="00EB531B" w:rsidRPr="00EB531B" w:rsidTr="00910DB6">
        <w:trPr>
          <w:trHeight w:val="300"/>
          <w:jc w:val="center"/>
        </w:trPr>
        <w:tc>
          <w:tcPr>
            <w:tcW w:w="2283" w:type="dxa"/>
            <w:tcBorders>
              <w:top w:val="single" w:sz="4" w:space="0" w:color="auto"/>
              <w:left w:val="single" w:sz="4" w:space="0" w:color="auto"/>
              <w:bottom w:val="single" w:sz="4" w:space="0" w:color="auto"/>
              <w:right w:val="single" w:sz="4" w:space="0" w:color="auto"/>
            </w:tcBorders>
            <w:shd w:val="clear" w:color="000000" w:fill="B2A1C7"/>
            <w:noWrap/>
            <w:vAlign w:val="bottom"/>
            <w:hideMark/>
          </w:tcPr>
          <w:p w:rsidR="00EB531B" w:rsidRPr="00EB531B" w:rsidRDefault="00EB531B" w:rsidP="00EB531B">
            <w:pPr>
              <w:spacing w:after="0" w:line="240" w:lineRule="auto"/>
              <w:ind w:firstLineChars="100" w:firstLine="221"/>
              <w:rPr>
                <w:rFonts w:ascii="Calibri" w:eastAsia="Times New Roman" w:hAnsi="Calibri" w:cs="Times New Roman"/>
                <w:b/>
                <w:bCs/>
                <w:color w:val="000000"/>
                <w:lang w:eastAsia="es-ES"/>
              </w:rPr>
            </w:pPr>
            <w:proofErr w:type="spellStart"/>
            <w:r w:rsidRPr="00EB531B">
              <w:rPr>
                <w:rFonts w:ascii="Calibri" w:eastAsia="Times New Roman" w:hAnsi="Calibri" w:cs="Times New Roman"/>
                <w:b/>
                <w:bCs/>
                <w:color w:val="000000"/>
                <w:lang w:eastAsia="es-ES"/>
              </w:rPr>
              <w:t>Education</w:t>
            </w:r>
            <w:proofErr w:type="spellEnd"/>
            <w:r w:rsidRPr="00EB531B">
              <w:rPr>
                <w:rFonts w:ascii="Calibri" w:eastAsia="Times New Roman" w:hAnsi="Calibri" w:cs="Times New Roman"/>
                <w:b/>
                <w:bCs/>
                <w:color w:val="000000"/>
                <w:lang w:eastAsia="es-ES"/>
              </w:rPr>
              <w:t xml:space="preserve"> </w:t>
            </w:r>
            <w:proofErr w:type="spellStart"/>
            <w:r w:rsidRPr="00EB531B">
              <w:rPr>
                <w:rFonts w:ascii="Calibri" w:eastAsia="Times New Roman" w:hAnsi="Calibri" w:cs="Times New Roman"/>
                <w:b/>
                <w:bCs/>
                <w:color w:val="000000"/>
                <w:lang w:eastAsia="es-ES"/>
              </w:rPr>
              <w:t>level</w:t>
            </w:r>
            <w:proofErr w:type="spellEnd"/>
          </w:p>
        </w:tc>
        <w:tc>
          <w:tcPr>
            <w:tcW w:w="799" w:type="dxa"/>
            <w:tcBorders>
              <w:top w:val="nil"/>
              <w:left w:val="nil"/>
              <w:bottom w:val="nil"/>
              <w:right w:val="nil"/>
            </w:tcBorders>
            <w:shd w:val="clear" w:color="000000" w:fill="B8CCE4"/>
            <w:noWrap/>
            <w:vAlign w:val="bottom"/>
            <w:hideMark/>
          </w:tcPr>
          <w:p w:rsidR="00EB531B" w:rsidRPr="00EB531B" w:rsidRDefault="00EB531B" w:rsidP="00EB531B">
            <w:pPr>
              <w:spacing w:after="0" w:line="240" w:lineRule="auto"/>
              <w:jc w:val="right"/>
              <w:rPr>
                <w:rFonts w:ascii="Calibri" w:eastAsia="Times New Roman" w:hAnsi="Calibri" w:cs="Times New Roman"/>
                <w:color w:val="000000"/>
                <w:lang w:eastAsia="es-ES"/>
              </w:rPr>
            </w:pPr>
            <w:r w:rsidRPr="00EB531B">
              <w:rPr>
                <w:rFonts w:ascii="Calibri" w:eastAsia="Times New Roman" w:hAnsi="Calibri" w:cs="Times New Roman"/>
                <w:color w:val="000000"/>
                <w:lang w:eastAsia="es-ES"/>
              </w:rPr>
              <w:t>1</w:t>
            </w:r>
          </w:p>
        </w:tc>
        <w:tc>
          <w:tcPr>
            <w:tcW w:w="1139" w:type="dxa"/>
            <w:tcBorders>
              <w:top w:val="nil"/>
              <w:left w:val="nil"/>
              <w:bottom w:val="nil"/>
              <w:right w:val="nil"/>
            </w:tcBorders>
            <w:shd w:val="clear" w:color="000000" w:fill="B8CCE4"/>
            <w:noWrap/>
            <w:vAlign w:val="bottom"/>
            <w:hideMark/>
          </w:tcPr>
          <w:p w:rsidR="00EB531B" w:rsidRPr="00EB531B" w:rsidRDefault="00EB531B" w:rsidP="00EB531B">
            <w:pPr>
              <w:spacing w:after="0" w:line="240" w:lineRule="auto"/>
              <w:jc w:val="right"/>
              <w:rPr>
                <w:rFonts w:ascii="Calibri" w:eastAsia="Times New Roman" w:hAnsi="Calibri" w:cs="Times New Roman"/>
                <w:color w:val="000000"/>
                <w:lang w:eastAsia="es-ES"/>
              </w:rPr>
            </w:pPr>
            <w:r w:rsidRPr="00EB531B">
              <w:rPr>
                <w:rFonts w:ascii="Calibri" w:eastAsia="Times New Roman" w:hAnsi="Calibri" w:cs="Times New Roman"/>
                <w:color w:val="000000"/>
                <w:lang w:eastAsia="es-ES"/>
              </w:rPr>
              <w:t>2</w:t>
            </w:r>
          </w:p>
        </w:tc>
        <w:tc>
          <w:tcPr>
            <w:tcW w:w="1139" w:type="dxa"/>
            <w:tcBorders>
              <w:top w:val="nil"/>
              <w:left w:val="nil"/>
              <w:bottom w:val="nil"/>
              <w:right w:val="nil"/>
            </w:tcBorders>
            <w:shd w:val="clear" w:color="000000" w:fill="B8CCE4"/>
            <w:noWrap/>
            <w:vAlign w:val="bottom"/>
            <w:hideMark/>
          </w:tcPr>
          <w:p w:rsidR="00EB531B" w:rsidRPr="00EB531B" w:rsidRDefault="00EB531B" w:rsidP="00EB531B">
            <w:pPr>
              <w:spacing w:after="0" w:line="240" w:lineRule="auto"/>
              <w:jc w:val="right"/>
              <w:rPr>
                <w:rFonts w:ascii="Calibri" w:eastAsia="Times New Roman" w:hAnsi="Calibri" w:cs="Times New Roman"/>
                <w:color w:val="000000"/>
                <w:lang w:eastAsia="es-ES"/>
              </w:rPr>
            </w:pPr>
            <w:r w:rsidRPr="00EB531B">
              <w:rPr>
                <w:rFonts w:ascii="Calibri" w:eastAsia="Times New Roman" w:hAnsi="Calibri" w:cs="Times New Roman"/>
                <w:color w:val="000000"/>
                <w:lang w:eastAsia="es-ES"/>
              </w:rPr>
              <w:t>3</w:t>
            </w:r>
          </w:p>
        </w:tc>
        <w:tc>
          <w:tcPr>
            <w:tcW w:w="1139" w:type="dxa"/>
            <w:tcBorders>
              <w:top w:val="nil"/>
              <w:left w:val="nil"/>
              <w:bottom w:val="nil"/>
              <w:right w:val="nil"/>
            </w:tcBorders>
            <w:shd w:val="clear" w:color="000000" w:fill="B8CCE4"/>
            <w:noWrap/>
            <w:vAlign w:val="bottom"/>
            <w:hideMark/>
          </w:tcPr>
          <w:p w:rsidR="00EB531B" w:rsidRPr="00EB531B" w:rsidRDefault="00EB531B" w:rsidP="00EB531B">
            <w:pPr>
              <w:spacing w:after="0" w:line="240" w:lineRule="auto"/>
              <w:jc w:val="right"/>
              <w:rPr>
                <w:rFonts w:ascii="Calibri" w:eastAsia="Times New Roman" w:hAnsi="Calibri" w:cs="Times New Roman"/>
                <w:color w:val="000000"/>
                <w:lang w:eastAsia="es-ES"/>
              </w:rPr>
            </w:pPr>
            <w:r w:rsidRPr="00EB531B">
              <w:rPr>
                <w:rFonts w:ascii="Calibri" w:eastAsia="Times New Roman" w:hAnsi="Calibri" w:cs="Times New Roman"/>
                <w:color w:val="000000"/>
                <w:lang w:eastAsia="es-ES"/>
              </w:rPr>
              <w:t>4</w:t>
            </w:r>
          </w:p>
        </w:tc>
        <w:tc>
          <w:tcPr>
            <w:tcW w:w="1139" w:type="dxa"/>
            <w:tcBorders>
              <w:top w:val="nil"/>
              <w:left w:val="nil"/>
              <w:bottom w:val="nil"/>
              <w:right w:val="nil"/>
            </w:tcBorders>
            <w:shd w:val="clear" w:color="000000" w:fill="B8CCE4"/>
            <w:noWrap/>
            <w:vAlign w:val="bottom"/>
            <w:hideMark/>
          </w:tcPr>
          <w:p w:rsidR="00EB531B" w:rsidRPr="00EB531B" w:rsidRDefault="00EB531B" w:rsidP="00EB531B">
            <w:pPr>
              <w:spacing w:after="0" w:line="240" w:lineRule="auto"/>
              <w:jc w:val="right"/>
              <w:rPr>
                <w:rFonts w:ascii="Calibri" w:eastAsia="Times New Roman" w:hAnsi="Calibri" w:cs="Times New Roman"/>
                <w:color w:val="000000"/>
                <w:lang w:eastAsia="es-ES"/>
              </w:rPr>
            </w:pPr>
            <w:r w:rsidRPr="00EB531B">
              <w:rPr>
                <w:rFonts w:ascii="Calibri" w:eastAsia="Times New Roman" w:hAnsi="Calibri" w:cs="Times New Roman"/>
                <w:color w:val="000000"/>
                <w:lang w:eastAsia="es-ES"/>
              </w:rPr>
              <w:t>5</w:t>
            </w:r>
          </w:p>
        </w:tc>
        <w:tc>
          <w:tcPr>
            <w:tcW w:w="1324" w:type="dxa"/>
            <w:tcBorders>
              <w:top w:val="nil"/>
              <w:left w:val="nil"/>
              <w:bottom w:val="single" w:sz="4" w:space="0" w:color="auto"/>
              <w:right w:val="single" w:sz="4" w:space="0" w:color="auto"/>
            </w:tcBorders>
            <w:shd w:val="clear" w:color="000000" w:fill="B8CCE4"/>
            <w:noWrap/>
            <w:vAlign w:val="bottom"/>
            <w:hideMark/>
          </w:tcPr>
          <w:p w:rsidR="00EB531B" w:rsidRPr="00EB531B" w:rsidRDefault="00EB531B" w:rsidP="00EB531B">
            <w:pPr>
              <w:spacing w:after="0" w:line="240" w:lineRule="auto"/>
              <w:jc w:val="center"/>
              <w:rPr>
                <w:rFonts w:ascii="Calibri" w:eastAsia="Times New Roman" w:hAnsi="Calibri" w:cs="Times New Roman"/>
                <w:b/>
                <w:bCs/>
                <w:color w:val="000000"/>
                <w:lang w:eastAsia="es-ES"/>
              </w:rPr>
            </w:pPr>
            <w:r w:rsidRPr="00EB531B">
              <w:rPr>
                <w:rFonts w:ascii="Calibri" w:eastAsia="Times New Roman" w:hAnsi="Calibri" w:cs="Times New Roman"/>
                <w:b/>
                <w:bCs/>
                <w:color w:val="000000"/>
                <w:lang w:eastAsia="es-ES"/>
              </w:rPr>
              <w:t>Total</w:t>
            </w:r>
          </w:p>
        </w:tc>
      </w:tr>
      <w:tr w:rsidR="00EB531B" w:rsidRPr="00EB531B" w:rsidTr="00910DB6">
        <w:trPr>
          <w:trHeight w:val="300"/>
          <w:jc w:val="center"/>
        </w:trPr>
        <w:tc>
          <w:tcPr>
            <w:tcW w:w="2283" w:type="dxa"/>
            <w:tcBorders>
              <w:top w:val="nil"/>
              <w:left w:val="single" w:sz="4" w:space="0" w:color="auto"/>
              <w:bottom w:val="single" w:sz="4" w:space="0" w:color="auto"/>
              <w:right w:val="single" w:sz="4" w:space="0" w:color="auto"/>
            </w:tcBorders>
            <w:shd w:val="clear" w:color="000000" w:fill="FFFFFF"/>
            <w:noWrap/>
            <w:vAlign w:val="bottom"/>
            <w:hideMark/>
          </w:tcPr>
          <w:p w:rsidR="00EB531B" w:rsidRPr="00EB531B" w:rsidRDefault="00EB531B" w:rsidP="00EB531B">
            <w:pPr>
              <w:spacing w:after="0" w:line="240" w:lineRule="auto"/>
              <w:ind w:firstLineChars="100" w:firstLine="221"/>
              <w:rPr>
                <w:rFonts w:ascii="Calibri" w:eastAsia="Times New Roman" w:hAnsi="Calibri" w:cs="Times New Roman"/>
                <w:b/>
                <w:bCs/>
                <w:color w:val="000000"/>
                <w:lang w:eastAsia="es-ES"/>
              </w:rPr>
            </w:pPr>
            <w:proofErr w:type="spellStart"/>
            <w:r w:rsidRPr="00EB531B">
              <w:rPr>
                <w:rFonts w:ascii="Calibri" w:eastAsia="Times New Roman" w:hAnsi="Calibri" w:cs="Times New Roman"/>
                <w:b/>
                <w:bCs/>
                <w:color w:val="000000"/>
                <w:lang w:eastAsia="es-ES"/>
              </w:rPr>
              <w:t>Preschool</w:t>
            </w:r>
            <w:proofErr w:type="spellEnd"/>
          </w:p>
        </w:tc>
        <w:tc>
          <w:tcPr>
            <w:tcW w:w="799" w:type="dxa"/>
            <w:tcBorders>
              <w:top w:val="single" w:sz="4" w:space="0" w:color="auto"/>
              <w:left w:val="nil"/>
              <w:bottom w:val="single" w:sz="4" w:space="0" w:color="auto"/>
              <w:right w:val="single" w:sz="4" w:space="0" w:color="auto"/>
            </w:tcBorders>
            <w:shd w:val="clear" w:color="auto" w:fill="auto"/>
            <w:noWrap/>
            <w:vAlign w:val="bottom"/>
            <w:hideMark/>
          </w:tcPr>
          <w:p w:rsidR="00EB531B" w:rsidRPr="00EB531B" w:rsidRDefault="00EB531B" w:rsidP="00EB531B">
            <w:pPr>
              <w:spacing w:after="0" w:line="240" w:lineRule="auto"/>
              <w:jc w:val="right"/>
              <w:rPr>
                <w:rFonts w:ascii="Calibri" w:eastAsia="Times New Roman" w:hAnsi="Calibri" w:cs="Times New Roman"/>
                <w:color w:val="000000"/>
                <w:lang w:eastAsia="es-ES"/>
              </w:rPr>
            </w:pPr>
            <w:r w:rsidRPr="00EB531B">
              <w:rPr>
                <w:rFonts w:ascii="Calibri" w:eastAsia="Times New Roman" w:hAnsi="Calibri" w:cs="Times New Roman"/>
                <w:color w:val="000000"/>
                <w:lang w:eastAsia="es-ES"/>
              </w:rPr>
              <w:t>1.77%</w:t>
            </w:r>
          </w:p>
        </w:tc>
        <w:tc>
          <w:tcPr>
            <w:tcW w:w="1139" w:type="dxa"/>
            <w:tcBorders>
              <w:top w:val="single" w:sz="4" w:space="0" w:color="auto"/>
              <w:left w:val="nil"/>
              <w:bottom w:val="single" w:sz="4" w:space="0" w:color="auto"/>
              <w:right w:val="single" w:sz="4" w:space="0" w:color="auto"/>
            </w:tcBorders>
            <w:shd w:val="clear" w:color="auto" w:fill="auto"/>
            <w:noWrap/>
            <w:vAlign w:val="bottom"/>
            <w:hideMark/>
          </w:tcPr>
          <w:p w:rsidR="00EB531B" w:rsidRPr="00EB531B" w:rsidRDefault="00EB531B" w:rsidP="00EB531B">
            <w:pPr>
              <w:spacing w:after="0" w:line="240" w:lineRule="auto"/>
              <w:jc w:val="right"/>
              <w:rPr>
                <w:rFonts w:ascii="Calibri" w:eastAsia="Times New Roman" w:hAnsi="Calibri" w:cs="Times New Roman"/>
                <w:color w:val="000000"/>
                <w:lang w:eastAsia="es-ES"/>
              </w:rPr>
            </w:pPr>
            <w:r w:rsidRPr="00EB531B">
              <w:rPr>
                <w:rFonts w:ascii="Calibri" w:eastAsia="Times New Roman" w:hAnsi="Calibri" w:cs="Times New Roman"/>
                <w:color w:val="000000"/>
                <w:lang w:eastAsia="es-ES"/>
              </w:rPr>
              <w:t>1.98%</w:t>
            </w:r>
          </w:p>
        </w:tc>
        <w:tc>
          <w:tcPr>
            <w:tcW w:w="1139" w:type="dxa"/>
            <w:tcBorders>
              <w:top w:val="single" w:sz="4" w:space="0" w:color="auto"/>
              <w:left w:val="nil"/>
              <w:bottom w:val="single" w:sz="4" w:space="0" w:color="auto"/>
              <w:right w:val="single" w:sz="4" w:space="0" w:color="auto"/>
            </w:tcBorders>
            <w:shd w:val="clear" w:color="auto" w:fill="auto"/>
            <w:noWrap/>
            <w:vAlign w:val="bottom"/>
            <w:hideMark/>
          </w:tcPr>
          <w:p w:rsidR="00EB531B" w:rsidRPr="00EB531B" w:rsidRDefault="00EB531B" w:rsidP="00EB531B">
            <w:pPr>
              <w:spacing w:after="0" w:line="240" w:lineRule="auto"/>
              <w:jc w:val="right"/>
              <w:rPr>
                <w:rFonts w:ascii="Calibri" w:eastAsia="Times New Roman" w:hAnsi="Calibri" w:cs="Times New Roman"/>
                <w:color w:val="000000"/>
                <w:lang w:eastAsia="es-ES"/>
              </w:rPr>
            </w:pPr>
            <w:r w:rsidRPr="00EB531B">
              <w:rPr>
                <w:rFonts w:ascii="Calibri" w:eastAsia="Times New Roman" w:hAnsi="Calibri" w:cs="Times New Roman"/>
                <w:color w:val="000000"/>
                <w:lang w:eastAsia="es-ES"/>
              </w:rPr>
              <w:t>1.64%</w:t>
            </w:r>
          </w:p>
        </w:tc>
        <w:tc>
          <w:tcPr>
            <w:tcW w:w="1139" w:type="dxa"/>
            <w:tcBorders>
              <w:top w:val="single" w:sz="4" w:space="0" w:color="auto"/>
              <w:left w:val="nil"/>
              <w:bottom w:val="single" w:sz="4" w:space="0" w:color="auto"/>
              <w:right w:val="single" w:sz="4" w:space="0" w:color="auto"/>
            </w:tcBorders>
            <w:shd w:val="clear" w:color="auto" w:fill="auto"/>
            <w:noWrap/>
            <w:vAlign w:val="bottom"/>
            <w:hideMark/>
          </w:tcPr>
          <w:p w:rsidR="00EB531B" w:rsidRPr="00EB531B" w:rsidRDefault="00EB531B" w:rsidP="00EB531B">
            <w:pPr>
              <w:spacing w:after="0" w:line="240" w:lineRule="auto"/>
              <w:jc w:val="right"/>
              <w:rPr>
                <w:rFonts w:ascii="Calibri" w:eastAsia="Times New Roman" w:hAnsi="Calibri" w:cs="Times New Roman"/>
                <w:color w:val="000000"/>
                <w:lang w:eastAsia="es-ES"/>
              </w:rPr>
            </w:pPr>
            <w:r w:rsidRPr="00EB531B">
              <w:rPr>
                <w:rFonts w:ascii="Calibri" w:eastAsia="Times New Roman" w:hAnsi="Calibri" w:cs="Times New Roman"/>
                <w:color w:val="000000"/>
                <w:lang w:eastAsia="es-ES"/>
              </w:rPr>
              <w:t>1.79%</w:t>
            </w:r>
          </w:p>
        </w:tc>
        <w:tc>
          <w:tcPr>
            <w:tcW w:w="1139" w:type="dxa"/>
            <w:tcBorders>
              <w:top w:val="single" w:sz="4" w:space="0" w:color="auto"/>
              <w:left w:val="nil"/>
              <w:bottom w:val="single" w:sz="4" w:space="0" w:color="auto"/>
              <w:right w:val="single" w:sz="4" w:space="0" w:color="auto"/>
            </w:tcBorders>
            <w:shd w:val="clear" w:color="auto" w:fill="auto"/>
            <w:noWrap/>
            <w:vAlign w:val="bottom"/>
            <w:hideMark/>
          </w:tcPr>
          <w:p w:rsidR="00EB531B" w:rsidRPr="00EB531B" w:rsidRDefault="00EB531B" w:rsidP="00EB531B">
            <w:pPr>
              <w:spacing w:after="0" w:line="240" w:lineRule="auto"/>
              <w:jc w:val="right"/>
              <w:rPr>
                <w:rFonts w:ascii="Calibri" w:eastAsia="Times New Roman" w:hAnsi="Calibri" w:cs="Times New Roman"/>
                <w:color w:val="000000"/>
                <w:lang w:eastAsia="es-ES"/>
              </w:rPr>
            </w:pPr>
            <w:r w:rsidRPr="00EB531B">
              <w:rPr>
                <w:rFonts w:ascii="Calibri" w:eastAsia="Times New Roman" w:hAnsi="Calibri" w:cs="Times New Roman"/>
                <w:color w:val="000000"/>
                <w:lang w:eastAsia="es-ES"/>
              </w:rPr>
              <w:t>1.22%</w:t>
            </w:r>
          </w:p>
        </w:tc>
        <w:tc>
          <w:tcPr>
            <w:tcW w:w="1324" w:type="dxa"/>
            <w:tcBorders>
              <w:top w:val="nil"/>
              <w:left w:val="nil"/>
              <w:bottom w:val="single" w:sz="4" w:space="0" w:color="auto"/>
              <w:right w:val="single" w:sz="4" w:space="0" w:color="auto"/>
            </w:tcBorders>
            <w:shd w:val="clear" w:color="auto" w:fill="auto"/>
            <w:noWrap/>
            <w:vAlign w:val="bottom"/>
            <w:hideMark/>
          </w:tcPr>
          <w:p w:rsidR="00EB531B" w:rsidRPr="00EB531B" w:rsidRDefault="00EB531B" w:rsidP="00EB531B">
            <w:pPr>
              <w:spacing w:after="0" w:line="240" w:lineRule="auto"/>
              <w:jc w:val="right"/>
              <w:rPr>
                <w:rFonts w:ascii="Calibri" w:eastAsia="Times New Roman" w:hAnsi="Calibri" w:cs="Times New Roman"/>
                <w:color w:val="000000"/>
                <w:lang w:eastAsia="es-ES"/>
              </w:rPr>
            </w:pPr>
            <w:r w:rsidRPr="00EB531B">
              <w:rPr>
                <w:rFonts w:ascii="Calibri" w:eastAsia="Times New Roman" w:hAnsi="Calibri" w:cs="Times New Roman"/>
                <w:color w:val="000000"/>
                <w:lang w:eastAsia="es-ES"/>
              </w:rPr>
              <w:t>8.39%</w:t>
            </w:r>
          </w:p>
        </w:tc>
      </w:tr>
      <w:tr w:rsidR="00EB531B" w:rsidRPr="00EB531B" w:rsidTr="00910DB6">
        <w:trPr>
          <w:trHeight w:val="300"/>
          <w:jc w:val="center"/>
        </w:trPr>
        <w:tc>
          <w:tcPr>
            <w:tcW w:w="2283" w:type="dxa"/>
            <w:tcBorders>
              <w:top w:val="nil"/>
              <w:left w:val="single" w:sz="4" w:space="0" w:color="auto"/>
              <w:bottom w:val="single" w:sz="4" w:space="0" w:color="auto"/>
              <w:right w:val="single" w:sz="4" w:space="0" w:color="auto"/>
            </w:tcBorders>
            <w:shd w:val="clear" w:color="000000" w:fill="FFFFFF"/>
            <w:noWrap/>
            <w:vAlign w:val="bottom"/>
            <w:hideMark/>
          </w:tcPr>
          <w:p w:rsidR="00EB531B" w:rsidRPr="00EB531B" w:rsidRDefault="00EB531B" w:rsidP="00EB531B">
            <w:pPr>
              <w:spacing w:after="0" w:line="240" w:lineRule="auto"/>
              <w:ind w:firstLineChars="100" w:firstLine="221"/>
              <w:rPr>
                <w:rFonts w:ascii="Calibri" w:eastAsia="Times New Roman" w:hAnsi="Calibri" w:cs="Times New Roman"/>
                <w:b/>
                <w:bCs/>
                <w:color w:val="000000"/>
                <w:lang w:eastAsia="es-ES"/>
              </w:rPr>
            </w:pPr>
            <w:proofErr w:type="spellStart"/>
            <w:r w:rsidRPr="00EB531B">
              <w:rPr>
                <w:rFonts w:ascii="Calibri" w:eastAsia="Times New Roman" w:hAnsi="Calibri" w:cs="Times New Roman"/>
                <w:b/>
                <w:bCs/>
                <w:color w:val="000000"/>
                <w:lang w:eastAsia="es-ES"/>
              </w:rPr>
              <w:t>Primary</w:t>
            </w:r>
            <w:proofErr w:type="spellEnd"/>
          </w:p>
        </w:tc>
        <w:tc>
          <w:tcPr>
            <w:tcW w:w="799" w:type="dxa"/>
            <w:tcBorders>
              <w:top w:val="nil"/>
              <w:left w:val="nil"/>
              <w:bottom w:val="single" w:sz="4" w:space="0" w:color="auto"/>
              <w:right w:val="single" w:sz="4" w:space="0" w:color="auto"/>
            </w:tcBorders>
            <w:shd w:val="clear" w:color="auto" w:fill="auto"/>
            <w:noWrap/>
            <w:vAlign w:val="bottom"/>
            <w:hideMark/>
          </w:tcPr>
          <w:p w:rsidR="00EB531B" w:rsidRPr="00EB531B" w:rsidRDefault="00EB531B" w:rsidP="00EB531B">
            <w:pPr>
              <w:spacing w:after="0" w:line="240" w:lineRule="auto"/>
              <w:jc w:val="right"/>
              <w:rPr>
                <w:rFonts w:ascii="Calibri" w:eastAsia="Times New Roman" w:hAnsi="Calibri" w:cs="Times New Roman"/>
                <w:color w:val="000000"/>
                <w:lang w:eastAsia="es-ES"/>
              </w:rPr>
            </w:pPr>
            <w:r w:rsidRPr="00EB531B">
              <w:rPr>
                <w:rFonts w:ascii="Calibri" w:eastAsia="Times New Roman" w:hAnsi="Calibri" w:cs="Times New Roman"/>
                <w:color w:val="000000"/>
                <w:lang w:eastAsia="es-ES"/>
              </w:rPr>
              <w:t>11.35%</w:t>
            </w:r>
          </w:p>
        </w:tc>
        <w:tc>
          <w:tcPr>
            <w:tcW w:w="1139" w:type="dxa"/>
            <w:tcBorders>
              <w:top w:val="nil"/>
              <w:left w:val="nil"/>
              <w:bottom w:val="single" w:sz="4" w:space="0" w:color="auto"/>
              <w:right w:val="single" w:sz="4" w:space="0" w:color="auto"/>
            </w:tcBorders>
            <w:shd w:val="clear" w:color="auto" w:fill="auto"/>
            <w:noWrap/>
            <w:vAlign w:val="bottom"/>
            <w:hideMark/>
          </w:tcPr>
          <w:p w:rsidR="00EB531B" w:rsidRPr="00EB531B" w:rsidRDefault="00EB531B" w:rsidP="00EB531B">
            <w:pPr>
              <w:spacing w:after="0" w:line="240" w:lineRule="auto"/>
              <w:jc w:val="right"/>
              <w:rPr>
                <w:rFonts w:ascii="Calibri" w:eastAsia="Times New Roman" w:hAnsi="Calibri" w:cs="Times New Roman"/>
                <w:color w:val="000000"/>
                <w:lang w:eastAsia="es-ES"/>
              </w:rPr>
            </w:pPr>
            <w:r w:rsidRPr="00EB531B">
              <w:rPr>
                <w:rFonts w:ascii="Calibri" w:eastAsia="Times New Roman" w:hAnsi="Calibri" w:cs="Times New Roman"/>
                <w:color w:val="000000"/>
                <w:lang w:eastAsia="es-ES"/>
              </w:rPr>
              <w:t>9.53%</w:t>
            </w:r>
          </w:p>
        </w:tc>
        <w:tc>
          <w:tcPr>
            <w:tcW w:w="1139" w:type="dxa"/>
            <w:tcBorders>
              <w:top w:val="nil"/>
              <w:left w:val="nil"/>
              <w:bottom w:val="single" w:sz="4" w:space="0" w:color="auto"/>
              <w:right w:val="single" w:sz="4" w:space="0" w:color="auto"/>
            </w:tcBorders>
            <w:shd w:val="clear" w:color="auto" w:fill="auto"/>
            <w:noWrap/>
            <w:vAlign w:val="bottom"/>
            <w:hideMark/>
          </w:tcPr>
          <w:p w:rsidR="00EB531B" w:rsidRPr="00EB531B" w:rsidRDefault="00EB531B" w:rsidP="00EB531B">
            <w:pPr>
              <w:spacing w:after="0" w:line="240" w:lineRule="auto"/>
              <w:jc w:val="right"/>
              <w:rPr>
                <w:rFonts w:ascii="Calibri" w:eastAsia="Times New Roman" w:hAnsi="Calibri" w:cs="Times New Roman"/>
                <w:color w:val="000000"/>
                <w:lang w:eastAsia="es-ES"/>
              </w:rPr>
            </w:pPr>
            <w:r w:rsidRPr="00EB531B">
              <w:rPr>
                <w:rFonts w:ascii="Calibri" w:eastAsia="Times New Roman" w:hAnsi="Calibri" w:cs="Times New Roman"/>
                <w:color w:val="000000"/>
                <w:lang w:eastAsia="es-ES"/>
              </w:rPr>
              <w:t>7.49%</w:t>
            </w:r>
          </w:p>
        </w:tc>
        <w:tc>
          <w:tcPr>
            <w:tcW w:w="1139" w:type="dxa"/>
            <w:tcBorders>
              <w:top w:val="nil"/>
              <w:left w:val="nil"/>
              <w:bottom w:val="single" w:sz="4" w:space="0" w:color="auto"/>
              <w:right w:val="single" w:sz="4" w:space="0" w:color="auto"/>
            </w:tcBorders>
            <w:shd w:val="clear" w:color="auto" w:fill="auto"/>
            <w:noWrap/>
            <w:vAlign w:val="bottom"/>
            <w:hideMark/>
          </w:tcPr>
          <w:p w:rsidR="00EB531B" w:rsidRPr="00EB531B" w:rsidRDefault="00EB531B" w:rsidP="00EB531B">
            <w:pPr>
              <w:spacing w:after="0" w:line="240" w:lineRule="auto"/>
              <w:jc w:val="right"/>
              <w:rPr>
                <w:rFonts w:ascii="Calibri" w:eastAsia="Times New Roman" w:hAnsi="Calibri" w:cs="Times New Roman"/>
                <w:color w:val="000000"/>
                <w:lang w:eastAsia="es-ES"/>
              </w:rPr>
            </w:pPr>
            <w:r w:rsidRPr="00EB531B">
              <w:rPr>
                <w:rFonts w:ascii="Calibri" w:eastAsia="Times New Roman" w:hAnsi="Calibri" w:cs="Times New Roman"/>
                <w:color w:val="000000"/>
                <w:lang w:eastAsia="es-ES"/>
              </w:rPr>
              <w:t>6.22%</w:t>
            </w:r>
          </w:p>
        </w:tc>
        <w:tc>
          <w:tcPr>
            <w:tcW w:w="1139" w:type="dxa"/>
            <w:tcBorders>
              <w:top w:val="nil"/>
              <w:left w:val="nil"/>
              <w:bottom w:val="single" w:sz="4" w:space="0" w:color="auto"/>
              <w:right w:val="single" w:sz="4" w:space="0" w:color="auto"/>
            </w:tcBorders>
            <w:shd w:val="clear" w:color="auto" w:fill="auto"/>
            <w:noWrap/>
            <w:vAlign w:val="bottom"/>
            <w:hideMark/>
          </w:tcPr>
          <w:p w:rsidR="00EB531B" w:rsidRPr="00EB531B" w:rsidRDefault="00EB531B" w:rsidP="00EB531B">
            <w:pPr>
              <w:spacing w:after="0" w:line="240" w:lineRule="auto"/>
              <w:jc w:val="right"/>
              <w:rPr>
                <w:rFonts w:ascii="Calibri" w:eastAsia="Times New Roman" w:hAnsi="Calibri" w:cs="Times New Roman"/>
                <w:color w:val="000000"/>
                <w:lang w:eastAsia="es-ES"/>
              </w:rPr>
            </w:pPr>
            <w:r w:rsidRPr="00EB531B">
              <w:rPr>
                <w:rFonts w:ascii="Calibri" w:eastAsia="Times New Roman" w:hAnsi="Calibri" w:cs="Times New Roman"/>
                <w:color w:val="000000"/>
                <w:lang w:eastAsia="es-ES"/>
              </w:rPr>
              <w:t>4.81%</w:t>
            </w:r>
          </w:p>
        </w:tc>
        <w:tc>
          <w:tcPr>
            <w:tcW w:w="1324" w:type="dxa"/>
            <w:tcBorders>
              <w:top w:val="nil"/>
              <w:left w:val="nil"/>
              <w:bottom w:val="single" w:sz="4" w:space="0" w:color="auto"/>
              <w:right w:val="single" w:sz="4" w:space="0" w:color="auto"/>
            </w:tcBorders>
            <w:shd w:val="clear" w:color="auto" w:fill="auto"/>
            <w:noWrap/>
            <w:vAlign w:val="bottom"/>
            <w:hideMark/>
          </w:tcPr>
          <w:p w:rsidR="00EB531B" w:rsidRPr="00EB531B" w:rsidRDefault="00EB531B" w:rsidP="00EB531B">
            <w:pPr>
              <w:spacing w:after="0" w:line="240" w:lineRule="auto"/>
              <w:jc w:val="right"/>
              <w:rPr>
                <w:rFonts w:ascii="Calibri" w:eastAsia="Times New Roman" w:hAnsi="Calibri" w:cs="Times New Roman"/>
                <w:color w:val="000000"/>
                <w:lang w:eastAsia="es-ES"/>
              </w:rPr>
            </w:pPr>
            <w:r w:rsidRPr="00EB531B">
              <w:rPr>
                <w:rFonts w:ascii="Calibri" w:eastAsia="Times New Roman" w:hAnsi="Calibri" w:cs="Times New Roman"/>
                <w:color w:val="000000"/>
                <w:lang w:eastAsia="es-ES"/>
              </w:rPr>
              <w:t>39.40%</w:t>
            </w:r>
          </w:p>
        </w:tc>
      </w:tr>
      <w:tr w:rsidR="00EB531B" w:rsidRPr="00EB531B" w:rsidTr="00910DB6">
        <w:trPr>
          <w:trHeight w:val="300"/>
          <w:jc w:val="center"/>
        </w:trPr>
        <w:tc>
          <w:tcPr>
            <w:tcW w:w="2283" w:type="dxa"/>
            <w:tcBorders>
              <w:top w:val="nil"/>
              <w:left w:val="single" w:sz="4" w:space="0" w:color="auto"/>
              <w:bottom w:val="single" w:sz="4" w:space="0" w:color="auto"/>
              <w:right w:val="single" w:sz="4" w:space="0" w:color="auto"/>
            </w:tcBorders>
            <w:shd w:val="clear" w:color="000000" w:fill="FFFFFF"/>
            <w:noWrap/>
            <w:vAlign w:val="bottom"/>
            <w:hideMark/>
          </w:tcPr>
          <w:p w:rsidR="00EB531B" w:rsidRPr="00EB531B" w:rsidRDefault="00EB531B" w:rsidP="00EB531B">
            <w:pPr>
              <w:spacing w:after="0" w:line="240" w:lineRule="auto"/>
              <w:ind w:firstLineChars="100" w:firstLine="221"/>
              <w:rPr>
                <w:rFonts w:ascii="Calibri" w:eastAsia="Times New Roman" w:hAnsi="Calibri" w:cs="Times New Roman"/>
                <w:b/>
                <w:bCs/>
                <w:color w:val="000000"/>
                <w:lang w:eastAsia="es-ES"/>
              </w:rPr>
            </w:pPr>
            <w:proofErr w:type="spellStart"/>
            <w:r w:rsidRPr="00EB531B">
              <w:rPr>
                <w:rFonts w:ascii="Calibri" w:eastAsia="Times New Roman" w:hAnsi="Calibri" w:cs="Times New Roman"/>
                <w:b/>
                <w:bCs/>
                <w:color w:val="000000"/>
                <w:lang w:eastAsia="es-ES"/>
              </w:rPr>
              <w:t>Secondary</w:t>
            </w:r>
            <w:proofErr w:type="spellEnd"/>
          </w:p>
        </w:tc>
        <w:tc>
          <w:tcPr>
            <w:tcW w:w="799" w:type="dxa"/>
            <w:tcBorders>
              <w:top w:val="nil"/>
              <w:left w:val="nil"/>
              <w:bottom w:val="single" w:sz="4" w:space="0" w:color="auto"/>
              <w:right w:val="single" w:sz="4" w:space="0" w:color="auto"/>
            </w:tcBorders>
            <w:shd w:val="clear" w:color="auto" w:fill="auto"/>
            <w:noWrap/>
            <w:vAlign w:val="bottom"/>
            <w:hideMark/>
          </w:tcPr>
          <w:p w:rsidR="00EB531B" w:rsidRPr="00EB531B" w:rsidRDefault="00EB531B" w:rsidP="00EB531B">
            <w:pPr>
              <w:spacing w:after="0" w:line="240" w:lineRule="auto"/>
              <w:jc w:val="right"/>
              <w:rPr>
                <w:rFonts w:ascii="Calibri" w:eastAsia="Times New Roman" w:hAnsi="Calibri" w:cs="Times New Roman"/>
                <w:color w:val="000000"/>
                <w:lang w:eastAsia="es-ES"/>
              </w:rPr>
            </w:pPr>
            <w:r w:rsidRPr="00EB531B">
              <w:rPr>
                <w:rFonts w:ascii="Calibri" w:eastAsia="Times New Roman" w:hAnsi="Calibri" w:cs="Times New Roman"/>
                <w:color w:val="000000"/>
                <w:lang w:eastAsia="es-ES"/>
              </w:rPr>
              <w:t>4.77%</w:t>
            </w:r>
          </w:p>
        </w:tc>
        <w:tc>
          <w:tcPr>
            <w:tcW w:w="1139" w:type="dxa"/>
            <w:tcBorders>
              <w:top w:val="nil"/>
              <w:left w:val="nil"/>
              <w:bottom w:val="single" w:sz="4" w:space="0" w:color="auto"/>
              <w:right w:val="single" w:sz="4" w:space="0" w:color="auto"/>
            </w:tcBorders>
            <w:shd w:val="clear" w:color="auto" w:fill="auto"/>
            <w:noWrap/>
            <w:vAlign w:val="bottom"/>
            <w:hideMark/>
          </w:tcPr>
          <w:p w:rsidR="00EB531B" w:rsidRPr="00EB531B" w:rsidRDefault="00EB531B" w:rsidP="00EB531B">
            <w:pPr>
              <w:spacing w:after="0" w:line="240" w:lineRule="auto"/>
              <w:jc w:val="right"/>
              <w:rPr>
                <w:rFonts w:ascii="Calibri" w:eastAsia="Times New Roman" w:hAnsi="Calibri" w:cs="Times New Roman"/>
                <w:color w:val="000000"/>
                <w:lang w:eastAsia="es-ES"/>
              </w:rPr>
            </w:pPr>
            <w:r w:rsidRPr="00EB531B">
              <w:rPr>
                <w:rFonts w:ascii="Calibri" w:eastAsia="Times New Roman" w:hAnsi="Calibri" w:cs="Times New Roman"/>
                <w:color w:val="000000"/>
                <w:lang w:eastAsia="es-ES"/>
              </w:rPr>
              <w:t>6.40%</w:t>
            </w:r>
          </w:p>
        </w:tc>
        <w:tc>
          <w:tcPr>
            <w:tcW w:w="1139" w:type="dxa"/>
            <w:tcBorders>
              <w:top w:val="nil"/>
              <w:left w:val="nil"/>
              <w:bottom w:val="single" w:sz="4" w:space="0" w:color="auto"/>
              <w:right w:val="single" w:sz="4" w:space="0" w:color="auto"/>
            </w:tcBorders>
            <w:shd w:val="clear" w:color="auto" w:fill="auto"/>
            <w:noWrap/>
            <w:vAlign w:val="bottom"/>
            <w:hideMark/>
          </w:tcPr>
          <w:p w:rsidR="00EB531B" w:rsidRPr="00EB531B" w:rsidRDefault="00EB531B" w:rsidP="00EB531B">
            <w:pPr>
              <w:spacing w:after="0" w:line="240" w:lineRule="auto"/>
              <w:jc w:val="right"/>
              <w:rPr>
                <w:rFonts w:ascii="Calibri" w:eastAsia="Times New Roman" w:hAnsi="Calibri" w:cs="Times New Roman"/>
                <w:color w:val="000000"/>
                <w:lang w:eastAsia="es-ES"/>
              </w:rPr>
            </w:pPr>
            <w:r w:rsidRPr="00EB531B">
              <w:rPr>
                <w:rFonts w:ascii="Calibri" w:eastAsia="Times New Roman" w:hAnsi="Calibri" w:cs="Times New Roman"/>
                <w:color w:val="000000"/>
                <w:lang w:eastAsia="es-ES"/>
              </w:rPr>
              <w:t>6.29%</w:t>
            </w:r>
          </w:p>
        </w:tc>
        <w:tc>
          <w:tcPr>
            <w:tcW w:w="1139" w:type="dxa"/>
            <w:tcBorders>
              <w:top w:val="nil"/>
              <w:left w:val="nil"/>
              <w:bottom w:val="single" w:sz="4" w:space="0" w:color="auto"/>
              <w:right w:val="single" w:sz="4" w:space="0" w:color="auto"/>
            </w:tcBorders>
            <w:shd w:val="clear" w:color="auto" w:fill="auto"/>
            <w:noWrap/>
            <w:vAlign w:val="bottom"/>
            <w:hideMark/>
          </w:tcPr>
          <w:p w:rsidR="00EB531B" w:rsidRPr="00EB531B" w:rsidRDefault="00EB531B" w:rsidP="00EB531B">
            <w:pPr>
              <w:spacing w:after="0" w:line="240" w:lineRule="auto"/>
              <w:jc w:val="right"/>
              <w:rPr>
                <w:rFonts w:ascii="Calibri" w:eastAsia="Times New Roman" w:hAnsi="Calibri" w:cs="Times New Roman"/>
                <w:color w:val="000000"/>
                <w:lang w:eastAsia="es-ES"/>
              </w:rPr>
            </w:pPr>
            <w:r w:rsidRPr="00EB531B">
              <w:rPr>
                <w:rFonts w:ascii="Calibri" w:eastAsia="Times New Roman" w:hAnsi="Calibri" w:cs="Times New Roman"/>
                <w:color w:val="000000"/>
                <w:lang w:eastAsia="es-ES"/>
              </w:rPr>
              <w:t>7.18%</w:t>
            </w:r>
          </w:p>
        </w:tc>
        <w:tc>
          <w:tcPr>
            <w:tcW w:w="1139" w:type="dxa"/>
            <w:tcBorders>
              <w:top w:val="nil"/>
              <w:left w:val="nil"/>
              <w:bottom w:val="single" w:sz="4" w:space="0" w:color="auto"/>
              <w:right w:val="single" w:sz="4" w:space="0" w:color="auto"/>
            </w:tcBorders>
            <w:shd w:val="clear" w:color="auto" w:fill="auto"/>
            <w:noWrap/>
            <w:vAlign w:val="bottom"/>
            <w:hideMark/>
          </w:tcPr>
          <w:p w:rsidR="00EB531B" w:rsidRPr="00EB531B" w:rsidRDefault="00EB531B" w:rsidP="00EB531B">
            <w:pPr>
              <w:spacing w:after="0" w:line="240" w:lineRule="auto"/>
              <w:jc w:val="right"/>
              <w:rPr>
                <w:rFonts w:ascii="Calibri" w:eastAsia="Times New Roman" w:hAnsi="Calibri" w:cs="Times New Roman"/>
                <w:color w:val="000000"/>
                <w:lang w:eastAsia="es-ES"/>
              </w:rPr>
            </w:pPr>
            <w:r w:rsidRPr="00EB531B">
              <w:rPr>
                <w:rFonts w:ascii="Calibri" w:eastAsia="Times New Roman" w:hAnsi="Calibri" w:cs="Times New Roman"/>
                <w:color w:val="000000"/>
                <w:lang w:eastAsia="es-ES"/>
              </w:rPr>
              <w:t>5.41%</w:t>
            </w:r>
          </w:p>
        </w:tc>
        <w:tc>
          <w:tcPr>
            <w:tcW w:w="1324" w:type="dxa"/>
            <w:tcBorders>
              <w:top w:val="nil"/>
              <w:left w:val="nil"/>
              <w:bottom w:val="single" w:sz="4" w:space="0" w:color="auto"/>
              <w:right w:val="single" w:sz="4" w:space="0" w:color="auto"/>
            </w:tcBorders>
            <w:shd w:val="clear" w:color="auto" w:fill="auto"/>
            <w:noWrap/>
            <w:vAlign w:val="bottom"/>
            <w:hideMark/>
          </w:tcPr>
          <w:p w:rsidR="00EB531B" w:rsidRPr="00EB531B" w:rsidRDefault="00EB531B" w:rsidP="00EB531B">
            <w:pPr>
              <w:spacing w:after="0" w:line="240" w:lineRule="auto"/>
              <w:jc w:val="right"/>
              <w:rPr>
                <w:rFonts w:ascii="Calibri" w:eastAsia="Times New Roman" w:hAnsi="Calibri" w:cs="Times New Roman"/>
                <w:color w:val="000000"/>
                <w:lang w:eastAsia="es-ES"/>
              </w:rPr>
            </w:pPr>
            <w:r w:rsidRPr="00EB531B">
              <w:rPr>
                <w:rFonts w:ascii="Calibri" w:eastAsia="Times New Roman" w:hAnsi="Calibri" w:cs="Times New Roman"/>
                <w:color w:val="000000"/>
                <w:lang w:eastAsia="es-ES"/>
              </w:rPr>
              <w:t>30.05%</w:t>
            </w:r>
          </w:p>
        </w:tc>
      </w:tr>
      <w:tr w:rsidR="00EB531B" w:rsidRPr="00EB531B" w:rsidTr="00910DB6">
        <w:trPr>
          <w:trHeight w:val="315"/>
          <w:jc w:val="center"/>
        </w:trPr>
        <w:tc>
          <w:tcPr>
            <w:tcW w:w="2283" w:type="dxa"/>
            <w:tcBorders>
              <w:top w:val="nil"/>
              <w:left w:val="single" w:sz="4" w:space="0" w:color="auto"/>
              <w:bottom w:val="double" w:sz="6" w:space="0" w:color="auto"/>
              <w:right w:val="single" w:sz="4" w:space="0" w:color="auto"/>
            </w:tcBorders>
            <w:shd w:val="clear" w:color="000000" w:fill="FFFFFF"/>
            <w:noWrap/>
            <w:vAlign w:val="bottom"/>
            <w:hideMark/>
          </w:tcPr>
          <w:p w:rsidR="00EB531B" w:rsidRPr="00EB531B" w:rsidRDefault="00EB531B" w:rsidP="00EB531B">
            <w:pPr>
              <w:spacing w:after="0" w:line="240" w:lineRule="auto"/>
              <w:ind w:firstLineChars="100" w:firstLine="221"/>
              <w:rPr>
                <w:rFonts w:ascii="Calibri" w:eastAsia="Times New Roman" w:hAnsi="Calibri" w:cs="Times New Roman"/>
                <w:b/>
                <w:bCs/>
                <w:color w:val="000000"/>
                <w:lang w:eastAsia="es-ES"/>
              </w:rPr>
            </w:pPr>
            <w:proofErr w:type="spellStart"/>
            <w:r w:rsidRPr="00EB531B">
              <w:rPr>
                <w:rFonts w:ascii="Calibri" w:eastAsia="Times New Roman" w:hAnsi="Calibri" w:cs="Times New Roman"/>
                <w:b/>
                <w:bCs/>
                <w:color w:val="000000"/>
                <w:lang w:eastAsia="es-ES"/>
              </w:rPr>
              <w:t>Tertiary</w:t>
            </w:r>
            <w:proofErr w:type="spellEnd"/>
            <w:r w:rsidRPr="00EB531B">
              <w:rPr>
                <w:rFonts w:ascii="Calibri" w:eastAsia="Times New Roman" w:hAnsi="Calibri" w:cs="Times New Roman"/>
                <w:b/>
                <w:bCs/>
                <w:color w:val="000000"/>
                <w:lang w:eastAsia="es-ES"/>
              </w:rPr>
              <w:t>/</w:t>
            </w:r>
            <w:proofErr w:type="spellStart"/>
            <w:r w:rsidRPr="00EB531B">
              <w:rPr>
                <w:rFonts w:ascii="Calibri" w:eastAsia="Times New Roman" w:hAnsi="Calibri" w:cs="Times New Roman"/>
                <w:b/>
                <w:bCs/>
                <w:color w:val="000000"/>
                <w:lang w:eastAsia="es-ES"/>
              </w:rPr>
              <w:t>University</w:t>
            </w:r>
            <w:proofErr w:type="spellEnd"/>
          </w:p>
        </w:tc>
        <w:tc>
          <w:tcPr>
            <w:tcW w:w="799" w:type="dxa"/>
            <w:tcBorders>
              <w:top w:val="nil"/>
              <w:left w:val="nil"/>
              <w:bottom w:val="single" w:sz="4" w:space="0" w:color="auto"/>
              <w:right w:val="single" w:sz="4" w:space="0" w:color="auto"/>
            </w:tcBorders>
            <w:shd w:val="clear" w:color="auto" w:fill="auto"/>
            <w:noWrap/>
            <w:vAlign w:val="bottom"/>
            <w:hideMark/>
          </w:tcPr>
          <w:p w:rsidR="00EB531B" w:rsidRPr="00EB531B" w:rsidRDefault="00EB531B" w:rsidP="00EB531B">
            <w:pPr>
              <w:spacing w:after="0" w:line="240" w:lineRule="auto"/>
              <w:jc w:val="right"/>
              <w:rPr>
                <w:rFonts w:ascii="Calibri" w:eastAsia="Times New Roman" w:hAnsi="Calibri" w:cs="Times New Roman"/>
                <w:color w:val="000000"/>
                <w:lang w:eastAsia="es-ES"/>
              </w:rPr>
            </w:pPr>
            <w:r w:rsidRPr="00EB531B">
              <w:rPr>
                <w:rFonts w:ascii="Calibri" w:eastAsia="Times New Roman" w:hAnsi="Calibri" w:cs="Times New Roman"/>
                <w:color w:val="000000"/>
                <w:lang w:eastAsia="es-ES"/>
              </w:rPr>
              <w:t>1.61%</w:t>
            </w:r>
          </w:p>
        </w:tc>
        <w:tc>
          <w:tcPr>
            <w:tcW w:w="1139" w:type="dxa"/>
            <w:tcBorders>
              <w:top w:val="nil"/>
              <w:left w:val="nil"/>
              <w:bottom w:val="single" w:sz="4" w:space="0" w:color="auto"/>
              <w:right w:val="single" w:sz="4" w:space="0" w:color="auto"/>
            </w:tcBorders>
            <w:shd w:val="clear" w:color="auto" w:fill="auto"/>
            <w:noWrap/>
            <w:vAlign w:val="bottom"/>
            <w:hideMark/>
          </w:tcPr>
          <w:p w:rsidR="00EB531B" w:rsidRPr="00EB531B" w:rsidRDefault="00EB531B" w:rsidP="00EB531B">
            <w:pPr>
              <w:spacing w:after="0" w:line="240" w:lineRule="auto"/>
              <w:jc w:val="right"/>
              <w:rPr>
                <w:rFonts w:ascii="Calibri" w:eastAsia="Times New Roman" w:hAnsi="Calibri" w:cs="Times New Roman"/>
                <w:color w:val="000000"/>
                <w:lang w:eastAsia="es-ES"/>
              </w:rPr>
            </w:pPr>
            <w:r w:rsidRPr="00EB531B">
              <w:rPr>
                <w:rFonts w:ascii="Calibri" w:eastAsia="Times New Roman" w:hAnsi="Calibri" w:cs="Times New Roman"/>
                <w:color w:val="000000"/>
                <w:lang w:eastAsia="es-ES"/>
              </w:rPr>
              <w:t>0.95%</w:t>
            </w:r>
          </w:p>
        </w:tc>
        <w:tc>
          <w:tcPr>
            <w:tcW w:w="1139" w:type="dxa"/>
            <w:tcBorders>
              <w:top w:val="nil"/>
              <w:left w:val="nil"/>
              <w:bottom w:val="single" w:sz="4" w:space="0" w:color="auto"/>
              <w:right w:val="single" w:sz="4" w:space="0" w:color="auto"/>
            </w:tcBorders>
            <w:shd w:val="clear" w:color="auto" w:fill="auto"/>
            <w:noWrap/>
            <w:vAlign w:val="bottom"/>
            <w:hideMark/>
          </w:tcPr>
          <w:p w:rsidR="00EB531B" w:rsidRPr="00EB531B" w:rsidRDefault="00EB531B" w:rsidP="00EB531B">
            <w:pPr>
              <w:spacing w:after="0" w:line="240" w:lineRule="auto"/>
              <w:jc w:val="right"/>
              <w:rPr>
                <w:rFonts w:ascii="Calibri" w:eastAsia="Times New Roman" w:hAnsi="Calibri" w:cs="Times New Roman"/>
                <w:color w:val="000000"/>
                <w:lang w:eastAsia="es-ES"/>
              </w:rPr>
            </w:pPr>
            <w:r w:rsidRPr="00EB531B">
              <w:rPr>
                <w:rFonts w:ascii="Calibri" w:eastAsia="Times New Roman" w:hAnsi="Calibri" w:cs="Times New Roman"/>
                <w:color w:val="000000"/>
                <w:lang w:eastAsia="es-ES"/>
              </w:rPr>
              <w:t>2.82%</w:t>
            </w:r>
          </w:p>
        </w:tc>
        <w:tc>
          <w:tcPr>
            <w:tcW w:w="1139" w:type="dxa"/>
            <w:tcBorders>
              <w:top w:val="nil"/>
              <w:left w:val="nil"/>
              <w:bottom w:val="single" w:sz="4" w:space="0" w:color="auto"/>
              <w:right w:val="single" w:sz="4" w:space="0" w:color="auto"/>
            </w:tcBorders>
            <w:shd w:val="clear" w:color="auto" w:fill="auto"/>
            <w:noWrap/>
            <w:vAlign w:val="bottom"/>
            <w:hideMark/>
          </w:tcPr>
          <w:p w:rsidR="00EB531B" w:rsidRPr="00EB531B" w:rsidRDefault="00EB531B" w:rsidP="00EB531B">
            <w:pPr>
              <w:spacing w:after="0" w:line="240" w:lineRule="auto"/>
              <w:jc w:val="right"/>
              <w:rPr>
                <w:rFonts w:ascii="Calibri" w:eastAsia="Times New Roman" w:hAnsi="Calibri" w:cs="Times New Roman"/>
                <w:color w:val="000000"/>
                <w:lang w:eastAsia="es-ES"/>
              </w:rPr>
            </w:pPr>
            <w:r w:rsidRPr="00EB531B">
              <w:rPr>
                <w:rFonts w:ascii="Calibri" w:eastAsia="Times New Roman" w:hAnsi="Calibri" w:cs="Times New Roman"/>
                <w:color w:val="000000"/>
                <w:lang w:eastAsia="es-ES"/>
              </w:rPr>
              <w:t>6.75%</w:t>
            </w:r>
          </w:p>
        </w:tc>
        <w:tc>
          <w:tcPr>
            <w:tcW w:w="1139" w:type="dxa"/>
            <w:tcBorders>
              <w:top w:val="nil"/>
              <w:left w:val="nil"/>
              <w:bottom w:val="single" w:sz="4" w:space="0" w:color="auto"/>
              <w:right w:val="single" w:sz="4" w:space="0" w:color="auto"/>
            </w:tcBorders>
            <w:shd w:val="clear" w:color="auto" w:fill="auto"/>
            <w:noWrap/>
            <w:vAlign w:val="bottom"/>
            <w:hideMark/>
          </w:tcPr>
          <w:p w:rsidR="00EB531B" w:rsidRPr="00EB531B" w:rsidRDefault="00EB531B" w:rsidP="00EB531B">
            <w:pPr>
              <w:spacing w:after="0" w:line="240" w:lineRule="auto"/>
              <w:jc w:val="right"/>
              <w:rPr>
                <w:rFonts w:ascii="Calibri" w:eastAsia="Times New Roman" w:hAnsi="Calibri" w:cs="Times New Roman"/>
                <w:color w:val="000000"/>
                <w:lang w:eastAsia="es-ES"/>
              </w:rPr>
            </w:pPr>
            <w:r w:rsidRPr="00EB531B">
              <w:rPr>
                <w:rFonts w:ascii="Calibri" w:eastAsia="Times New Roman" w:hAnsi="Calibri" w:cs="Times New Roman"/>
                <w:color w:val="000000"/>
                <w:lang w:eastAsia="es-ES"/>
              </w:rPr>
              <w:t>10.02%</w:t>
            </w:r>
          </w:p>
        </w:tc>
        <w:tc>
          <w:tcPr>
            <w:tcW w:w="1324" w:type="dxa"/>
            <w:tcBorders>
              <w:top w:val="nil"/>
              <w:left w:val="nil"/>
              <w:bottom w:val="single" w:sz="4" w:space="0" w:color="auto"/>
              <w:right w:val="single" w:sz="4" w:space="0" w:color="auto"/>
            </w:tcBorders>
            <w:shd w:val="clear" w:color="auto" w:fill="auto"/>
            <w:noWrap/>
            <w:vAlign w:val="bottom"/>
            <w:hideMark/>
          </w:tcPr>
          <w:p w:rsidR="00EB531B" w:rsidRPr="00EB531B" w:rsidRDefault="00EB531B" w:rsidP="00EB531B">
            <w:pPr>
              <w:spacing w:after="0" w:line="240" w:lineRule="auto"/>
              <w:jc w:val="right"/>
              <w:rPr>
                <w:rFonts w:ascii="Calibri" w:eastAsia="Times New Roman" w:hAnsi="Calibri" w:cs="Times New Roman"/>
                <w:color w:val="000000"/>
                <w:lang w:eastAsia="es-ES"/>
              </w:rPr>
            </w:pPr>
            <w:r w:rsidRPr="00EB531B">
              <w:rPr>
                <w:rFonts w:ascii="Calibri" w:eastAsia="Times New Roman" w:hAnsi="Calibri" w:cs="Times New Roman"/>
                <w:color w:val="000000"/>
                <w:lang w:eastAsia="es-ES"/>
              </w:rPr>
              <w:t>22.15%</w:t>
            </w:r>
          </w:p>
        </w:tc>
      </w:tr>
      <w:tr w:rsidR="00EB531B" w:rsidRPr="00EB531B" w:rsidTr="00910DB6">
        <w:trPr>
          <w:trHeight w:val="315"/>
          <w:jc w:val="center"/>
        </w:trPr>
        <w:tc>
          <w:tcPr>
            <w:tcW w:w="2283" w:type="dxa"/>
            <w:tcBorders>
              <w:top w:val="nil"/>
              <w:left w:val="single" w:sz="4" w:space="0" w:color="auto"/>
              <w:bottom w:val="single" w:sz="4" w:space="0" w:color="auto"/>
              <w:right w:val="single" w:sz="4" w:space="0" w:color="auto"/>
            </w:tcBorders>
            <w:shd w:val="clear" w:color="000000" w:fill="FFFFFF"/>
            <w:noWrap/>
            <w:vAlign w:val="bottom"/>
            <w:hideMark/>
          </w:tcPr>
          <w:p w:rsidR="00EB531B" w:rsidRPr="00EB531B" w:rsidRDefault="00EB531B" w:rsidP="00EB531B">
            <w:pPr>
              <w:spacing w:after="0" w:line="240" w:lineRule="auto"/>
              <w:ind w:firstLineChars="100" w:firstLine="221"/>
              <w:rPr>
                <w:rFonts w:ascii="Calibri" w:eastAsia="Times New Roman" w:hAnsi="Calibri" w:cs="Times New Roman"/>
                <w:b/>
                <w:bCs/>
                <w:color w:val="000000"/>
                <w:lang w:eastAsia="es-ES"/>
              </w:rPr>
            </w:pPr>
            <w:r w:rsidRPr="00EB531B">
              <w:rPr>
                <w:rFonts w:ascii="Calibri" w:eastAsia="Times New Roman" w:hAnsi="Calibri" w:cs="Times New Roman"/>
                <w:b/>
                <w:bCs/>
                <w:color w:val="000000"/>
                <w:lang w:eastAsia="es-ES"/>
              </w:rPr>
              <w:t>Total</w:t>
            </w:r>
          </w:p>
        </w:tc>
        <w:tc>
          <w:tcPr>
            <w:tcW w:w="799" w:type="dxa"/>
            <w:tcBorders>
              <w:top w:val="nil"/>
              <w:left w:val="nil"/>
              <w:bottom w:val="single" w:sz="4" w:space="0" w:color="auto"/>
              <w:right w:val="single" w:sz="4" w:space="0" w:color="auto"/>
            </w:tcBorders>
            <w:shd w:val="clear" w:color="auto" w:fill="auto"/>
            <w:noWrap/>
            <w:vAlign w:val="bottom"/>
            <w:hideMark/>
          </w:tcPr>
          <w:p w:rsidR="00EB531B" w:rsidRPr="00EB531B" w:rsidRDefault="00EB531B" w:rsidP="00EB531B">
            <w:pPr>
              <w:spacing w:after="0" w:line="240" w:lineRule="auto"/>
              <w:jc w:val="right"/>
              <w:rPr>
                <w:rFonts w:ascii="Calibri" w:eastAsia="Times New Roman" w:hAnsi="Calibri" w:cs="Times New Roman"/>
                <w:color w:val="000000"/>
                <w:lang w:eastAsia="es-ES"/>
              </w:rPr>
            </w:pPr>
            <w:r w:rsidRPr="00EB531B">
              <w:rPr>
                <w:rFonts w:ascii="Calibri" w:eastAsia="Times New Roman" w:hAnsi="Calibri" w:cs="Times New Roman"/>
                <w:color w:val="000000"/>
                <w:lang w:eastAsia="es-ES"/>
              </w:rPr>
              <w:t>19.50%</w:t>
            </w:r>
          </w:p>
        </w:tc>
        <w:tc>
          <w:tcPr>
            <w:tcW w:w="1139" w:type="dxa"/>
            <w:tcBorders>
              <w:top w:val="nil"/>
              <w:left w:val="nil"/>
              <w:bottom w:val="single" w:sz="4" w:space="0" w:color="auto"/>
              <w:right w:val="single" w:sz="4" w:space="0" w:color="auto"/>
            </w:tcBorders>
            <w:shd w:val="clear" w:color="auto" w:fill="auto"/>
            <w:noWrap/>
            <w:vAlign w:val="bottom"/>
            <w:hideMark/>
          </w:tcPr>
          <w:p w:rsidR="00EB531B" w:rsidRPr="00EB531B" w:rsidRDefault="00EB531B" w:rsidP="00EB531B">
            <w:pPr>
              <w:spacing w:after="0" w:line="240" w:lineRule="auto"/>
              <w:jc w:val="right"/>
              <w:rPr>
                <w:rFonts w:ascii="Calibri" w:eastAsia="Times New Roman" w:hAnsi="Calibri" w:cs="Times New Roman"/>
                <w:color w:val="000000"/>
                <w:lang w:eastAsia="es-ES"/>
              </w:rPr>
            </w:pPr>
            <w:r w:rsidRPr="00EB531B">
              <w:rPr>
                <w:rFonts w:ascii="Calibri" w:eastAsia="Times New Roman" w:hAnsi="Calibri" w:cs="Times New Roman"/>
                <w:color w:val="000000"/>
                <w:lang w:eastAsia="es-ES"/>
              </w:rPr>
              <w:t>18.86%</w:t>
            </w:r>
          </w:p>
        </w:tc>
        <w:tc>
          <w:tcPr>
            <w:tcW w:w="1139" w:type="dxa"/>
            <w:tcBorders>
              <w:top w:val="nil"/>
              <w:left w:val="nil"/>
              <w:bottom w:val="single" w:sz="4" w:space="0" w:color="auto"/>
              <w:right w:val="single" w:sz="4" w:space="0" w:color="auto"/>
            </w:tcBorders>
            <w:shd w:val="clear" w:color="auto" w:fill="auto"/>
            <w:noWrap/>
            <w:vAlign w:val="bottom"/>
            <w:hideMark/>
          </w:tcPr>
          <w:p w:rsidR="00EB531B" w:rsidRPr="00EB531B" w:rsidRDefault="00EB531B" w:rsidP="00EB531B">
            <w:pPr>
              <w:spacing w:after="0" w:line="240" w:lineRule="auto"/>
              <w:jc w:val="right"/>
              <w:rPr>
                <w:rFonts w:ascii="Calibri" w:eastAsia="Times New Roman" w:hAnsi="Calibri" w:cs="Times New Roman"/>
                <w:color w:val="000000"/>
                <w:lang w:eastAsia="es-ES"/>
              </w:rPr>
            </w:pPr>
            <w:r w:rsidRPr="00EB531B">
              <w:rPr>
                <w:rFonts w:ascii="Calibri" w:eastAsia="Times New Roman" w:hAnsi="Calibri" w:cs="Times New Roman"/>
                <w:color w:val="000000"/>
                <w:lang w:eastAsia="es-ES"/>
              </w:rPr>
              <w:t>18.24%</w:t>
            </w:r>
          </w:p>
        </w:tc>
        <w:tc>
          <w:tcPr>
            <w:tcW w:w="1139" w:type="dxa"/>
            <w:tcBorders>
              <w:top w:val="nil"/>
              <w:left w:val="nil"/>
              <w:bottom w:val="single" w:sz="4" w:space="0" w:color="auto"/>
              <w:right w:val="single" w:sz="4" w:space="0" w:color="auto"/>
            </w:tcBorders>
            <w:shd w:val="clear" w:color="auto" w:fill="auto"/>
            <w:noWrap/>
            <w:vAlign w:val="bottom"/>
            <w:hideMark/>
          </w:tcPr>
          <w:p w:rsidR="00EB531B" w:rsidRPr="00EB531B" w:rsidRDefault="00EB531B" w:rsidP="00EB531B">
            <w:pPr>
              <w:spacing w:after="0" w:line="240" w:lineRule="auto"/>
              <w:jc w:val="right"/>
              <w:rPr>
                <w:rFonts w:ascii="Calibri" w:eastAsia="Times New Roman" w:hAnsi="Calibri" w:cs="Times New Roman"/>
                <w:color w:val="000000"/>
                <w:lang w:eastAsia="es-ES"/>
              </w:rPr>
            </w:pPr>
            <w:r w:rsidRPr="00EB531B">
              <w:rPr>
                <w:rFonts w:ascii="Calibri" w:eastAsia="Times New Roman" w:hAnsi="Calibri" w:cs="Times New Roman"/>
                <w:color w:val="000000"/>
                <w:lang w:eastAsia="es-ES"/>
              </w:rPr>
              <w:t>21.94%</w:t>
            </w:r>
          </w:p>
        </w:tc>
        <w:tc>
          <w:tcPr>
            <w:tcW w:w="1139" w:type="dxa"/>
            <w:tcBorders>
              <w:top w:val="nil"/>
              <w:left w:val="nil"/>
              <w:bottom w:val="single" w:sz="4" w:space="0" w:color="auto"/>
              <w:right w:val="single" w:sz="4" w:space="0" w:color="auto"/>
            </w:tcBorders>
            <w:shd w:val="clear" w:color="auto" w:fill="auto"/>
            <w:noWrap/>
            <w:vAlign w:val="bottom"/>
            <w:hideMark/>
          </w:tcPr>
          <w:p w:rsidR="00EB531B" w:rsidRPr="00EB531B" w:rsidRDefault="00EB531B" w:rsidP="00EB531B">
            <w:pPr>
              <w:spacing w:after="0" w:line="240" w:lineRule="auto"/>
              <w:jc w:val="right"/>
              <w:rPr>
                <w:rFonts w:ascii="Calibri" w:eastAsia="Times New Roman" w:hAnsi="Calibri" w:cs="Times New Roman"/>
                <w:color w:val="000000"/>
                <w:lang w:eastAsia="es-ES"/>
              </w:rPr>
            </w:pPr>
            <w:r w:rsidRPr="00EB531B">
              <w:rPr>
                <w:rFonts w:ascii="Calibri" w:eastAsia="Times New Roman" w:hAnsi="Calibri" w:cs="Times New Roman"/>
                <w:color w:val="000000"/>
                <w:lang w:eastAsia="es-ES"/>
              </w:rPr>
              <w:t>21.46%</w:t>
            </w:r>
          </w:p>
        </w:tc>
        <w:tc>
          <w:tcPr>
            <w:tcW w:w="1324" w:type="dxa"/>
            <w:tcBorders>
              <w:top w:val="nil"/>
              <w:left w:val="nil"/>
              <w:bottom w:val="single" w:sz="4" w:space="0" w:color="auto"/>
              <w:right w:val="single" w:sz="4" w:space="0" w:color="auto"/>
            </w:tcBorders>
            <w:shd w:val="clear" w:color="auto" w:fill="auto"/>
            <w:noWrap/>
            <w:vAlign w:val="bottom"/>
            <w:hideMark/>
          </w:tcPr>
          <w:p w:rsidR="00EB531B" w:rsidRPr="00EB531B" w:rsidRDefault="00EB531B" w:rsidP="00EB531B">
            <w:pPr>
              <w:spacing w:after="0" w:line="240" w:lineRule="auto"/>
              <w:jc w:val="right"/>
              <w:rPr>
                <w:rFonts w:ascii="Calibri" w:eastAsia="Times New Roman" w:hAnsi="Calibri" w:cs="Times New Roman"/>
                <w:color w:val="000000"/>
                <w:lang w:eastAsia="es-ES"/>
              </w:rPr>
            </w:pPr>
            <w:r w:rsidRPr="00EB531B">
              <w:rPr>
                <w:rFonts w:ascii="Calibri" w:eastAsia="Times New Roman" w:hAnsi="Calibri" w:cs="Times New Roman"/>
                <w:color w:val="000000"/>
                <w:lang w:eastAsia="es-ES"/>
              </w:rPr>
              <w:t>100.00%</w:t>
            </w:r>
          </w:p>
        </w:tc>
      </w:tr>
    </w:tbl>
    <w:p w:rsidR="00910DB6" w:rsidRPr="00505444" w:rsidRDefault="00910DB6" w:rsidP="00910DB6">
      <w:pPr>
        <w:pStyle w:val="NoSpacing"/>
        <w:spacing w:line="276" w:lineRule="auto"/>
        <w:rPr>
          <w:sz w:val="16"/>
          <w:szCs w:val="16"/>
        </w:rPr>
      </w:pPr>
      <w:proofErr w:type="spellStart"/>
      <w:r w:rsidRPr="00505444">
        <w:rPr>
          <w:sz w:val="16"/>
          <w:szCs w:val="16"/>
        </w:rPr>
        <w:t>Source</w:t>
      </w:r>
      <w:proofErr w:type="spellEnd"/>
      <w:r w:rsidRPr="00505444">
        <w:rPr>
          <w:sz w:val="16"/>
          <w:szCs w:val="16"/>
        </w:rPr>
        <w:t xml:space="preserve">: </w:t>
      </w:r>
      <w:r>
        <w:rPr>
          <w:sz w:val="16"/>
          <w:szCs w:val="16"/>
        </w:rPr>
        <w:t>MEF. INEI.</w:t>
      </w:r>
      <w:r w:rsidRPr="00505444">
        <w:rPr>
          <w:sz w:val="16"/>
          <w:szCs w:val="16"/>
        </w:rPr>
        <w:t xml:space="preserve"> </w:t>
      </w:r>
    </w:p>
    <w:p w:rsidR="005816CA" w:rsidRDefault="005816CA" w:rsidP="00910DB6">
      <w:pPr>
        <w:spacing w:after="0"/>
        <w:rPr>
          <w:lang w:val="en-US"/>
        </w:rPr>
      </w:pPr>
    </w:p>
    <w:p w:rsidR="00F94A67" w:rsidRDefault="007D05E6" w:rsidP="00910DB6">
      <w:pPr>
        <w:spacing w:after="0"/>
        <w:jc w:val="both"/>
        <w:rPr>
          <w:lang w:val="en-US"/>
        </w:rPr>
      </w:pPr>
      <w:r>
        <w:rPr>
          <w:lang w:val="en-US"/>
        </w:rPr>
        <w:t>For the Sierra region</w:t>
      </w:r>
      <w:r w:rsidR="00C7200D">
        <w:rPr>
          <w:lang w:val="en-US"/>
        </w:rPr>
        <w:t xml:space="preserve">, </w:t>
      </w:r>
      <w:r w:rsidR="00EA06E1">
        <w:rPr>
          <w:lang w:val="en-US"/>
        </w:rPr>
        <w:t>Table 13 shows</w:t>
      </w:r>
      <w:r w:rsidR="00C7200D">
        <w:rPr>
          <w:lang w:val="en-US"/>
        </w:rPr>
        <w:t xml:space="preserve"> a similar structure</w:t>
      </w:r>
      <w:r w:rsidR="00B9272D">
        <w:rPr>
          <w:lang w:val="en-US"/>
        </w:rPr>
        <w:t xml:space="preserve">, but in spite of what would </w:t>
      </w:r>
      <w:r w:rsidR="004B4821">
        <w:rPr>
          <w:lang w:val="en-US"/>
        </w:rPr>
        <w:t xml:space="preserve">have </w:t>
      </w:r>
      <w:r w:rsidR="00B9272D">
        <w:rPr>
          <w:lang w:val="en-US"/>
        </w:rPr>
        <w:t>be</w:t>
      </w:r>
      <w:r w:rsidR="004B4821">
        <w:rPr>
          <w:lang w:val="en-US"/>
        </w:rPr>
        <w:t>en</w:t>
      </w:r>
      <w:r w:rsidR="00B9272D">
        <w:rPr>
          <w:lang w:val="en-US"/>
        </w:rPr>
        <w:t xml:space="preserve"> expected, there is</w:t>
      </w:r>
      <w:r w:rsidR="004801D9">
        <w:rPr>
          <w:lang w:val="en-US"/>
        </w:rPr>
        <w:t xml:space="preserve"> a bit deeper bias in favor of the highest quintiles.</w:t>
      </w:r>
      <w:r w:rsidR="00202807">
        <w:rPr>
          <w:lang w:val="en-US"/>
        </w:rPr>
        <w:t xml:space="preserve"> </w:t>
      </w:r>
      <w:r w:rsidR="00EA06E1">
        <w:rPr>
          <w:lang w:val="en-US"/>
        </w:rPr>
        <w:t xml:space="preserve">Considering that the Sierra region concentrates the </w:t>
      </w:r>
      <w:r w:rsidR="00273901">
        <w:rPr>
          <w:lang w:val="en-US"/>
        </w:rPr>
        <w:t>major</w:t>
      </w:r>
      <w:r w:rsidR="00593961">
        <w:rPr>
          <w:lang w:val="en-US"/>
        </w:rPr>
        <w:t>ity</w:t>
      </w:r>
      <w:r w:rsidR="00273901">
        <w:rPr>
          <w:lang w:val="en-US"/>
        </w:rPr>
        <w:t xml:space="preserve"> of </w:t>
      </w:r>
      <w:r w:rsidR="00593961">
        <w:rPr>
          <w:lang w:val="en-US"/>
        </w:rPr>
        <w:t xml:space="preserve">the </w:t>
      </w:r>
      <w:r w:rsidR="00EA06E1">
        <w:rPr>
          <w:lang w:val="en-US"/>
        </w:rPr>
        <w:t>poor population</w:t>
      </w:r>
      <w:r w:rsidR="0093422D">
        <w:rPr>
          <w:lang w:val="en-US"/>
        </w:rPr>
        <w:t xml:space="preserve"> and rural areas</w:t>
      </w:r>
      <w:r w:rsidR="00A5233E">
        <w:rPr>
          <w:lang w:val="en-US"/>
        </w:rPr>
        <w:t>, this problem becomes more serious</w:t>
      </w:r>
      <w:r w:rsidR="00370C66">
        <w:rPr>
          <w:lang w:val="en-US"/>
        </w:rPr>
        <w:t xml:space="preserve">, </w:t>
      </w:r>
      <w:r w:rsidR="00273901">
        <w:rPr>
          <w:lang w:val="en-US"/>
        </w:rPr>
        <w:t>since it is not</w:t>
      </w:r>
      <w:r w:rsidR="000B1809">
        <w:rPr>
          <w:lang w:val="en-US"/>
        </w:rPr>
        <w:t xml:space="preserve"> legitimate</w:t>
      </w:r>
      <w:r w:rsidR="002100C9">
        <w:rPr>
          <w:lang w:val="en-US"/>
        </w:rPr>
        <w:t xml:space="preserve"> that 11.42% of the Sierra region budget</w:t>
      </w:r>
      <w:r w:rsidR="00963380">
        <w:rPr>
          <w:lang w:val="en-US"/>
        </w:rPr>
        <w:t xml:space="preserve"> goes to the highest quintile whereas </w:t>
      </w:r>
      <w:r w:rsidR="004725F5">
        <w:rPr>
          <w:lang w:val="en-US"/>
        </w:rPr>
        <w:t xml:space="preserve">there is still an important </w:t>
      </w:r>
      <w:r w:rsidR="00963C70">
        <w:rPr>
          <w:lang w:val="en-US"/>
        </w:rPr>
        <w:t>shortage of quality education and a significant under-coverage in Preschool</w:t>
      </w:r>
      <w:r w:rsidR="000C6592">
        <w:rPr>
          <w:lang w:val="en-US"/>
        </w:rPr>
        <w:t>, especially for the lowest quintiles.</w:t>
      </w:r>
    </w:p>
    <w:p w:rsidR="008A6983" w:rsidRDefault="008A6983">
      <w:pPr>
        <w:rPr>
          <w:lang w:val="en-US"/>
        </w:rPr>
      </w:pPr>
      <w:r>
        <w:rPr>
          <w:lang w:val="en-US"/>
        </w:rPr>
        <w:br w:type="page"/>
      </w:r>
    </w:p>
    <w:p w:rsidR="008A6983" w:rsidRDefault="008A6983" w:rsidP="00910DB6">
      <w:pPr>
        <w:spacing w:after="0"/>
        <w:jc w:val="both"/>
        <w:rPr>
          <w:lang w:val="en-US"/>
        </w:rPr>
      </w:pPr>
    </w:p>
    <w:p w:rsidR="00910DB6" w:rsidRDefault="00910DB6" w:rsidP="00E6087B">
      <w:pPr>
        <w:pStyle w:val="Caption"/>
        <w:spacing w:after="0"/>
        <w:jc w:val="center"/>
        <w:rPr>
          <w:sz w:val="22"/>
          <w:szCs w:val="22"/>
          <w:lang w:val="en-US"/>
        </w:rPr>
      </w:pPr>
    </w:p>
    <w:p w:rsidR="00E6087B" w:rsidRPr="005030C3" w:rsidRDefault="004C437A" w:rsidP="00E6087B">
      <w:pPr>
        <w:pStyle w:val="Caption"/>
        <w:spacing w:after="0"/>
        <w:jc w:val="center"/>
        <w:rPr>
          <w:sz w:val="22"/>
          <w:szCs w:val="22"/>
          <w:lang w:val="en-US"/>
        </w:rPr>
      </w:pPr>
      <w:r>
        <w:rPr>
          <w:sz w:val="22"/>
          <w:szCs w:val="22"/>
          <w:lang w:val="en-US"/>
        </w:rPr>
        <w:t>Table</w:t>
      </w:r>
      <w:r w:rsidR="00E6087B">
        <w:rPr>
          <w:sz w:val="22"/>
          <w:szCs w:val="22"/>
          <w:lang w:val="en-US"/>
        </w:rPr>
        <w:t xml:space="preserve"> 13</w:t>
      </w:r>
      <w:r w:rsidR="00E6087B" w:rsidRPr="005030C3">
        <w:rPr>
          <w:sz w:val="22"/>
          <w:szCs w:val="22"/>
          <w:lang w:val="en-US"/>
        </w:rPr>
        <w:t>: Distribution of benefits</w:t>
      </w:r>
      <w:r w:rsidR="00E6087B">
        <w:rPr>
          <w:sz w:val="22"/>
          <w:szCs w:val="22"/>
          <w:lang w:val="en-US"/>
        </w:rPr>
        <w:t xml:space="preserve"> of budget in Macro-region 2</w:t>
      </w:r>
      <w:r w:rsidR="00E6087B" w:rsidRPr="005030C3">
        <w:rPr>
          <w:sz w:val="22"/>
          <w:szCs w:val="22"/>
          <w:lang w:val="en-US"/>
        </w:rPr>
        <w:t>, by facility level and expenditure quintile, 2008</w:t>
      </w:r>
    </w:p>
    <w:tbl>
      <w:tblPr>
        <w:tblW w:w="8904" w:type="dxa"/>
        <w:jc w:val="center"/>
        <w:tblInd w:w="55" w:type="dxa"/>
        <w:tblCellMar>
          <w:left w:w="70" w:type="dxa"/>
          <w:right w:w="70" w:type="dxa"/>
        </w:tblCellMar>
        <w:tblLook w:val="04A0"/>
      </w:tblPr>
      <w:tblGrid>
        <w:gridCol w:w="2142"/>
        <w:gridCol w:w="882"/>
        <w:gridCol w:w="1139"/>
        <w:gridCol w:w="1139"/>
        <w:gridCol w:w="1139"/>
        <w:gridCol w:w="1139"/>
        <w:gridCol w:w="1324"/>
      </w:tblGrid>
      <w:tr w:rsidR="00EB531B" w:rsidRPr="00EB531B" w:rsidTr="00370C66">
        <w:trPr>
          <w:trHeight w:val="300"/>
          <w:jc w:val="center"/>
        </w:trPr>
        <w:tc>
          <w:tcPr>
            <w:tcW w:w="2142" w:type="dxa"/>
            <w:tcBorders>
              <w:top w:val="nil"/>
              <w:left w:val="nil"/>
              <w:bottom w:val="nil"/>
              <w:right w:val="nil"/>
            </w:tcBorders>
            <w:shd w:val="clear" w:color="000000" w:fill="FFFFFF"/>
            <w:noWrap/>
            <w:vAlign w:val="bottom"/>
            <w:hideMark/>
          </w:tcPr>
          <w:p w:rsidR="00EB531B" w:rsidRPr="00EB531B" w:rsidRDefault="00EB531B" w:rsidP="00EB531B">
            <w:pPr>
              <w:spacing w:after="0" w:line="240" w:lineRule="auto"/>
              <w:jc w:val="center"/>
              <w:rPr>
                <w:rFonts w:ascii="Calibri" w:eastAsia="Times New Roman" w:hAnsi="Calibri" w:cs="Times New Roman"/>
                <w:b/>
                <w:bCs/>
                <w:color w:val="000000"/>
                <w:lang w:eastAsia="es-ES"/>
              </w:rPr>
            </w:pPr>
            <w:r w:rsidRPr="00EB531B">
              <w:rPr>
                <w:rFonts w:ascii="Calibri" w:eastAsia="Times New Roman" w:hAnsi="Calibri" w:cs="Times New Roman"/>
                <w:b/>
                <w:bCs/>
                <w:color w:val="000000"/>
                <w:lang w:eastAsia="es-ES"/>
              </w:rPr>
              <w:t>Sierra</w:t>
            </w:r>
          </w:p>
        </w:tc>
        <w:tc>
          <w:tcPr>
            <w:tcW w:w="6762" w:type="dxa"/>
            <w:gridSpan w:val="6"/>
            <w:tcBorders>
              <w:top w:val="single" w:sz="4" w:space="0" w:color="auto"/>
              <w:left w:val="single" w:sz="4" w:space="0" w:color="auto"/>
              <w:bottom w:val="single" w:sz="4" w:space="0" w:color="auto"/>
              <w:right w:val="single" w:sz="4" w:space="0" w:color="auto"/>
            </w:tcBorders>
            <w:shd w:val="clear" w:color="000000" w:fill="B2A1C7"/>
            <w:noWrap/>
            <w:vAlign w:val="bottom"/>
            <w:hideMark/>
          </w:tcPr>
          <w:p w:rsidR="00EB531B" w:rsidRPr="00EB531B" w:rsidRDefault="00EB531B" w:rsidP="00EB531B">
            <w:pPr>
              <w:spacing w:after="0" w:line="240" w:lineRule="auto"/>
              <w:jc w:val="center"/>
              <w:rPr>
                <w:rFonts w:ascii="Calibri" w:eastAsia="Times New Roman" w:hAnsi="Calibri" w:cs="Times New Roman"/>
                <w:b/>
                <w:bCs/>
                <w:color w:val="000000"/>
                <w:lang w:eastAsia="es-ES"/>
              </w:rPr>
            </w:pPr>
            <w:proofErr w:type="spellStart"/>
            <w:r w:rsidRPr="00EB531B">
              <w:rPr>
                <w:rFonts w:ascii="Calibri" w:eastAsia="Times New Roman" w:hAnsi="Calibri" w:cs="Times New Roman"/>
                <w:b/>
                <w:bCs/>
                <w:color w:val="000000"/>
                <w:lang w:eastAsia="es-ES"/>
              </w:rPr>
              <w:t>Expenditure</w:t>
            </w:r>
            <w:proofErr w:type="spellEnd"/>
            <w:r w:rsidRPr="00EB531B">
              <w:rPr>
                <w:rFonts w:ascii="Calibri" w:eastAsia="Times New Roman" w:hAnsi="Calibri" w:cs="Times New Roman"/>
                <w:b/>
                <w:bCs/>
                <w:color w:val="000000"/>
                <w:lang w:eastAsia="es-ES"/>
              </w:rPr>
              <w:t xml:space="preserve"> </w:t>
            </w:r>
            <w:proofErr w:type="spellStart"/>
            <w:r w:rsidRPr="00EB531B">
              <w:rPr>
                <w:rFonts w:ascii="Calibri" w:eastAsia="Times New Roman" w:hAnsi="Calibri" w:cs="Times New Roman"/>
                <w:b/>
                <w:bCs/>
                <w:color w:val="000000"/>
                <w:lang w:eastAsia="es-ES"/>
              </w:rPr>
              <w:t>quintile</w:t>
            </w:r>
            <w:proofErr w:type="spellEnd"/>
          </w:p>
        </w:tc>
      </w:tr>
      <w:tr w:rsidR="00EB531B" w:rsidRPr="00EB531B" w:rsidTr="00370C66">
        <w:trPr>
          <w:trHeight w:val="300"/>
          <w:jc w:val="center"/>
        </w:trPr>
        <w:tc>
          <w:tcPr>
            <w:tcW w:w="2142" w:type="dxa"/>
            <w:tcBorders>
              <w:top w:val="single" w:sz="4" w:space="0" w:color="auto"/>
              <w:left w:val="single" w:sz="4" w:space="0" w:color="auto"/>
              <w:bottom w:val="single" w:sz="4" w:space="0" w:color="auto"/>
              <w:right w:val="single" w:sz="4" w:space="0" w:color="auto"/>
            </w:tcBorders>
            <w:shd w:val="clear" w:color="000000" w:fill="B2A1C7"/>
            <w:noWrap/>
            <w:vAlign w:val="bottom"/>
            <w:hideMark/>
          </w:tcPr>
          <w:p w:rsidR="00EB531B" w:rsidRPr="00EB531B" w:rsidRDefault="00EB531B" w:rsidP="00EB531B">
            <w:pPr>
              <w:spacing w:after="0" w:line="240" w:lineRule="auto"/>
              <w:ind w:firstLineChars="100" w:firstLine="221"/>
              <w:rPr>
                <w:rFonts w:ascii="Calibri" w:eastAsia="Times New Roman" w:hAnsi="Calibri" w:cs="Times New Roman"/>
                <w:b/>
                <w:bCs/>
                <w:color w:val="000000"/>
                <w:lang w:eastAsia="es-ES"/>
              </w:rPr>
            </w:pPr>
            <w:proofErr w:type="spellStart"/>
            <w:r w:rsidRPr="00EB531B">
              <w:rPr>
                <w:rFonts w:ascii="Calibri" w:eastAsia="Times New Roman" w:hAnsi="Calibri" w:cs="Times New Roman"/>
                <w:b/>
                <w:bCs/>
                <w:color w:val="000000"/>
                <w:lang w:eastAsia="es-ES"/>
              </w:rPr>
              <w:t>Education</w:t>
            </w:r>
            <w:proofErr w:type="spellEnd"/>
            <w:r w:rsidRPr="00EB531B">
              <w:rPr>
                <w:rFonts w:ascii="Calibri" w:eastAsia="Times New Roman" w:hAnsi="Calibri" w:cs="Times New Roman"/>
                <w:b/>
                <w:bCs/>
                <w:color w:val="000000"/>
                <w:lang w:eastAsia="es-ES"/>
              </w:rPr>
              <w:t xml:space="preserve"> </w:t>
            </w:r>
            <w:proofErr w:type="spellStart"/>
            <w:r w:rsidRPr="00EB531B">
              <w:rPr>
                <w:rFonts w:ascii="Calibri" w:eastAsia="Times New Roman" w:hAnsi="Calibri" w:cs="Times New Roman"/>
                <w:b/>
                <w:bCs/>
                <w:color w:val="000000"/>
                <w:lang w:eastAsia="es-ES"/>
              </w:rPr>
              <w:t>level</w:t>
            </w:r>
            <w:proofErr w:type="spellEnd"/>
          </w:p>
        </w:tc>
        <w:tc>
          <w:tcPr>
            <w:tcW w:w="882" w:type="dxa"/>
            <w:tcBorders>
              <w:top w:val="nil"/>
              <w:left w:val="nil"/>
              <w:bottom w:val="nil"/>
              <w:right w:val="nil"/>
            </w:tcBorders>
            <w:shd w:val="clear" w:color="000000" w:fill="B8CCE4"/>
            <w:noWrap/>
            <w:vAlign w:val="bottom"/>
            <w:hideMark/>
          </w:tcPr>
          <w:p w:rsidR="00EB531B" w:rsidRPr="00EB531B" w:rsidRDefault="00EB531B" w:rsidP="00EB531B">
            <w:pPr>
              <w:spacing w:after="0" w:line="240" w:lineRule="auto"/>
              <w:jc w:val="right"/>
              <w:rPr>
                <w:rFonts w:ascii="Calibri" w:eastAsia="Times New Roman" w:hAnsi="Calibri" w:cs="Times New Roman"/>
                <w:color w:val="000000"/>
                <w:lang w:eastAsia="es-ES"/>
              </w:rPr>
            </w:pPr>
            <w:r w:rsidRPr="00EB531B">
              <w:rPr>
                <w:rFonts w:ascii="Calibri" w:eastAsia="Times New Roman" w:hAnsi="Calibri" w:cs="Times New Roman"/>
                <w:color w:val="000000"/>
                <w:lang w:eastAsia="es-ES"/>
              </w:rPr>
              <w:t>1</w:t>
            </w:r>
          </w:p>
        </w:tc>
        <w:tc>
          <w:tcPr>
            <w:tcW w:w="1139" w:type="dxa"/>
            <w:tcBorders>
              <w:top w:val="nil"/>
              <w:left w:val="nil"/>
              <w:bottom w:val="nil"/>
              <w:right w:val="nil"/>
            </w:tcBorders>
            <w:shd w:val="clear" w:color="000000" w:fill="B8CCE4"/>
            <w:noWrap/>
            <w:vAlign w:val="bottom"/>
            <w:hideMark/>
          </w:tcPr>
          <w:p w:rsidR="00EB531B" w:rsidRPr="00EB531B" w:rsidRDefault="00EB531B" w:rsidP="00EB531B">
            <w:pPr>
              <w:spacing w:after="0" w:line="240" w:lineRule="auto"/>
              <w:jc w:val="right"/>
              <w:rPr>
                <w:rFonts w:ascii="Calibri" w:eastAsia="Times New Roman" w:hAnsi="Calibri" w:cs="Times New Roman"/>
                <w:color w:val="000000"/>
                <w:lang w:eastAsia="es-ES"/>
              </w:rPr>
            </w:pPr>
            <w:r w:rsidRPr="00EB531B">
              <w:rPr>
                <w:rFonts w:ascii="Calibri" w:eastAsia="Times New Roman" w:hAnsi="Calibri" w:cs="Times New Roman"/>
                <w:color w:val="000000"/>
                <w:lang w:eastAsia="es-ES"/>
              </w:rPr>
              <w:t>2</w:t>
            </w:r>
          </w:p>
        </w:tc>
        <w:tc>
          <w:tcPr>
            <w:tcW w:w="1139" w:type="dxa"/>
            <w:tcBorders>
              <w:top w:val="nil"/>
              <w:left w:val="nil"/>
              <w:bottom w:val="nil"/>
              <w:right w:val="nil"/>
            </w:tcBorders>
            <w:shd w:val="clear" w:color="000000" w:fill="B8CCE4"/>
            <w:noWrap/>
            <w:vAlign w:val="bottom"/>
            <w:hideMark/>
          </w:tcPr>
          <w:p w:rsidR="00EB531B" w:rsidRPr="00EB531B" w:rsidRDefault="00EB531B" w:rsidP="00EB531B">
            <w:pPr>
              <w:spacing w:after="0" w:line="240" w:lineRule="auto"/>
              <w:jc w:val="right"/>
              <w:rPr>
                <w:rFonts w:ascii="Calibri" w:eastAsia="Times New Roman" w:hAnsi="Calibri" w:cs="Times New Roman"/>
                <w:color w:val="000000"/>
                <w:lang w:eastAsia="es-ES"/>
              </w:rPr>
            </w:pPr>
            <w:r w:rsidRPr="00EB531B">
              <w:rPr>
                <w:rFonts w:ascii="Calibri" w:eastAsia="Times New Roman" w:hAnsi="Calibri" w:cs="Times New Roman"/>
                <w:color w:val="000000"/>
                <w:lang w:eastAsia="es-ES"/>
              </w:rPr>
              <w:t>3</w:t>
            </w:r>
          </w:p>
        </w:tc>
        <w:tc>
          <w:tcPr>
            <w:tcW w:w="1139" w:type="dxa"/>
            <w:tcBorders>
              <w:top w:val="nil"/>
              <w:left w:val="nil"/>
              <w:bottom w:val="nil"/>
              <w:right w:val="nil"/>
            </w:tcBorders>
            <w:shd w:val="clear" w:color="000000" w:fill="B8CCE4"/>
            <w:noWrap/>
            <w:vAlign w:val="bottom"/>
            <w:hideMark/>
          </w:tcPr>
          <w:p w:rsidR="00EB531B" w:rsidRPr="00EB531B" w:rsidRDefault="00EB531B" w:rsidP="00EB531B">
            <w:pPr>
              <w:spacing w:after="0" w:line="240" w:lineRule="auto"/>
              <w:jc w:val="right"/>
              <w:rPr>
                <w:rFonts w:ascii="Calibri" w:eastAsia="Times New Roman" w:hAnsi="Calibri" w:cs="Times New Roman"/>
                <w:color w:val="000000"/>
                <w:lang w:eastAsia="es-ES"/>
              </w:rPr>
            </w:pPr>
            <w:r w:rsidRPr="00EB531B">
              <w:rPr>
                <w:rFonts w:ascii="Calibri" w:eastAsia="Times New Roman" w:hAnsi="Calibri" w:cs="Times New Roman"/>
                <w:color w:val="000000"/>
                <w:lang w:eastAsia="es-ES"/>
              </w:rPr>
              <w:t>4</w:t>
            </w:r>
          </w:p>
        </w:tc>
        <w:tc>
          <w:tcPr>
            <w:tcW w:w="1139" w:type="dxa"/>
            <w:tcBorders>
              <w:top w:val="nil"/>
              <w:left w:val="nil"/>
              <w:bottom w:val="nil"/>
              <w:right w:val="nil"/>
            </w:tcBorders>
            <w:shd w:val="clear" w:color="000000" w:fill="B8CCE4"/>
            <w:noWrap/>
            <w:vAlign w:val="bottom"/>
            <w:hideMark/>
          </w:tcPr>
          <w:p w:rsidR="00EB531B" w:rsidRPr="00EB531B" w:rsidRDefault="00EB531B" w:rsidP="00EB531B">
            <w:pPr>
              <w:spacing w:after="0" w:line="240" w:lineRule="auto"/>
              <w:jc w:val="right"/>
              <w:rPr>
                <w:rFonts w:ascii="Calibri" w:eastAsia="Times New Roman" w:hAnsi="Calibri" w:cs="Times New Roman"/>
                <w:color w:val="000000"/>
                <w:lang w:eastAsia="es-ES"/>
              </w:rPr>
            </w:pPr>
            <w:r w:rsidRPr="00EB531B">
              <w:rPr>
                <w:rFonts w:ascii="Calibri" w:eastAsia="Times New Roman" w:hAnsi="Calibri" w:cs="Times New Roman"/>
                <w:color w:val="000000"/>
                <w:lang w:eastAsia="es-ES"/>
              </w:rPr>
              <w:t>5</w:t>
            </w:r>
          </w:p>
        </w:tc>
        <w:tc>
          <w:tcPr>
            <w:tcW w:w="1324" w:type="dxa"/>
            <w:tcBorders>
              <w:top w:val="nil"/>
              <w:left w:val="nil"/>
              <w:bottom w:val="single" w:sz="4" w:space="0" w:color="auto"/>
              <w:right w:val="single" w:sz="4" w:space="0" w:color="auto"/>
            </w:tcBorders>
            <w:shd w:val="clear" w:color="000000" w:fill="B8CCE4"/>
            <w:noWrap/>
            <w:vAlign w:val="bottom"/>
            <w:hideMark/>
          </w:tcPr>
          <w:p w:rsidR="00EB531B" w:rsidRPr="00EB531B" w:rsidRDefault="00EB531B" w:rsidP="00EB531B">
            <w:pPr>
              <w:spacing w:after="0" w:line="240" w:lineRule="auto"/>
              <w:jc w:val="center"/>
              <w:rPr>
                <w:rFonts w:ascii="Calibri" w:eastAsia="Times New Roman" w:hAnsi="Calibri" w:cs="Times New Roman"/>
                <w:b/>
                <w:bCs/>
                <w:color w:val="000000"/>
                <w:lang w:eastAsia="es-ES"/>
              </w:rPr>
            </w:pPr>
            <w:r w:rsidRPr="00EB531B">
              <w:rPr>
                <w:rFonts w:ascii="Calibri" w:eastAsia="Times New Roman" w:hAnsi="Calibri" w:cs="Times New Roman"/>
                <w:b/>
                <w:bCs/>
                <w:color w:val="000000"/>
                <w:lang w:eastAsia="es-ES"/>
              </w:rPr>
              <w:t>Total</w:t>
            </w:r>
          </w:p>
        </w:tc>
      </w:tr>
      <w:tr w:rsidR="00EB531B" w:rsidRPr="00EB531B" w:rsidTr="00370C66">
        <w:trPr>
          <w:trHeight w:val="300"/>
          <w:jc w:val="center"/>
        </w:trPr>
        <w:tc>
          <w:tcPr>
            <w:tcW w:w="2142" w:type="dxa"/>
            <w:tcBorders>
              <w:top w:val="nil"/>
              <w:left w:val="single" w:sz="4" w:space="0" w:color="auto"/>
              <w:bottom w:val="single" w:sz="4" w:space="0" w:color="auto"/>
              <w:right w:val="single" w:sz="4" w:space="0" w:color="auto"/>
            </w:tcBorders>
            <w:shd w:val="clear" w:color="000000" w:fill="FFFFFF"/>
            <w:noWrap/>
            <w:vAlign w:val="bottom"/>
            <w:hideMark/>
          </w:tcPr>
          <w:p w:rsidR="00EB531B" w:rsidRPr="00EB531B" w:rsidRDefault="00EB531B" w:rsidP="00EB531B">
            <w:pPr>
              <w:spacing w:after="0" w:line="240" w:lineRule="auto"/>
              <w:ind w:firstLineChars="100" w:firstLine="221"/>
              <w:rPr>
                <w:rFonts w:ascii="Calibri" w:eastAsia="Times New Roman" w:hAnsi="Calibri" w:cs="Times New Roman"/>
                <w:b/>
                <w:bCs/>
                <w:color w:val="000000"/>
                <w:lang w:eastAsia="es-ES"/>
              </w:rPr>
            </w:pPr>
            <w:proofErr w:type="spellStart"/>
            <w:r w:rsidRPr="00EB531B">
              <w:rPr>
                <w:rFonts w:ascii="Calibri" w:eastAsia="Times New Roman" w:hAnsi="Calibri" w:cs="Times New Roman"/>
                <w:b/>
                <w:bCs/>
                <w:color w:val="000000"/>
                <w:lang w:eastAsia="es-ES"/>
              </w:rPr>
              <w:t>Preschool</w:t>
            </w:r>
            <w:proofErr w:type="spellEnd"/>
          </w:p>
        </w:tc>
        <w:tc>
          <w:tcPr>
            <w:tcW w:w="882" w:type="dxa"/>
            <w:tcBorders>
              <w:top w:val="single" w:sz="4" w:space="0" w:color="auto"/>
              <w:left w:val="nil"/>
              <w:bottom w:val="single" w:sz="4" w:space="0" w:color="auto"/>
              <w:right w:val="single" w:sz="4" w:space="0" w:color="auto"/>
            </w:tcBorders>
            <w:shd w:val="clear" w:color="auto" w:fill="auto"/>
            <w:noWrap/>
            <w:vAlign w:val="bottom"/>
            <w:hideMark/>
          </w:tcPr>
          <w:p w:rsidR="00EB531B" w:rsidRPr="00EB531B" w:rsidRDefault="00EB531B" w:rsidP="00EB531B">
            <w:pPr>
              <w:spacing w:after="0" w:line="240" w:lineRule="auto"/>
              <w:jc w:val="right"/>
              <w:rPr>
                <w:rFonts w:ascii="Calibri" w:eastAsia="Times New Roman" w:hAnsi="Calibri" w:cs="Times New Roman"/>
                <w:color w:val="000000"/>
                <w:lang w:eastAsia="es-ES"/>
              </w:rPr>
            </w:pPr>
            <w:r w:rsidRPr="00EB531B">
              <w:rPr>
                <w:rFonts w:ascii="Calibri" w:eastAsia="Times New Roman" w:hAnsi="Calibri" w:cs="Times New Roman"/>
                <w:color w:val="000000"/>
                <w:lang w:eastAsia="es-ES"/>
              </w:rPr>
              <w:t>1.92%</w:t>
            </w:r>
          </w:p>
        </w:tc>
        <w:tc>
          <w:tcPr>
            <w:tcW w:w="1139" w:type="dxa"/>
            <w:tcBorders>
              <w:top w:val="single" w:sz="4" w:space="0" w:color="auto"/>
              <w:left w:val="nil"/>
              <w:bottom w:val="single" w:sz="4" w:space="0" w:color="auto"/>
              <w:right w:val="single" w:sz="4" w:space="0" w:color="auto"/>
            </w:tcBorders>
            <w:shd w:val="clear" w:color="auto" w:fill="auto"/>
            <w:noWrap/>
            <w:vAlign w:val="bottom"/>
            <w:hideMark/>
          </w:tcPr>
          <w:p w:rsidR="00EB531B" w:rsidRPr="00EB531B" w:rsidRDefault="00EB531B" w:rsidP="00EB531B">
            <w:pPr>
              <w:spacing w:after="0" w:line="240" w:lineRule="auto"/>
              <w:jc w:val="right"/>
              <w:rPr>
                <w:rFonts w:ascii="Calibri" w:eastAsia="Times New Roman" w:hAnsi="Calibri" w:cs="Times New Roman"/>
                <w:color w:val="000000"/>
                <w:lang w:eastAsia="es-ES"/>
              </w:rPr>
            </w:pPr>
            <w:r w:rsidRPr="00EB531B">
              <w:rPr>
                <w:rFonts w:ascii="Calibri" w:eastAsia="Times New Roman" w:hAnsi="Calibri" w:cs="Times New Roman"/>
                <w:color w:val="000000"/>
                <w:lang w:eastAsia="es-ES"/>
              </w:rPr>
              <w:t>1.60%</w:t>
            </w:r>
          </w:p>
        </w:tc>
        <w:tc>
          <w:tcPr>
            <w:tcW w:w="1139" w:type="dxa"/>
            <w:tcBorders>
              <w:top w:val="single" w:sz="4" w:space="0" w:color="auto"/>
              <w:left w:val="nil"/>
              <w:bottom w:val="single" w:sz="4" w:space="0" w:color="auto"/>
              <w:right w:val="single" w:sz="4" w:space="0" w:color="auto"/>
            </w:tcBorders>
            <w:shd w:val="clear" w:color="auto" w:fill="auto"/>
            <w:noWrap/>
            <w:vAlign w:val="bottom"/>
            <w:hideMark/>
          </w:tcPr>
          <w:p w:rsidR="00EB531B" w:rsidRPr="00EB531B" w:rsidRDefault="00EB531B" w:rsidP="00EB531B">
            <w:pPr>
              <w:spacing w:after="0" w:line="240" w:lineRule="auto"/>
              <w:jc w:val="right"/>
              <w:rPr>
                <w:rFonts w:ascii="Calibri" w:eastAsia="Times New Roman" w:hAnsi="Calibri" w:cs="Times New Roman"/>
                <w:color w:val="000000"/>
                <w:lang w:eastAsia="es-ES"/>
              </w:rPr>
            </w:pPr>
            <w:r w:rsidRPr="00EB531B">
              <w:rPr>
                <w:rFonts w:ascii="Calibri" w:eastAsia="Times New Roman" w:hAnsi="Calibri" w:cs="Times New Roman"/>
                <w:color w:val="000000"/>
                <w:lang w:eastAsia="es-ES"/>
              </w:rPr>
              <w:t>1.48%</w:t>
            </w:r>
          </w:p>
        </w:tc>
        <w:tc>
          <w:tcPr>
            <w:tcW w:w="1139" w:type="dxa"/>
            <w:tcBorders>
              <w:top w:val="single" w:sz="4" w:space="0" w:color="auto"/>
              <w:left w:val="nil"/>
              <w:bottom w:val="single" w:sz="4" w:space="0" w:color="auto"/>
              <w:right w:val="single" w:sz="4" w:space="0" w:color="auto"/>
            </w:tcBorders>
            <w:shd w:val="clear" w:color="auto" w:fill="auto"/>
            <w:noWrap/>
            <w:vAlign w:val="bottom"/>
            <w:hideMark/>
          </w:tcPr>
          <w:p w:rsidR="00EB531B" w:rsidRPr="00EB531B" w:rsidRDefault="00EB531B" w:rsidP="00EB531B">
            <w:pPr>
              <w:spacing w:after="0" w:line="240" w:lineRule="auto"/>
              <w:jc w:val="right"/>
              <w:rPr>
                <w:rFonts w:ascii="Calibri" w:eastAsia="Times New Roman" w:hAnsi="Calibri" w:cs="Times New Roman"/>
                <w:color w:val="000000"/>
                <w:lang w:eastAsia="es-ES"/>
              </w:rPr>
            </w:pPr>
            <w:r w:rsidRPr="00EB531B">
              <w:rPr>
                <w:rFonts w:ascii="Calibri" w:eastAsia="Times New Roman" w:hAnsi="Calibri" w:cs="Times New Roman"/>
                <w:color w:val="000000"/>
                <w:lang w:eastAsia="es-ES"/>
              </w:rPr>
              <w:t>1.43%</w:t>
            </w:r>
          </w:p>
        </w:tc>
        <w:tc>
          <w:tcPr>
            <w:tcW w:w="1139" w:type="dxa"/>
            <w:tcBorders>
              <w:top w:val="single" w:sz="4" w:space="0" w:color="auto"/>
              <w:left w:val="nil"/>
              <w:bottom w:val="single" w:sz="4" w:space="0" w:color="auto"/>
              <w:right w:val="single" w:sz="4" w:space="0" w:color="auto"/>
            </w:tcBorders>
            <w:shd w:val="clear" w:color="auto" w:fill="auto"/>
            <w:noWrap/>
            <w:vAlign w:val="bottom"/>
            <w:hideMark/>
          </w:tcPr>
          <w:p w:rsidR="00EB531B" w:rsidRPr="00EB531B" w:rsidRDefault="00EB531B" w:rsidP="00EB531B">
            <w:pPr>
              <w:spacing w:after="0" w:line="240" w:lineRule="auto"/>
              <w:jc w:val="right"/>
              <w:rPr>
                <w:rFonts w:ascii="Calibri" w:eastAsia="Times New Roman" w:hAnsi="Calibri" w:cs="Times New Roman"/>
                <w:color w:val="000000"/>
                <w:lang w:eastAsia="es-ES"/>
              </w:rPr>
            </w:pPr>
            <w:r w:rsidRPr="00EB531B">
              <w:rPr>
                <w:rFonts w:ascii="Calibri" w:eastAsia="Times New Roman" w:hAnsi="Calibri" w:cs="Times New Roman"/>
                <w:color w:val="000000"/>
                <w:lang w:eastAsia="es-ES"/>
              </w:rPr>
              <w:t>1.15%</w:t>
            </w:r>
          </w:p>
        </w:tc>
        <w:tc>
          <w:tcPr>
            <w:tcW w:w="1324" w:type="dxa"/>
            <w:tcBorders>
              <w:top w:val="nil"/>
              <w:left w:val="nil"/>
              <w:bottom w:val="single" w:sz="4" w:space="0" w:color="auto"/>
              <w:right w:val="single" w:sz="4" w:space="0" w:color="auto"/>
            </w:tcBorders>
            <w:shd w:val="clear" w:color="auto" w:fill="auto"/>
            <w:noWrap/>
            <w:vAlign w:val="bottom"/>
            <w:hideMark/>
          </w:tcPr>
          <w:p w:rsidR="00EB531B" w:rsidRPr="00EB531B" w:rsidRDefault="00EB531B" w:rsidP="00EB531B">
            <w:pPr>
              <w:spacing w:after="0" w:line="240" w:lineRule="auto"/>
              <w:jc w:val="right"/>
              <w:rPr>
                <w:rFonts w:ascii="Calibri" w:eastAsia="Times New Roman" w:hAnsi="Calibri" w:cs="Times New Roman"/>
                <w:color w:val="000000"/>
                <w:lang w:eastAsia="es-ES"/>
              </w:rPr>
            </w:pPr>
            <w:r w:rsidRPr="00EB531B">
              <w:rPr>
                <w:rFonts w:ascii="Calibri" w:eastAsia="Times New Roman" w:hAnsi="Calibri" w:cs="Times New Roman"/>
                <w:color w:val="000000"/>
                <w:lang w:eastAsia="es-ES"/>
              </w:rPr>
              <w:t>7.58%</w:t>
            </w:r>
          </w:p>
        </w:tc>
      </w:tr>
      <w:tr w:rsidR="00EB531B" w:rsidRPr="00EB531B" w:rsidTr="00370C66">
        <w:trPr>
          <w:trHeight w:val="300"/>
          <w:jc w:val="center"/>
        </w:trPr>
        <w:tc>
          <w:tcPr>
            <w:tcW w:w="2142" w:type="dxa"/>
            <w:tcBorders>
              <w:top w:val="nil"/>
              <w:left w:val="single" w:sz="4" w:space="0" w:color="auto"/>
              <w:bottom w:val="single" w:sz="4" w:space="0" w:color="auto"/>
              <w:right w:val="single" w:sz="4" w:space="0" w:color="auto"/>
            </w:tcBorders>
            <w:shd w:val="clear" w:color="000000" w:fill="FFFFFF"/>
            <w:noWrap/>
            <w:vAlign w:val="bottom"/>
            <w:hideMark/>
          </w:tcPr>
          <w:p w:rsidR="00EB531B" w:rsidRPr="00EB531B" w:rsidRDefault="00EB531B" w:rsidP="00EB531B">
            <w:pPr>
              <w:spacing w:after="0" w:line="240" w:lineRule="auto"/>
              <w:ind w:firstLineChars="100" w:firstLine="221"/>
              <w:rPr>
                <w:rFonts w:ascii="Calibri" w:eastAsia="Times New Roman" w:hAnsi="Calibri" w:cs="Times New Roman"/>
                <w:b/>
                <w:bCs/>
                <w:color w:val="000000"/>
                <w:lang w:eastAsia="es-ES"/>
              </w:rPr>
            </w:pPr>
            <w:proofErr w:type="spellStart"/>
            <w:r w:rsidRPr="00EB531B">
              <w:rPr>
                <w:rFonts w:ascii="Calibri" w:eastAsia="Times New Roman" w:hAnsi="Calibri" w:cs="Times New Roman"/>
                <w:b/>
                <w:bCs/>
                <w:color w:val="000000"/>
                <w:lang w:eastAsia="es-ES"/>
              </w:rPr>
              <w:t>Primary</w:t>
            </w:r>
            <w:proofErr w:type="spellEnd"/>
          </w:p>
        </w:tc>
        <w:tc>
          <w:tcPr>
            <w:tcW w:w="882" w:type="dxa"/>
            <w:tcBorders>
              <w:top w:val="nil"/>
              <w:left w:val="nil"/>
              <w:bottom w:val="single" w:sz="4" w:space="0" w:color="auto"/>
              <w:right w:val="single" w:sz="4" w:space="0" w:color="auto"/>
            </w:tcBorders>
            <w:shd w:val="clear" w:color="auto" w:fill="auto"/>
            <w:noWrap/>
            <w:vAlign w:val="bottom"/>
            <w:hideMark/>
          </w:tcPr>
          <w:p w:rsidR="00EB531B" w:rsidRPr="00EB531B" w:rsidRDefault="00EB531B" w:rsidP="00EB531B">
            <w:pPr>
              <w:spacing w:after="0" w:line="240" w:lineRule="auto"/>
              <w:jc w:val="right"/>
              <w:rPr>
                <w:rFonts w:ascii="Calibri" w:eastAsia="Times New Roman" w:hAnsi="Calibri" w:cs="Times New Roman"/>
                <w:color w:val="000000"/>
                <w:lang w:eastAsia="es-ES"/>
              </w:rPr>
            </w:pPr>
            <w:r w:rsidRPr="00EB531B">
              <w:rPr>
                <w:rFonts w:ascii="Calibri" w:eastAsia="Times New Roman" w:hAnsi="Calibri" w:cs="Times New Roman"/>
                <w:color w:val="000000"/>
                <w:lang w:eastAsia="es-ES"/>
              </w:rPr>
              <w:t>9.79%</w:t>
            </w:r>
          </w:p>
        </w:tc>
        <w:tc>
          <w:tcPr>
            <w:tcW w:w="1139" w:type="dxa"/>
            <w:tcBorders>
              <w:top w:val="nil"/>
              <w:left w:val="nil"/>
              <w:bottom w:val="single" w:sz="4" w:space="0" w:color="auto"/>
              <w:right w:val="single" w:sz="4" w:space="0" w:color="auto"/>
            </w:tcBorders>
            <w:shd w:val="clear" w:color="auto" w:fill="auto"/>
            <w:noWrap/>
            <w:vAlign w:val="bottom"/>
            <w:hideMark/>
          </w:tcPr>
          <w:p w:rsidR="00EB531B" w:rsidRPr="00EB531B" w:rsidRDefault="00EB531B" w:rsidP="00EB531B">
            <w:pPr>
              <w:spacing w:after="0" w:line="240" w:lineRule="auto"/>
              <w:jc w:val="right"/>
              <w:rPr>
                <w:rFonts w:ascii="Calibri" w:eastAsia="Times New Roman" w:hAnsi="Calibri" w:cs="Times New Roman"/>
                <w:color w:val="000000"/>
                <w:lang w:eastAsia="es-ES"/>
              </w:rPr>
            </w:pPr>
            <w:r w:rsidRPr="00EB531B">
              <w:rPr>
                <w:rFonts w:ascii="Calibri" w:eastAsia="Times New Roman" w:hAnsi="Calibri" w:cs="Times New Roman"/>
                <w:color w:val="000000"/>
                <w:lang w:eastAsia="es-ES"/>
              </w:rPr>
              <w:t>9.42%</w:t>
            </w:r>
          </w:p>
        </w:tc>
        <w:tc>
          <w:tcPr>
            <w:tcW w:w="1139" w:type="dxa"/>
            <w:tcBorders>
              <w:top w:val="nil"/>
              <w:left w:val="nil"/>
              <w:bottom w:val="single" w:sz="4" w:space="0" w:color="auto"/>
              <w:right w:val="single" w:sz="4" w:space="0" w:color="auto"/>
            </w:tcBorders>
            <w:shd w:val="clear" w:color="auto" w:fill="auto"/>
            <w:noWrap/>
            <w:vAlign w:val="bottom"/>
            <w:hideMark/>
          </w:tcPr>
          <w:p w:rsidR="00EB531B" w:rsidRPr="00EB531B" w:rsidRDefault="00EB531B" w:rsidP="00EB531B">
            <w:pPr>
              <w:spacing w:after="0" w:line="240" w:lineRule="auto"/>
              <w:jc w:val="right"/>
              <w:rPr>
                <w:rFonts w:ascii="Calibri" w:eastAsia="Times New Roman" w:hAnsi="Calibri" w:cs="Times New Roman"/>
                <w:color w:val="000000"/>
                <w:lang w:eastAsia="es-ES"/>
              </w:rPr>
            </w:pPr>
            <w:r w:rsidRPr="00EB531B">
              <w:rPr>
                <w:rFonts w:ascii="Calibri" w:eastAsia="Times New Roman" w:hAnsi="Calibri" w:cs="Times New Roman"/>
                <w:color w:val="000000"/>
                <w:lang w:eastAsia="es-ES"/>
              </w:rPr>
              <w:t>9.00%</w:t>
            </w:r>
          </w:p>
        </w:tc>
        <w:tc>
          <w:tcPr>
            <w:tcW w:w="1139" w:type="dxa"/>
            <w:tcBorders>
              <w:top w:val="nil"/>
              <w:left w:val="nil"/>
              <w:bottom w:val="single" w:sz="4" w:space="0" w:color="auto"/>
              <w:right w:val="single" w:sz="4" w:space="0" w:color="auto"/>
            </w:tcBorders>
            <w:shd w:val="clear" w:color="auto" w:fill="auto"/>
            <w:noWrap/>
            <w:vAlign w:val="bottom"/>
            <w:hideMark/>
          </w:tcPr>
          <w:p w:rsidR="00EB531B" w:rsidRPr="00EB531B" w:rsidRDefault="00EB531B" w:rsidP="00EB531B">
            <w:pPr>
              <w:spacing w:after="0" w:line="240" w:lineRule="auto"/>
              <w:jc w:val="right"/>
              <w:rPr>
                <w:rFonts w:ascii="Calibri" w:eastAsia="Times New Roman" w:hAnsi="Calibri" w:cs="Times New Roman"/>
                <w:color w:val="000000"/>
                <w:lang w:eastAsia="es-ES"/>
              </w:rPr>
            </w:pPr>
            <w:r w:rsidRPr="00EB531B">
              <w:rPr>
                <w:rFonts w:ascii="Calibri" w:eastAsia="Times New Roman" w:hAnsi="Calibri" w:cs="Times New Roman"/>
                <w:color w:val="000000"/>
                <w:lang w:eastAsia="es-ES"/>
              </w:rPr>
              <w:t>7.97%</w:t>
            </w:r>
          </w:p>
        </w:tc>
        <w:tc>
          <w:tcPr>
            <w:tcW w:w="1139" w:type="dxa"/>
            <w:tcBorders>
              <w:top w:val="nil"/>
              <w:left w:val="nil"/>
              <w:bottom w:val="single" w:sz="4" w:space="0" w:color="auto"/>
              <w:right w:val="single" w:sz="4" w:space="0" w:color="auto"/>
            </w:tcBorders>
            <w:shd w:val="clear" w:color="auto" w:fill="auto"/>
            <w:noWrap/>
            <w:vAlign w:val="bottom"/>
            <w:hideMark/>
          </w:tcPr>
          <w:p w:rsidR="00EB531B" w:rsidRPr="00EB531B" w:rsidRDefault="00EB531B" w:rsidP="00EB531B">
            <w:pPr>
              <w:spacing w:after="0" w:line="240" w:lineRule="auto"/>
              <w:jc w:val="right"/>
              <w:rPr>
                <w:rFonts w:ascii="Calibri" w:eastAsia="Times New Roman" w:hAnsi="Calibri" w:cs="Times New Roman"/>
                <w:color w:val="000000"/>
                <w:lang w:eastAsia="es-ES"/>
              </w:rPr>
            </w:pPr>
            <w:r w:rsidRPr="00EB531B">
              <w:rPr>
                <w:rFonts w:ascii="Calibri" w:eastAsia="Times New Roman" w:hAnsi="Calibri" w:cs="Times New Roman"/>
                <w:color w:val="000000"/>
                <w:lang w:eastAsia="es-ES"/>
              </w:rPr>
              <w:t>5.99%</w:t>
            </w:r>
          </w:p>
        </w:tc>
        <w:tc>
          <w:tcPr>
            <w:tcW w:w="1324" w:type="dxa"/>
            <w:tcBorders>
              <w:top w:val="nil"/>
              <w:left w:val="nil"/>
              <w:bottom w:val="single" w:sz="4" w:space="0" w:color="auto"/>
              <w:right w:val="single" w:sz="4" w:space="0" w:color="auto"/>
            </w:tcBorders>
            <w:shd w:val="clear" w:color="auto" w:fill="auto"/>
            <w:noWrap/>
            <w:vAlign w:val="bottom"/>
            <w:hideMark/>
          </w:tcPr>
          <w:p w:rsidR="00EB531B" w:rsidRPr="00EB531B" w:rsidRDefault="00EB531B" w:rsidP="00EB531B">
            <w:pPr>
              <w:spacing w:after="0" w:line="240" w:lineRule="auto"/>
              <w:jc w:val="right"/>
              <w:rPr>
                <w:rFonts w:ascii="Calibri" w:eastAsia="Times New Roman" w:hAnsi="Calibri" w:cs="Times New Roman"/>
                <w:color w:val="000000"/>
                <w:lang w:eastAsia="es-ES"/>
              </w:rPr>
            </w:pPr>
            <w:r w:rsidRPr="00EB531B">
              <w:rPr>
                <w:rFonts w:ascii="Calibri" w:eastAsia="Times New Roman" w:hAnsi="Calibri" w:cs="Times New Roman"/>
                <w:color w:val="000000"/>
                <w:lang w:eastAsia="es-ES"/>
              </w:rPr>
              <w:t>42.17%</w:t>
            </w:r>
          </w:p>
        </w:tc>
      </w:tr>
      <w:tr w:rsidR="00EB531B" w:rsidRPr="00EB531B" w:rsidTr="00370C66">
        <w:trPr>
          <w:trHeight w:val="300"/>
          <w:jc w:val="center"/>
        </w:trPr>
        <w:tc>
          <w:tcPr>
            <w:tcW w:w="2142" w:type="dxa"/>
            <w:tcBorders>
              <w:top w:val="nil"/>
              <w:left w:val="single" w:sz="4" w:space="0" w:color="auto"/>
              <w:bottom w:val="single" w:sz="4" w:space="0" w:color="auto"/>
              <w:right w:val="single" w:sz="4" w:space="0" w:color="auto"/>
            </w:tcBorders>
            <w:shd w:val="clear" w:color="000000" w:fill="FFFFFF"/>
            <w:noWrap/>
            <w:vAlign w:val="bottom"/>
            <w:hideMark/>
          </w:tcPr>
          <w:p w:rsidR="00EB531B" w:rsidRPr="00EB531B" w:rsidRDefault="00EB531B" w:rsidP="00EB531B">
            <w:pPr>
              <w:spacing w:after="0" w:line="240" w:lineRule="auto"/>
              <w:ind w:firstLineChars="100" w:firstLine="221"/>
              <w:rPr>
                <w:rFonts w:ascii="Calibri" w:eastAsia="Times New Roman" w:hAnsi="Calibri" w:cs="Times New Roman"/>
                <w:b/>
                <w:bCs/>
                <w:color w:val="000000"/>
                <w:lang w:eastAsia="es-ES"/>
              </w:rPr>
            </w:pPr>
            <w:proofErr w:type="spellStart"/>
            <w:r w:rsidRPr="00EB531B">
              <w:rPr>
                <w:rFonts w:ascii="Calibri" w:eastAsia="Times New Roman" w:hAnsi="Calibri" w:cs="Times New Roman"/>
                <w:b/>
                <w:bCs/>
                <w:color w:val="000000"/>
                <w:lang w:eastAsia="es-ES"/>
              </w:rPr>
              <w:t>Secondary</w:t>
            </w:r>
            <w:proofErr w:type="spellEnd"/>
          </w:p>
        </w:tc>
        <w:tc>
          <w:tcPr>
            <w:tcW w:w="882" w:type="dxa"/>
            <w:tcBorders>
              <w:top w:val="nil"/>
              <w:left w:val="nil"/>
              <w:bottom w:val="single" w:sz="4" w:space="0" w:color="auto"/>
              <w:right w:val="single" w:sz="4" w:space="0" w:color="auto"/>
            </w:tcBorders>
            <w:shd w:val="clear" w:color="auto" w:fill="auto"/>
            <w:noWrap/>
            <w:vAlign w:val="bottom"/>
            <w:hideMark/>
          </w:tcPr>
          <w:p w:rsidR="00EB531B" w:rsidRPr="00EB531B" w:rsidRDefault="00EB531B" w:rsidP="00EB531B">
            <w:pPr>
              <w:spacing w:after="0" w:line="240" w:lineRule="auto"/>
              <w:jc w:val="right"/>
              <w:rPr>
                <w:rFonts w:ascii="Calibri" w:eastAsia="Times New Roman" w:hAnsi="Calibri" w:cs="Times New Roman"/>
                <w:color w:val="000000"/>
                <w:lang w:eastAsia="es-ES"/>
              </w:rPr>
            </w:pPr>
            <w:r w:rsidRPr="00EB531B">
              <w:rPr>
                <w:rFonts w:ascii="Calibri" w:eastAsia="Times New Roman" w:hAnsi="Calibri" w:cs="Times New Roman"/>
                <w:color w:val="000000"/>
                <w:lang w:eastAsia="es-ES"/>
              </w:rPr>
              <w:t>4.65%</w:t>
            </w:r>
          </w:p>
        </w:tc>
        <w:tc>
          <w:tcPr>
            <w:tcW w:w="1139" w:type="dxa"/>
            <w:tcBorders>
              <w:top w:val="nil"/>
              <w:left w:val="nil"/>
              <w:bottom w:val="single" w:sz="4" w:space="0" w:color="auto"/>
              <w:right w:val="single" w:sz="4" w:space="0" w:color="auto"/>
            </w:tcBorders>
            <w:shd w:val="clear" w:color="auto" w:fill="auto"/>
            <w:noWrap/>
            <w:vAlign w:val="bottom"/>
            <w:hideMark/>
          </w:tcPr>
          <w:p w:rsidR="00EB531B" w:rsidRPr="00EB531B" w:rsidRDefault="00EB531B" w:rsidP="00EB531B">
            <w:pPr>
              <w:spacing w:after="0" w:line="240" w:lineRule="auto"/>
              <w:jc w:val="right"/>
              <w:rPr>
                <w:rFonts w:ascii="Calibri" w:eastAsia="Times New Roman" w:hAnsi="Calibri" w:cs="Times New Roman"/>
                <w:color w:val="000000"/>
                <w:lang w:eastAsia="es-ES"/>
              </w:rPr>
            </w:pPr>
            <w:r w:rsidRPr="00EB531B">
              <w:rPr>
                <w:rFonts w:ascii="Calibri" w:eastAsia="Times New Roman" w:hAnsi="Calibri" w:cs="Times New Roman"/>
                <w:color w:val="000000"/>
                <w:lang w:eastAsia="es-ES"/>
              </w:rPr>
              <w:t>5.19%</w:t>
            </w:r>
          </w:p>
        </w:tc>
        <w:tc>
          <w:tcPr>
            <w:tcW w:w="1139" w:type="dxa"/>
            <w:tcBorders>
              <w:top w:val="nil"/>
              <w:left w:val="nil"/>
              <w:bottom w:val="single" w:sz="4" w:space="0" w:color="auto"/>
              <w:right w:val="single" w:sz="4" w:space="0" w:color="auto"/>
            </w:tcBorders>
            <w:shd w:val="clear" w:color="auto" w:fill="auto"/>
            <w:noWrap/>
            <w:vAlign w:val="bottom"/>
            <w:hideMark/>
          </w:tcPr>
          <w:p w:rsidR="00EB531B" w:rsidRPr="00EB531B" w:rsidRDefault="00EB531B" w:rsidP="00EB531B">
            <w:pPr>
              <w:spacing w:after="0" w:line="240" w:lineRule="auto"/>
              <w:jc w:val="right"/>
              <w:rPr>
                <w:rFonts w:ascii="Calibri" w:eastAsia="Times New Roman" w:hAnsi="Calibri" w:cs="Times New Roman"/>
                <w:color w:val="000000"/>
                <w:lang w:eastAsia="es-ES"/>
              </w:rPr>
            </w:pPr>
            <w:r w:rsidRPr="00EB531B">
              <w:rPr>
                <w:rFonts w:ascii="Calibri" w:eastAsia="Times New Roman" w:hAnsi="Calibri" w:cs="Times New Roman"/>
                <w:color w:val="000000"/>
                <w:lang w:eastAsia="es-ES"/>
              </w:rPr>
              <w:t>6.33%</w:t>
            </w:r>
          </w:p>
        </w:tc>
        <w:tc>
          <w:tcPr>
            <w:tcW w:w="1139" w:type="dxa"/>
            <w:tcBorders>
              <w:top w:val="nil"/>
              <w:left w:val="nil"/>
              <w:bottom w:val="single" w:sz="4" w:space="0" w:color="auto"/>
              <w:right w:val="single" w:sz="4" w:space="0" w:color="auto"/>
            </w:tcBorders>
            <w:shd w:val="clear" w:color="auto" w:fill="auto"/>
            <w:noWrap/>
            <w:vAlign w:val="bottom"/>
            <w:hideMark/>
          </w:tcPr>
          <w:p w:rsidR="00EB531B" w:rsidRPr="00EB531B" w:rsidRDefault="00EB531B" w:rsidP="00EB531B">
            <w:pPr>
              <w:spacing w:after="0" w:line="240" w:lineRule="auto"/>
              <w:jc w:val="right"/>
              <w:rPr>
                <w:rFonts w:ascii="Calibri" w:eastAsia="Times New Roman" w:hAnsi="Calibri" w:cs="Times New Roman"/>
                <w:color w:val="000000"/>
                <w:lang w:eastAsia="es-ES"/>
              </w:rPr>
            </w:pPr>
            <w:r w:rsidRPr="00EB531B">
              <w:rPr>
                <w:rFonts w:ascii="Calibri" w:eastAsia="Times New Roman" w:hAnsi="Calibri" w:cs="Times New Roman"/>
                <w:color w:val="000000"/>
                <w:lang w:eastAsia="es-ES"/>
              </w:rPr>
              <w:t>6.55%</w:t>
            </w:r>
          </w:p>
        </w:tc>
        <w:tc>
          <w:tcPr>
            <w:tcW w:w="1139" w:type="dxa"/>
            <w:tcBorders>
              <w:top w:val="nil"/>
              <w:left w:val="nil"/>
              <w:bottom w:val="single" w:sz="4" w:space="0" w:color="auto"/>
              <w:right w:val="single" w:sz="4" w:space="0" w:color="auto"/>
            </w:tcBorders>
            <w:shd w:val="clear" w:color="auto" w:fill="auto"/>
            <w:noWrap/>
            <w:vAlign w:val="bottom"/>
            <w:hideMark/>
          </w:tcPr>
          <w:p w:rsidR="00EB531B" w:rsidRPr="00EB531B" w:rsidRDefault="00EB531B" w:rsidP="00EB531B">
            <w:pPr>
              <w:spacing w:after="0" w:line="240" w:lineRule="auto"/>
              <w:jc w:val="right"/>
              <w:rPr>
                <w:rFonts w:ascii="Calibri" w:eastAsia="Times New Roman" w:hAnsi="Calibri" w:cs="Times New Roman"/>
                <w:color w:val="000000"/>
                <w:lang w:eastAsia="es-ES"/>
              </w:rPr>
            </w:pPr>
            <w:r w:rsidRPr="00EB531B">
              <w:rPr>
                <w:rFonts w:ascii="Calibri" w:eastAsia="Times New Roman" w:hAnsi="Calibri" w:cs="Times New Roman"/>
                <w:color w:val="000000"/>
                <w:lang w:eastAsia="es-ES"/>
              </w:rPr>
              <w:t>6.10%</w:t>
            </w:r>
          </w:p>
        </w:tc>
        <w:tc>
          <w:tcPr>
            <w:tcW w:w="1324" w:type="dxa"/>
            <w:tcBorders>
              <w:top w:val="nil"/>
              <w:left w:val="nil"/>
              <w:bottom w:val="single" w:sz="4" w:space="0" w:color="auto"/>
              <w:right w:val="single" w:sz="4" w:space="0" w:color="auto"/>
            </w:tcBorders>
            <w:shd w:val="clear" w:color="auto" w:fill="auto"/>
            <w:noWrap/>
            <w:vAlign w:val="bottom"/>
            <w:hideMark/>
          </w:tcPr>
          <w:p w:rsidR="00EB531B" w:rsidRPr="00EB531B" w:rsidRDefault="00EB531B" w:rsidP="00EB531B">
            <w:pPr>
              <w:spacing w:after="0" w:line="240" w:lineRule="auto"/>
              <w:jc w:val="right"/>
              <w:rPr>
                <w:rFonts w:ascii="Calibri" w:eastAsia="Times New Roman" w:hAnsi="Calibri" w:cs="Times New Roman"/>
                <w:color w:val="000000"/>
                <w:lang w:eastAsia="es-ES"/>
              </w:rPr>
            </w:pPr>
            <w:r w:rsidRPr="00EB531B">
              <w:rPr>
                <w:rFonts w:ascii="Calibri" w:eastAsia="Times New Roman" w:hAnsi="Calibri" w:cs="Times New Roman"/>
                <w:color w:val="000000"/>
                <w:lang w:eastAsia="es-ES"/>
              </w:rPr>
              <w:t>28.83%</w:t>
            </w:r>
          </w:p>
        </w:tc>
      </w:tr>
      <w:tr w:rsidR="00EB531B" w:rsidRPr="00EB531B" w:rsidTr="00370C66">
        <w:trPr>
          <w:trHeight w:val="315"/>
          <w:jc w:val="center"/>
        </w:trPr>
        <w:tc>
          <w:tcPr>
            <w:tcW w:w="2142" w:type="dxa"/>
            <w:tcBorders>
              <w:top w:val="nil"/>
              <w:left w:val="single" w:sz="4" w:space="0" w:color="auto"/>
              <w:bottom w:val="double" w:sz="6" w:space="0" w:color="auto"/>
              <w:right w:val="single" w:sz="4" w:space="0" w:color="auto"/>
            </w:tcBorders>
            <w:shd w:val="clear" w:color="000000" w:fill="FFFFFF"/>
            <w:noWrap/>
            <w:vAlign w:val="bottom"/>
            <w:hideMark/>
          </w:tcPr>
          <w:p w:rsidR="00EB531B" w:rsidRPr="00EB531B" w:rsidRDefault="00EB531B" w:rsidP="00EB531B">
            <w:pPr>
              <w:spacing w:after="0" w:line="240" w:lineRule="auto"/>
              <w:ind w:firstLineChars="100" w:firstLine="221"/>
              <w:rPr>
                <w:rFonts w:ascii="Calibri" w:eastAsia="Times New Roman" w:hAnsi="Calibri" w:cs="Times New Roman"/>
                <w:b/>
                <w:bCs/>
                <w:color w:val="000000"/>
                <w:lang w:eastAsia="es-ES"/>
              </w:rPr>
            </w:pPr>
            <w:proofErr w:type="spellStart"/>
            <w:r w:rsidRPr="00EB531B">
              <w:rPr>
                <w:rFonts w:ascii="Calibri" w:eastAsia="Times New Roman" w:hAnsi="Calibri" w:cs="Times New Roman"/>
                <w:b/>
                <w:bCs/>
                <w:color w:val="000000"/>
                <w:lang w:eastAsia="es-ES"/>
              </w:rPr>
              <w:t>Tertiary</w:t>
            </w:r>
            <w:proofErr w:type="spellEnd"/>
            <w:r w:rsidRPr="00EB531B">
              <w:rPr>
                <w:rFonts w:ascii="Calibri" w:eastAsia="Times New Roman" w:hAnsi="Calibri" w:cs="Times New Roman"/>
                <w:b/>
                <w:bCs/>
                <w:color w:val="000000"/>
                <w:lang w:eastAsia="es-ES"/>
              </w:rPr>
              <w:t>/</w:t>
            </w:r>
            <w:proofErr w:type="spellStart"/>
            <w:r w:rsidRPr="00EB531B">
              <w:rPr>
                <w:rFonts w:ascii="Calibri" w:eastAsia="Times New Roman" w:hAnsi="Calibri" w:cs="Times New Roman"/>
                <w:b/>
                <w:bCs/>
                <w:color w:val="000000"/>
                <w:lang w:eastAsia="es-ES"/>
              </w:rPr>
              <w:t>University</w:t>
            </w:r>
            <w:proofErr w:type="spellEnd"/>
          </w:p>
        </w:tc>
        <w:tc>
          <w:tcPr>
            <w:tcW w:w="882" w:type="dxa"/>
            <w:tcBorders>
              <w:top w:val="nil"/>
              <w:left w:val="nil"/>
              <w:bottom w:val="single" w:sz="4" w:space="0" w:color="auto"/>
              <w:right w:val="single" w:sz="4" w:space="0" w:color="auto"/>
            </w:tcBorders>
            <w:shd w:val="clear" w:color="auto" w:fill="auto"/>
            <w:noWrap/>
            <w:vAlign w:val="bottom"/>
            <w:hideMark/>
          </w:tcPr>
          <w:p w:rsidR="00EB531B" w:rsidRPr="00EB531B" w:rsidRDefault="00EB531B" w:rsidP="00EB531B">
            <w:pPr>
              <w:spacing w:after="0" w:line="240" w:lineRule="auto"/>
              <w:jc w:val="right"/>
              <w:rPr>
                <w:rFonts w:ascii="Calibri" w:eastAsia="Times New Roman" w:hAnsi="Calibri" w:cs="Times New Roman"/>
                <w:color w:val="000000"/>
                <w:lang w:eastAsia="es-ES"/>
              </w:rPr>
            </w:pPr>
            <w:r w:rsidRPr="00EB531B">
              <w:rPr>
                <w:rFonts w:ascii="Calibri" w:eastAsia="Times New Roman" w:hAnsi="Calibri" w:cs="Times New Roman"/>
                <w:color w:val="000000"/>
                <w:lang w:eastAsia="es-ES"/>
              </w:rPr>
              <w:t>0.58%</w:t>
            </w:r>
          </w:p>
        </w:tc>
        <w:tc>
          <w:tcPr>
            <w:tcW w:w="1139" w:type="dxa"/>
            <w:tcBorders>
              <w:top w:val="nil"/>
              <w:left w:val="nil"/>
              <w:bottom w:val="single" w:sz="4" w:space="0" w:color="auto"/>
              <w:right w:val="single" w:sz="4" w:space="0" w:color="auto"/>
            </w:tcBorders>
            <w:shd w:val="clear" w:color="auto" w:fill="auto"/>
            <w:noWrap/>
            <w:vAlign w:val="bottom"/>
            <w:hideMark/>
          </w:tcPr>
          <w:p w:rsidR="00EB531B" w:rsidRPr="00EB531B" w:rsidRDefault="00EB531B" w:rsidP="00EB531B">
            <w:pPr>
              <w:spacing w:after="0" w:line="240" w:lineRule="auto"/>
              <w:jc w:val="right"/>
              <w:rPr>
                <w:rFonts w:ascii="Calibri" w:eastAsia="Times New Roman" w:hAnsi="Calibri" w:cs="Times New Roman"/>
                <w:color w:val="000000"/>
                <w:lang w:eastAsia="es-ES"/>
              </w:rPr>
            </w:pPr>
            <w:r w:rsidRPr="00EB531B">
              <w:rPr>
                <w:rFonts w:ascii="Calibri" w:eastAsia="Times New Roman" w:hAnsi="Calibri" w:cs="Times New Roman"/>
                <w:color w:val="000000"/>
                <w:lang w:eastAsia="es-ES"/>
              </w:rPr>
              <w:t>1.62%</w:t>
            </w:r>
          </w:p>
        </w:tc>
        <w:tc>
          <w:tcPr>
            <w:tcW w:w="1139" w:type="dxa"/>
            <w:tcBorders>
              <w:top w:val="nil"/>
              <w:left w:val="nil"/>
              <w:bottom w:val="single" w:sz="4" w:space="0" w:color="auto"/>
              <w:right w:val="single" w:sz="4" w:space="0" w:color="auto"/>
            </w:tcBorders>
            <w:shd w:val="clear" w:color="auto" w:fill="auto"/>
            <w:noWrap/>
            <w:vAlign w:val="bottom"/>
            <w:hideMark/>
          </w:tcPr>
          <w:p w:rsidR="00EB531B" w:rsidRPr="00EB531B" w:rsidRDefault="00EB531B" w:rsidP="00EB531B">
            <w:pPr>
              <w:spacing w:after="0" w:line="240" w:lineRule="auto"/>
              <w:jc w:val="right"/>
              <w:rPr>
                <w:rFonts w:ascii="Calibri" w:eastAsia="Times New Roman" w:hAnsi="Calibri" w:cs="Times New Roman"/>
                <w:color w:val="000000"/>
                <w:lang w:eastAsia="es-ES"/>
              </w:rPr>
            </w:pPr>
            <w:r w:rsidRPr="00EB531B">
              <w:rPr>
                <w:rFonts w:ascii="Calibri" w:eastAsia="Times New Roman" w:hAnsi="Calibri" w:cs="Times New Roman"/>
                <w:color w:val="000000"/>
                <w:lang w:eastAsia="es-ES"/>
              </w:rPr>
              <w:t>2.19%</w:t>
            </w:r>
          </w:p>
        </w:tc>
        <w:tc>
          <w:tcPr>
            <w:tcW w:w="1139" w:type="dxa"/>
            <w:tcBorders>
              <w:top w:val="nil"/>
              <w:left w:val="nil"/>
              <w:bottom w:val="single" w:sz="4" w:space="0" w:color="auto"/>
              <w:right w:val="single" w:sz="4" w:space="0" w:color="auto"/>
            </w:tcBorders>
            <w:shd w:val="clear" w:color="auto" w:fill="auto"/>
            <w:noWrap/>
            <w:vAlign w:val="bottom"/>
            <w:hideMark/>
          </w:tcPr>
          <w:p w:rsidR="00EB531B" w:rsidRPr="00EB531B" w:rsidRDefault="00EB531B" w:rsidP="00EB531B">
            <w:pPr>
              <w:spacing w:after="0" w:line="240" w:lineRule="auto"/>
              <w:jc w:val="right"/>
              <w:rPr>
                <w:rFonts w:ascii="Calibri" w:eastAsia="Times New Roman" w:hAnsi="Calibri" w:cs="Times New Roman"/>
                <w:color w:val="000000"/>
                <w:lang w:eastAsia="es-ES"/>
              </w:rPr>
            </w:pPr>
            <w:r w:rsidRPr="00EB531B">
              <w:rPr>
                <w:rFonts w:ascii="Calibri" w:eastAsia="Times New Roman" w:hAnsi="Calibri" w:cs="Times New Roman"/>
                <w:color w:val="000000"/>
                <w:lang w:eastAsia="es-ES"/>
              </w:rPr>
              <w:t>5.62%</w:t>
            </w:r>
          </w:p>
        </w:tc>
        <w:tc>
          <w:tcPr>
            <w:tcW w:w="1139" w:type="dxa"/>
            <w:tcBorders>
              <w:top w:val="nil"/>
              <w:left w:val="nil"/>
              <w:bottom w:val="single" w:sz="4" w:space="0" w:color="auto"/>
              <w:right w:val="single" w:sz="4" w:space="0" w:color="auto"/>
            </w:tcBorders>
            <w:shd w:val="clear" w:color="auto" w:fill="auto"/>
            <w:noWrap/>
            <w:vAlign w:val="bottom"/>
            <w:hideMark/>
          </w:tcPr>
          <w:p w:rsidR="00EB531B" w:rsidRPr="00EB531B" w:rsidRDefault="00EB531B" w:rsidP="00EB531B">
            <w:pPr>
              <w:spacing w:after="0" w:line="240" w:lineRule="auto"/>
              <w:jc w:val="right"/>
              <w:rPr>
                <w:rFonts w:ascii="Calibri" w:eastAsia="Times New Roman" w:hAnsi="Calibri" w:cs="Times New Roman"/>
                <w:color w:val="000000"/>
                <w:lang w:eastAsia="es-ES"/>
              </w:rPr>
            </w:pPr>
            <w:r w:rsidRPr="00EB531B">
              <w:rPr>
                <w:rFonts w:ascii="Calibri" w:eastAsia="Times New Roman" w:hAnsi="Calibri" w:cs="Times New Roman"/>
                <w:color w:val="000000"/>
                <w:lang w:eastAsia="es-ES"/>
              </w:rPr>
              <w:t>11.42%</w:t>
            </w:r>
          </w:p>
        </w:tc>
        <w:tc>
          <w:tcPr>
            <w:tcW w:w="1324" w:type="dxa"/>
            <w:tcBorders>
              <w:top w:val="nil"/>
              <w:left w:val="nil"/>
              <w:bottom w:val="single" w:sz="4" w:space="0" w:color="auto"/>
              <w:right w:val="single" w:sz="4" w:space="0" w:color="auto"/>
            </w:tcBorders>
            <w:shd w:val="clear" w:color="auto" w:fill="auto"/>
            <w:noWrap/>
            <w:vAlign w:val="bottom"/>
            <w:hideMark/>
          </w:tcPr>
          <w:p w:rsidR="00EB531B" w:rsidRPr="00EB531B" w:rsidRDefault="00EB531B" w:rsidP="00EB531B">
            <w:pPr>
              <w:spacing w:after="0" w:line="240" w:lineRule="auto"/>
              <w:jc w:val="right"/>
              <w:rPr>
                <w:rFonts w:ascii="Calibri" w:eastAsia="Times New Roman" w:hAnsi="Calibri" w:cs="Times New Roman"/>
                <w:color w:val="000000"/>
                <w:lang w:eastAsia="es-ES"/>
              </w:rPr>
            </w:pPr>
            <w:r w:rsidRPr="00EB531B">
              <w:rPr>
                <w:rFonts w:ascii="Calibri" w:eastAsia="Times New Roman" w:hAnsi="Calibri" w:cs="Times New Roman"/>
                <w:color w:val="000000"/>
                <w:lang w:eastAsia="es-ES"/>
              </w:rPr>
              <w:t>21.42%</w:t>
            </w:r>
          </w:p>
        </w:tc>
      </w:tr>
      <w:tr w:rsidR="00EB531B" w:rsidRPr="00EB531B" w:rsidTr="00370C66">
        <w:trPr>
          <w:trHeight w:val="315"/>
          <w:jc w:val="center"/>
        </w:trPr>
        <w:tc>
          <w:tcPr>
            <w:tcW w:w="2142" w:type="dxa"/>
            <w:tcBorders>
              <w:top w:val="nil"/>
              <w:left w:val="single" w:sz="4" w:space="0" w:color="auto"/>
              <w:bottom w:val="single" w:sz="4" w:space="0" w:color="auto"/>
              <w:right w:val="single" w:sz="4" w:space="0" w:color="auto"/>
            </w:tcBorders>
            <w:shd w:val="clear" w:color="000000" w:fill="FFFFFF"/>
            <w:noWrap/>
            <w:vAlign w:val="bottom"/>
            <w:hideMark/>
          </w:tcPr>
          <w:p w:rsidR="00EB531B" w:rsidRPr="00EB531B" w:rsidRDefault="00EB531B" w:rsidP="00EB531B">
            <w:pPr>
              <w:spacing w:after="0" w:line="240" w:lineRule="auto"/>
              <w:ind w:firstLineChars="100" w:firstLine="221"/>
              <w:rPr>
                <w:rFonts w:ascii="Calibri" w:eastAsia="Times New Roman" w:hAnsi="Calibri" w:cs="Times New Roman"/>
                <w:b/>
                <w:bCs/>
                <w:color w:val="000000"/>
                <w:lang w:eastAsia="es-ES"/>
              </w:rPr>
            </w:pPr>
            <w:r w:rsidRPr="00EB531B">
              <w:rPr>
                <w:rFonts w:ascii="Calibri" w:eastAsia="Times New Roman" w:hAnsi="Calibri" w:cs="Times New Roman"/>
                <w:b/>
                <w:bCs/>
                <w:color w:val="000000"/>
                <w:lang w:eastAsia="es-ES"/>
              </w:rPr>
              <w:t>Total</w:t>
            </w:r>
          </w:p>
        </w:tc>
        <w:tc>
          <w:tcPr>
            <w:tcW w:w="882" w:type="dxa"/>
            <w:tcBorders>
              <w:top w:val="nil"/>
              <w:left w:val="nil"/>
              <w:bottom w:val="single" w:sz="4" w:space="0" w:color="auto"/>
              <w:right w:val="single" w:sz="4" w:space="0" w:color="auto"/>
            </w:tcBorders>
            <w:shd w:val="clear" w:color="auto" w:fill="auto"/>
            <w:noWrap/>
            <w:vAlign w:val="bottom"/>
            <w:hideMark/>
          </w:tcPr>
          <w:p w:rsidR="00EB531B" w:rsidRPr="00EB531B" w:rsidRDefault="00EB531B" w:rsidP="00EB531B">
            <w:pPr>
              <w:spacing w:after="0" w:line="240" w:lineRule="auto"/>
              <w:jc w:val="right"/>
              <w:rPr>
                <w:rFonts w:ascii="Calibri" w:eastAsia="Times New Roman" w:hAnsi="Calibri" w:cs="Times New Roman"/>
                <w:color w:val="000000"/>
                <w:lang w:eastAsia="es-ES"/>
              </w:rPr>
            </w:pPr>
            <w:r w:rsidRPr="00EB531B">
              <w:rPr>
                <w:rFonts w:ascii="Calibri" w:eastAsia="Times New Roman" w:hAnsi="Calibri" w:cs="Times New Roman"/>
                <w:color w:val="000000"/>
                <w:lang w:eastAsia="es-ES"/>
              </w:rPr>
              <w:t>16.94%</w:t>
            </w:r>
          </w:p>
        </w:tc>
        <w:tc>
          <w:tcPr>
            <w:tcW w:w="1139" w:type="dxa"/>
            <w:tcBorders>
              <w:top w:val="nil"/>
              <w:left w:val="nil"/>
              <w:bottom w:val="single" w:sz="4" w:space="0" w:color="auto"/>
              <w:right w:val="single" w:sz="4" w:space="0" w:color="auto"/>
            </w:tcBorders>
            <w:shd w:val="clear" w:color="auto" w:fill="auto"/>
            <w:noWrap/>
            <w:vAlign w:val="bottom"/>
            <w:hideMark/>
          </w:tcPr>
          <w:p w:rsidR="00EB531B" w:rsidRPr="00EB531B" w:rsidRDefault="00EB531B" w:rsidP="00EB531B">
            <w:pPr>
              <w:spacing w:after="0" w:line="240" w:lineRule="auto"/>
              <w:jc w:val="right"/>
              <w:rPr>
                <w:rFonts w:ascii="Calibri" w:eastAsia="Times New Roman" w:hAnsi="Calibri" w:cs="Times New Roman"/>
                <w:color w:val="000000"/>
                <w:lang w:eastAsia="es-ES"/>
              </w:rPr>
            </w:pPr>
            <w:r w:rsidRPr="00EB531B">
              <w:rPr>
                <w:rFonts w:ascii="Calibri" w:eastAsia="Times New Roman" w:hAnsi="Calibri" w:cs="Times New Roman"/>
                <w:color w:val="000000"/>
                <w:lang w:eastAsia="es-ES"/>
              </w:rPr>
              <w:t>17.83%</w:t>
            </w:r>
          </w:p>
        </w:tc>
        <w:tc>
          <w:tcPr>
            <w:tcW w:w="1139" w:type="dxa"/>
            <w:tcBorders>
              <w:top w:val="nil"/>
              <w:left w:val="nil"/>
              <w:bottom w:val="single" w:sz="4" w:space="0" w:color="auto"/>
              <w:right w:val="single" w:sz="4" w:space="0" w:color="auto"/>
            </w:tcBorders>
            <w:shd w:val="clear" w:color="auto" w:fill="auto"/>
            <w:noWrap/>
            <w:vAlign w:val="bottom"/>
            <w:hideMark/>
          </w:tcPr>
          <w:p w:rsidR="00EB531B" w:rsidRPr="00EB531B" w:rsidRDefault="00EB531B" w:rsidP="00EB531B">
            <w:pPr>
              <w:spacing w:after="0" w:line="240" w:lineRule="auto"/>
              <w:jc w:val="right"/>
              <w:rPr>
                <w:rFonts w:ascii="Calibri" w:eastAsia="Times New Roman" w:hAnsi="Calibri" w:cs="Times New Roman"/>
                <w:color w:val="000000"/>
                <w:lang w:eastAsia="es-ES"/>
              </w:rPr>
            </w:pPr>
            <w:r w:rsidRPr="00EB531B">
              <w:rPr>
                <w:rFonts w:ascii="Calibri" w:eastAsia="Times New Roman" w:hAnsi="Calibri" w:cs="Times New Roman"/>
                <w:color w:val="000000"/>
                <w:lang w:eastAsia="es-ES"/>
              </w:rPr>
              <w:t>19.00%</w:t>
            </w:r>
          </w:p>
        </w:tc>
        <w:tc>
          <w:tcPr>
            <w:tcW w:w="1139" w:type="dxa"/>
            <w:tcBorders>
              <w:top w:val="nil"/>
              <w:left w:val="nil"/>
              <w:bottom w:val="single" w:sz="4" w:space="0" w:color="auto"/>
              <w:right w:val="single" w:sz="4" w:space="0" w:color="auto"/>
            </w:tcBorders>
            <w:shd w:val="clear" w:color="auto" w:fill="auto"/>
            <w:noWrap/>
            <w:vAlign w:val="bottom"/>
            <w:hideMark/>
          </w:tcPr>
          <w:p w:rsidR="00EB531B" w:rsidRPr="00EB531B" w:rsidRDefault="00EB531B" w:rsidP="00EB531B">
            <w:pPr>
              <w:spacing w:after="0" w:line="240" w:lineRule="auto"/>
              <w:jc w:val="right"/>
              <w:rPr>
                <w:rFonts w:ascii="Calibri" w:eastAsia="Times New Roman" w:hAnsi="Calibri" w:cs="Times New Roman"/>
                <w:color w:val="000000"/>
                <w:lang w:eastAsia="es-ES"/>
              </w:rPr>
            </w:pPr>
            <w:r w:rsidRPr="00EB531B">
              <w:rPr>
                <w:rFonts w:ascii="Calibri" w:eastAsia="Times New Roman" w:hAnsi="Calibri" w:cs="Times New Roman"/>
                <w:color w:val="000000"/>
                <w:lang w:eastAsia="es-ES"/>
              </w:rPr>
              <w:t>21.57%</w:t>
            </w:r>
          </w:p>
        </w:tc>
        <w:tc>
          <w:tcPr>
            <w:tcW w:w="1139" w:type="dxa"/>
            <w:tcBorders>
              <w:top w:val="nil"/>
              <w:left w:val="nil"/>
              <w:bottom w:val="single" w:sz="4" w:space="0" w:color="auto"/>
              <w:right w:val="single" w:sz="4" w:space="0" w:color="auto"/>
            </w:tcBorders>
            <w:shd w:val="clear" w:color="auto" w:fill="auto"/>
            <w:noWrap/>
            <w:vAlign w:val="bottom"/>
            <w:hideMark/>
          </w:tcPr>
          <w:p w:rsidR="00EB531B" w:rsidRPr="00EB531B" w:rsidRDefault="00EB531B" w:rsidP="00EB531B">
            <w:pPr>
              <w:spacing w:after="0" w:line="240" w:lineRule="auto"/>
              <w:jc w:val="right"/>
              <w:rPr>
                <w:rFonts w:ascii="Calibri" w:eastAsia="Times New Roman" w:hAnsi="Calibri" w:cs="Times New Roman"/>
                <w:color w:val="000000"/>
                <w:lang w:eastAsia="es-ES"/>
              </w:rPr>
            </w:pPr>
            <w:r w:rsidRPr="00EB531B">
              <w:rPr>
                <w:rFonts w:ascii="Calibri" w:eastAsia="Times New Roman" w:hAnsi="Calibri" w:cs="Times New Roman"/>
                <w:color w:val="000000"/>
                <w:lang w:eastAsia="es-ES"/>
              </w:rPr>
              <w:t>24.66%</w:t>
            </w:r>
          </w:p>
        </w:tc>
        <w:tc>
          <w:tcPr>
            <w:tcW w:w="1324" w:type="dxa"/>
            <w:tcBorders>
              <w:top w:val="nil"/>
              <w:left w:val="nil"/>
              <w:bottom w:val="single" w:sz="4" w:space="0" w:color="auto"/>
              <w:right w:val="single" w:sz="4" w:space="0" w:color="auto"/>
            </w:tcBorders>
            <w:shd w:val="clear" w:color="auto" w:fill="auto"/>
            <w:noWrap/>
            <w:vAlign w:val="bottom"/>
            <w:hideMark/>
          </w:tcPr>
          <w:p w:rsidR="00EB531B" w:rsidRPr="00EB531B" w:rsidRDefault="00EB531B" w:rsidP="00EB531B">
            <w:pPr>
              <w:spacing w:after="0" w:line="240" w:lineRule="auto"/>
              <w:jc w:val="right"/>
              <w:rPr>
                <w:rFonts w:ascii="Calibri" w:eastAsia="Times New Roman" w:hAnsi="Calibri" w:cs="Times New Roman"/>
                <w:color w:val="000000"/>
                <w:lang w:eastAsia="es-ES"/>
              </w:rPr>
            </w:pPr>
            <w:r w:rsidRPr="00EB531B">
              <w:rPr>
                <w:rFonts w:ascii="Calibri" w:eastAsia="Times New Roman" w:hAnsi="Calibri" w:cs="Times New Roman"/>
                <w:color w:val="000000"/>
                <w:lang w:eastAsia="es-ES"/>
              </w:rPr>
              <w:t>100.00%</w:t>
            </w:r>
          </w:p>
        </w:tc>
      </w:tr>
    </w:tbl>
    <w:p w:rsidR="00910DB6" w:rsidRPr="00505444" w:rsidRDefault="00910DB6" w:rsidP="00910DB6">
      <w:pPr>
        <w:pStyle w:val="NoSpacing"/>
        <w:spacing w:line="276" w:lineRule="auto"/>
        <w:rPr>
          <w:sz w:val="16"/>
          <w:szCs w:val="16"/>
        </w:rPr>
      </w:pPr>
      <w:proofErr w:type="spellStart"/>
      <w:r w:rsidRPr="00505444">
        <w:rPr>
          <w:sz w:val="16"/>
          <w:szCs w:val="16"/>
        </w:rPr>
        <w:t>Source</w:t>
      </w:r>
      <w:proofErr w:type="spellEnd"/>
      <w:r w:rsidRPr="00505444">
        <w:rPr>
          <w:sz w:val="16"/>
          <w:szCs w:val="16"/>
        </w:rPr>
        <w:t xml:space="preserve">: </w:t>
      </w:r>
      <w:r>
        <w:rPr>
          <w:sz w:val="16"/>
          <w:szCs w:val="16"/>
        </w:rPr>
        <w:t>MEF. INEI.</w:t>
      </w:r>
      <w:r w:rsidRPr="00505444">
        <w:rPr>
          <w:sz w:val="16"/>
          <w:szCs w:val="16"/>
        </w:rPr>
        <w:t xml:space="preserve"> </w:t>
      </w:r>
    </w:p>
    <w:p w:rsidR="008A6983" w:rsidRDefault="008A6983" w:rsidP="00E6087B">
      <w:pPr>
        <w:pStyle w:val="Caption"/>
        <w:spacing w:after="0"/>
        <w:jc w:val="center"/>
        <w:rPr>
          <w:sz w:val="22"/>
          <w:szCs w:val="22"/>
          <w:lang w:val="en-US"/>
        </w:rPr>
      </w:pPr>
    </w:p>
    <w:p w:rsidR="008A6983" w:rsidRDefault="008A6983" w:rsidP="00E6087B">
      <w:pPr>
        <w:pStyle w:val="Caption"/>
        <w:spacing w:after="0"/>
        <w:jc w:val="center"/>
        <w:rPr>
          <w:sz w:val="22"/>
          <w:szCs w:val="22"/>
          <w:lang w:val="en-US"/>
        </w:rPr>
      </w:pPr>
    </w:p>
    <w:p w:rsidR="00E6087B" w:rsidRPr="005030C3" w:rsidRDefault="004C437A" w:rsidP="00E6087B">
      <w:pPr>
        <w:pStyle w:val="Caption"/>
        <w:spacing w:after="0"/>
        <w:jc w:val="center"/>
        <w:rPr>
          <w:sz w:val="22"/>
          <w:szCs w:val="22"/>
          <w:lang w:val="en-US"/>
        </w:rPr>
      </w:pPr>
      <w:r>
        <w:rPr>
          <w:sz w:val="22"/>
          <w:szCs w:val="22"/>
          <w:lang w:val="en-US"/>
        </w:rPr>
        <w:t>Table</w:t>
      </w:r>
      <w:r w:rsidR="00E6087B">
        <w:rPr>
          <w:sz w:val="22"/>
          <w:szCs w:val="22"/>
          <w:lang w:val="en-US"/>
        </w:rPr>
        <w:t xml:space="preserve"> 14</w:t>
      </w:r>
      <w:r w:rsidR="00E6087B" w:rsidRPr="005030C3">
        <w:rPr>
          <w:sz w:val="22"/>
          <w:szCs w:val="22"/>
          <w:lang w:val="en-US"/>
        </w:rPr>
        <w:t>: Distribution of benefits</w:t>
      </w:r>
      <w:r w:rsidR="00E6087B">
        <w:rPr>
          <w:sz w:val="22"/>
          <w:szCs w:val="22"/>
          <w:lang w:val="en-US"/>
        </w:rPr>
        <w:t xml:space="preserve"> of budget in Macro-region </w:t>
      </w:r>
      <w:r w:rsidR="003064A7">
        <w:rPr>
          <w:sz w:val="22"/>
          <w:szCs w:val="22"/>
          <w:lang w:val="en-US"/>
        </w:rPr>
        <w:t>3</w:t>
      </w:r>
      <w:r w:rsidR="00E6087B" w:rsidRPr="005030C3">
        <w:rPr>
          <w:sz w:val="22"/>
          <w:szCs w:val="22"/>
          <w:lang w:val="en-US"/>
        </w:rPr>
        <w:t>, by facility level and expenditure quintile, 2008</w:t>
      </w:r>
    </w:p>
    <w:tbl>
      <w:tblPr>
        <w:tblW w:w="8904" w:type="dxa"/>
        <w:jc w:val="center"/>
        <w:tblInd w:w="55" w:type="dxa"/>
        <w:tblCellMar>
          <w:left w:w="70" w:type="dxa"/>
          <w:right w:w="70" w:type="dxa"/>
        </w:tblCellMar>
        <w:tblLook w:val="04A0"/>
      </w:tblPr>
      <w:tblGrid>
        <w:gridCol w:w="2142"/>
        <w:gridCol w:w="882"/>
        <w:gridCol w:w="1139"/>
        <w:gridCol w:w="1139"/>
        <w:gridCol w:w="1139"/>
        <w:gridCol w:w="1139"/>
        <w:gridCol w:w="1324"/>
      </w:tblGrid>
      <w:tr w:rsidR="00EB531B" w:rsidRPr="00EB531B" w:rsidTr="00370C66">
        <w:trPr>
          <w:trHeight w:val="300"/>
          <w:jc w:val="center"/>
        </w:trPr>
        <w:tc>
          <w:tcPr>
            <w:tcW w:w="2142" w:type="dxa"/>
            <w:tcBorders>
              <w:top w:val="nil"/>
              <w:left w:val="nil"/>
              <w:bottom w:val="nil"/>
              <w:right w:val="nil"/>
            </w:tcBorders>
            <w:shd w:val="clear" w:color="000000" w:fill="FFFFFF"/>
            <w:noWrap/>
            <w:vAlign w:val="bottom"/>
            <w:hideMark/>
          </w:tcPr>
          <w:p w:rsidR="00EB531B" w:rsidRPr="00EB531B" w:rsidRDefault="00EB531B" w:rsidP="00EB531B">
            <w:pPr>
              <w:spacing w:after="0" w:line="240" w:lineRule="auto"/>
              <w:jc w:val="center"/>
              <w:rPr>
                <w:rFonts w:ascii="Calibri" w:eastAsia="Times New Roman" w:hAnsi="Calibri" w:cs="Times New Roman"/>
                <w:b/>
                <w:bCs/>
                <w:color w:val="000000"/>
                <w:lang w:eastAsia="es-ES"/>
              </w:rPr>
            </w:pPr>
            <w:r w:rsidRPr="00EB531B">
              <w:rPr>
                <w:rFonts w:ascii="Calibri" w:eastAsia="Times New Roman" w:hAnsi="Calibri" w:cs="Times New Roman"/>
                <w:b/>
                <w:bCs/>
                <w:color w:val="000000"/>
                <w:lang w:eastAsia="es-ES"/>
              </w:rPr>
              <w:t>Costa Sur</w:t>
            </w:r>
          </w:p>
        </w:tc>
        <w:tc>
          <w:tcPr>
            <w:tcW w:w="6762" w:type="dxa"/>
            <w:gridSpan w:val="6"/>
            <w:tcBorders>
              <w:top w:val="single" w:sz="4" w:space="0" w:color="auto"/>
              <w:left w:val="single" w:sz="4" w:space="0" w:color="auto"/>
              <w:bottom w:val="single" w:sz="4" w:space="0" w:color="auto"/>
              <w:right w:val="single" w:sz="4" w:space="0" w:color="auto"/>
            </w:tcBorders>
            <w:shd w:val="clear" w:color="000000" w:fill="B2A1C7"/>
            <w:noWrap/>
            <w:vAlign w:val="bottom"/>
            <w:hideMark/>
          </w:tcPr>
          <w:p w:rsidR="00EB531B" w:rsidRPr="00EB531B" w:rsidRDefault="00EB531B" w:rsidP="00EB531B">
            <w:pPr>
              <w:spacing w:after="0" w:line="240" w:lineRule="auto"/>
              <w:jc w:val="center"/>
              <w:rPr>
                <w:rFonts w:ascii="Calibri" w:eastAsia="Times New Roman" w:hAnsi="Calibri" w:cs="Times New Roman"/>
                <w:b/>
                <w:bCs/>
                <w:color w:val="000000"/>
                <w:lang w:eastAsia="es-ES"/>
              </w:rPr>
            </w:pPr>
            <w:proofErr w:type="spellStart"/>
            <w:r w:rsidRPr="00EB531B">
              <w:rPr>
                <w:rFonts w:ascii="Calibri" w:eastAsia="Times New Roman" w:hAnsi="Calibri" w:cs="Times New Roman"/>
                <w:b/>
                <w:bCs/>
                <w:color w:val="000000"/>
                <w:lang w:eastAsia="es-ES"/>
              </w:rPr>
              <w:t>Expenditure</w:t>
            </w:r>
            <w:proofErr w:type="spellEnd"/>
            <w:r w:rsidRPr="00EB531B">
              <w:rPr>
                <w:rFonts w:ascii="Calibri" w:eastAsia="Times New Roman" w:hAnsi="Calibri" w:cs="Times New Roman"/>
                <w:b/>
                <w:bCs/>
                <w:color w:val="000000"/>
                <w:lang w:eastAsia="es-ES"/>
              </w:rPr>
              <w:t xml:space="preserve"> </w:t>
            </w:r>
            <w:proofErr w:type="spellStart"/>
            <w:r w:rsidRPr="00EB531B">
              <w:rPr>
                <w:rFonts w:ascii="Calibri" w:eastAsia="Times New Roman" w:hAnsi="Calibri" w:cs="Times New Roman"/>
                <w:b/>
                <w:bCs/>
                <w:color w:val="000000"/>
                <w:lang w:eastAsia="es-ES"/>
              </w:rPr>
              <w:t>quintile</w:t>
            </w:r>
            <w:proofErr w:type="spellEnd"/>
          </w:p>
        </w:tc>
      </w:tr>
      <w:tr w:rsidR="00EB531B" w:rsidRPr="00EB531B" w:rsidTr="00370C66">
        <w:trPr>
          <w:trHeight w:val="300"/>
          <w:jc w:val="center"/>
        </w:trPr>
        <w:tc>
          <w:tcPr>
            <w:tcW w:w="2142" w:type="dxa"/>
            <w:tcBorders>
              <w:top w:val="single" w:sz="4" w:space="0" w:color="auto"/>
              <w:left w:val="single" w:sz="4" w:space="0" w:color="auto"/>
              <w:bottom w:val="single" w:sz="4" w:space="0" w:color="auto"/>
              <w:right w:val="single" w:sz="4" w:space="0" w:color="auto"/>
            </w:tcBorders>
            <w:shd w:val="clear" w:color="000000" w:fill="B2A1C7"/>
            <w:noWrap/>
            <w:vAlign w:val="bottom"/>
            <w:hideMark/>
          </w:tcPr>
          <w:p w:rsidR="00EB531B" w:rsidRPr="00EB531B" w:rsidRDefault="00EB531B" w:rsidP="00EB531B">
            <w:pPr>
              <w:spacing w:after="0" w:line="240" w:lineRule="auto"/>
              <w:ind w:firstLineChars="100" w:firstLine="221"/>
              <w:rPr>
                <w:rFonts w:ascii="Calibri" w:eastAsia="Times New Roman" w:hAnsi="Calibri" w:cs="Times New Roman"/>
                <w:b/>
                <w:bCs/>
                <w:color w:val="000000"/>
                <w:lang w:eastAsia="es-ES"/>
              </w:rPr>
            </w:pPr>
            <w:proofErr w:type="spellStart"/>
            <w:r w:rsidRPr="00EB531B">
              <w:rPr>
                <w:rFonts w:ascii="Calibri" w:eastAsia="Times New Roman" w:hAnsi="Calibri" w:cs="Times New Roman"/>
                <w:b/>
                <w:bCs/>
                <w:color w:val="000000"/>
                <w:lang w:eastAsia="es-ES"/>
              </w:rPr>
              <w:t>Education</w:t>
            </w:r>
            <w:proofErr w:type="spellEnd"/>
            <w:r w:rsidRPr="00EB531B">
              <w:rPr>
                <w:rFonts w:ascii="Calibri" w:eastAsia="Times New Roman" w:hAnsi="Calibri" w:cs="Times New Roman"/>
                <w:b/>
                <w:bCs/>
                <w:color w:val="000000"/>
                <w:lang w:eastAsia="es-ES"/>
              </w:rPr>
              <w:t xml:space="preserve"> </w:t>
            </w:r>
            <w:proofErr w:type="spellStart"/>
            <w:r w:rsidRPr="00EB531B">
              <w:rPr>
                <w:rFonts w:ascii="Calibri" w:eastAsia="Times New Roman" w:hAnsi="Calibri" w:cs="Times New Roman"/>
                <w:b/>
                <w:bCs/>
                <w:color w:val="000000"/>
                <w:lang w:eastAsia="es-ES"/>
              </w:rPr>
              <w:t>level</w:t>
            </w:r>
            <w:proofErr w:type="spellEnd"/>
          </w:p>
        </w:tc>
        <w:tc>
          <w:tcPr>
            <w:tcW w:w="882" w:type="dxa"/>
            <w:tcBorders>
              <w:top w:val="nil"/>
              <w:left w:val="nil"/>
              <w:bottom w:val="nil"/>
              <w:right w:val="nil"/>
            </w:tcBorders>
            <w:shd w:val="clear" w:color="000000" w:fill="B8CCE4"/>
            <w:noWrap/>
            <w:vAlign w:val="bottom"/>
            <w:hideMark/>
          </w:tcPr>
          <w:p w:rsidR="00EB531B" w:rsidRPr="00EB531B" w:rsidRDefault="00EB531B" w:rsidP="00EB531B">
            <w:pPr>
              <w:spacing w:after="0" w:line="240" w:lineRule="auto"/>
              <w:jc w:val="right"/>
              <w:rPr>
                <w:rFonts w:ascii="Calibri" w:eastAsia="Times New Roman" w:hAnsi="Calibri" w:cs="Times New Roman"/>
                <w:color w:val="000000"/>
                <w:lang w:eastAsia="es-ES"/>
              </w:rPr>
            </w:pPr>
            <w:r w:rsidRPr="00EB531B">
              <w:rPr>
                <w:rFonts w:ascii="Calibri" w:eastAsia="Times New Roman" w:hAnsi="Calibri" w:cs="Times New Roman"/>
                <w:color w:val="000000"/>
                <w:lang w:eastAsia="es-ES"/>
              </w:rPr>
              <w:t>1</w:t>
            </w:r>
          </w:p>
        </w:tc>
        <w:tc>
          <w:tcPr>
            <w:tcW w:w="1139" w:type="dxa"/>
            <w:tcBorders>
              <w:top w:val="nil"/>
              <w:left w:val="nil"/>
              <w:bottom w:val="nil"/>
              <w:right w:val="nil"/>
            </w:tcBorders>
            <w:shd w:val="clear" w:color="000000" w:fill="B8CCE4"/>
            <w:noWrap/>
            <w:vAlign w:val="bottom"/>
            <w:hideMark/>
          </w:tcPr>
          <w:p w:rsidR="00EB531B" w:rsidRPr="00EB531B" w:rsidRDefault="00EB531B" w:rsidP="00EB531B">
            <w:pPr>
              <w:spacing w:after="0" w:line="240" w:lineRule="auto"/>
              <w:jc w:val="right"/>
              <w:rPr>
                <w:rFonts w:ascii="Calibri" w:eastAsia="Times New Roman" w:hAnsi="Calibri" w:cs="Times New Roman"/>
                <w:color w:val="000000"/>
                <w:lang w:eastAsia="es-ES"/>
              </w:rPr>
            </w:pPr>
            <w:r w:rsidRPr="00EB531B">
              <w:rPr>
                <w:rFonts w:ascii="Calibri" w:eastAsia="Times New Roman" w:hAnsi="Calibri" w:cs="Times New Roman"/>
                <w:color w:val="000000"/>
                <w:lang w:eastAsia="es-ES"/>
              </w:rPr>
              <w:t>2</w:t>
            </w:r>
          </w:p>
        </w:tc>
        <w:tc>
          <w:tcPr>
            <w:tcW w:w="1139" w:type="dxa"/>
            <w:tcBorders>
              <w:top w:val="nil"/>
              <w:left w:val="nil"/>
              <w:bottom w:val="nil"/>
              <w:right w:val="nil"/>
            </w:tcBorders>
            <w:shd w:val="clear" w:color="000000" w:fill="B8CCE4"/>
            <w:noWrap/>
            <w:vAlign w:val="bottom"/>
            <w:hideMark/>
          </w:tcPr>
          <w:p w:rsidR="00EB531B" w:rsidRPr="00EB531B" w:rsidRDefault="00EB531B" w:rsidP="00EB531B">
            <w:pPr>
              <w:spacing w:after="0" w:line="240" w:lineRule="auto"/>
              <w:jc w:val="right"/>
              <w:rPr>
                <w:rFonts w:ascii="Calibri" w:eastAsia="Times New Roman" w:hAnsi="Calibri" w:cs="Times New Roman"/>
                <w:color w:val="000000"/>
                <w:lang w:eastAsia="es-ES"/>
              </w:rPr>
            </w:pPr>
            <w:r w:rsidRPr="00EB531B">
              <w:rPr>
                <w:rFonts w:ascii="Calibri" w:eastAsia="Times New Roman" w:hAnsi="Calibri" w:cs="Times New Roman"/>
                <w:color w:val="000000"/>
                <w:lang w:eastAsia="es-ES"/>
              </w:rPr>
              <w:t>3</w:t>
            </w:r>
          </w:p>
        </w:tc>
        <w:tc>
          <w:tcPr>
            <w:tcW w:w="1139" w:type="dxa"/>
            <w:tcBorders>
              <w:top w:val="nil"/>
              <w:left w:val="nil"/>
              <w:bottom w:val="nil"/>
              <w:right w:val="nil"/>
            </w:tcBorders>
            <w:shd w:val="clear" w:color="000000" w:fill="B8CCE4"/>
            <w:noWrap/>
            <w:vAlign w:val="bottom"/>
            <w:hideMark/>
          </w:tcPr>
          <w:p w:rsidR="00EB531B" w:rsidRPr="00EB531B" w:rsidRDefault="00EB531B" w:rsidP="00EB531B">
            <w:pPr>
              <w:spacing w:after="0" w:line="240" w:lineRule="auto"/>
              <w:jc w:val="right"/>
              <w:rPr>
                <w:rFonts w:ascii="Calibri" w:eastAsia="Times New Roman" w:hAnsi="Calibri" w:cs="Times New Roman"/>
                <w:color w:val="000000"/>
                <w:lang w:eastAsia="es-ES"/>
              </w:rPr>
            </w:pPr>
            <w:r w:rsidRPr="00EB531B">
              <w:rPr>
                <w:rFonts w:ascii="Calibri" w:eastAsia="Times New Roman" w:hAnsi="Calibri" w:cs="Times New Roman"/>
                <w:color w:val="000000"/>
                <w:lang w:eastAsia="es-ES"/>
              </w:rPr>
              <w:t>4</w:t>
            </w:r>
          </w:p>
        </w:tc>
        <w:tc>
          <w:tcPr>
            <w:tcW w:w="1139" w:type="dxa"/>
            <w:tcBorders>
              <w:top w:val="nil"/>
              <w:left w:val="nil"/>
              <w:bottom w:val="nil"/>
              <w:right w:val="nil"/>
            </w:tcBorders>
            <w:shd w:val="clear" w:color="000000" w:fill="B8CCE4"/>
            <w:noWrap/>
            <w:vAlign w:val="bottom"/>
            <w:hideMark/>
          </w:tcPr>
          <w:p w:rsidR="00EB531B" w:rsidRPr="00EB531B" w:rsidRDefault="00EB531B" w:rsidP="00EB531B">
            <w:pPr>
              <w:spacing w:after="0" w:line="240" w:lineRule="auto"/>
              <w:jc w:val="right"/>
              <w:rPr>
                <w:rFonts w:ascii="Calibri" w:eastAsia="Times New Roman" w:hAnsi="Calibri" w:cs="Times New Roman"/>
                <w:color w:val="000000"/>
                <w:lang w:eastAsia="es-ES"/>
              </w:rPr>
            </w:pPr>
            <w:r w:rsidRPr="00EB531B">
              <w:rPr>
                <w:rFonts w:ascii="Calibri" w:eastAsia="Times New Roman" w:hAnsi="Calibri" w:cs="Times New Roman"/>
                <w:color w:val="000000"/>
                <w:lang w:eastAsia="es-ES"/>
              </w:rPr>
              <w:t>5</w:t>
            </w:r>
          </w:p>
        </w:tc>
        <w:tc>
          <w:tcPr>
            <w:tcW w:w="1324" w:type="dxa"/>
            <w:tcBorders>
              <w:top w:val="nil"/>
              <w:left w:val="nil"/>
              <w:bottom w:val="single" w:sz="4" w:space="0" w:color="auto"/>
              <w:right w:val="single" w:sz="4" w:space="0" w:color="auto"/>
            </w:tcBorders>
            <w:shd w:val="clear" w:color="000000" w:fill="B8CCE4"/>
            <w:noWrap/>
            <w:vAlign w:val="bottom"/>
            <w:hideMark/>
          </w:tcPr>
          <w:p w:rsidR="00EB531B" w:rsidRPr="00EB531B" w:rsidRDefault="00EB531B" w:rsidP="00EB531B">
            <w:pPr>
              <w:spacing w:after="0" w:line="240" w:lineRule="auto"/>
              <w:jc w:val="center"/>
              <w:rPr>
                <w:rFonts w:ascii="Calibri" w:eastAsia="Times New Roman" w:hAnsi="Calibri" w:cs="Times New Roman"/>
                <w:b/>
                <w:bCs/>
                <w:color w:val="000000"/>
                <w:lang w:eastAsia="es-ES"/>
              </w:rPr>
            </w:pPr>
            <w:r w:rsidRPr="00EB531B">
              <w:rPr>
                <w:rFonts w:ascii="Calibri" w:eastAsia="Times New Roman" w:hAnsi="Calibri" w:cs="Times New Roman"/>
                <w:b/>
                <w:bCs/>
                <w:color w:val="000000"/>
                <w:lang w:eastAsia="es-ES"/>
              </w:rPr>
              <w:t>Total</w:t>
            </w:r>
          </w:p>
        </w:tc>
      </w:tr>
      <w:tr w:rsidR="00EB531B" w:rsidRPr="00EB531B" w:rsidTr="00370C66">
        <w:trPr>
          <w:trHeight w:val="300"/>
          <w:jc w:val="center"/>
        </w:trPr>
        <w:tc>
          <w:tcPr>
            <w:tcW w:w="2142" w:type="dxa"/>
            <w:tcBorders>
              <w:top w:val="nil"/>
              <w:left w:val="single" w:sz="4" w:space="0" w:color="auto"/>
              <w:bottom w:val="single" w:sz="4" w:space="0" w:color="auto"/>
              <w:right w:val="single" w:sz="4" w:space="0" w:color="auto"/>
            </w:tcBorders>
            <w:shd w:val="clear" w:color="000000" w:fill="FFFFFF"/>
            <w:noWrap/>
            <w:vAlign w:val="bottom"/>
            <w:hideMark/>
          </w:tcPr>
          <w:p w:rsidR="00EB531B" w:rsidRPr="00EB531B" w:rsidRDefault="00EB531B" w:rsidP="00EB531B">
            <w:pPr>
              <w:spacing w:after="0" w:line="240" w:lineRule="auto"/>
              <w:ind w:firstLineChars="100" w:firstLine="221"/>
              <w:rPr>
                <w:rFonts w:ascii="Calibri" w:eastAsia="Times New Roman" w:hAnsi="Calibri" w:cs="Times New Roman"/>
                <w:b/>
                <w:bCs/>
                <w:color w:val="000000"/>
                <w:lang w:eastAsia="es-ES"/>
              </w:rPr>
            </w:pPr>
            <w:proofErr w:type="spellStart"/>
            <w:r w:rsidRPr="00EB531B">
              <w:rPr>
                <w:rFonts w:ascii="Calibri" w:eastAsia="Times New Roman" w:hAnsi="Calibri" w:cs="Times New Roman"/>
                <w:b/>
                <w:bCs/>
                <w:color w:val="000000"/>
                <w:lang w:eastAsia="es-ES"/>
              </w:rPr>
              <w:t>Preschool</w:t>
            </w:r>
            <w:proofErr w:type="spellEnd"/>
          </w:p>
        </w:tc>
        <w:tc>
          <w:tcPr>
            <w:tcW w:w="882" w:type="dxa"/>
            <w:tcBorders>
              <w:top w:val="single" w:sz="4" w:space="0" w:color="auto"/>
              <w:left w:val="nil"/>
              <w:bottom w:val="single" w:sz="4" w:space="0" w:color="auto"/>
              <w:right w:val="single" w:sz="4" w:space="0" w:color="auto"/>
            </w:tcBorders>
            <w:shd w:val="clear" w:color="auto" w:fill="auto"/>
            <w:noWrap/>
            <w:vAlign w:val="bottom"/>
            <w:hideMark/>
          </w:tcPr>
          <w:p w:rsidR="00EB531B" w:rsidRPr="00EB531B" w:rsidRDefault="00EB531B" w:rsidP="00EB531B">
            <w:pPr>
              <w:spacing w:after="0" w:line="240" w:lineRule="auto"/>
              <w:jc w:val="right"/>
              <w:rPr>
                <w:rFonts w:ascii="Calibri" w:eastAsia="Times New Roman" w:hAnsi="Calibri" w:cs="Times New Roman"/>
                <w:color w:val="000000"/>
                <w:lang w:eastAsia="es-ES"/>
              </w:rPr>
            </w:pPr>
            <w:r w:rsidRPr="00EB531B">
              <w:rPr>
                <w:rFonts w:ascii="Calibri" w:eastAsia="Times New Roman" w:hAnsi="Calibri" w:cs="Times New Roman"/>
                <w:color w:val="000000"/>
                <w:lang w:eastAsia="es-ES"/>
              </w:rPr>
              <w:t>1.41%</w:t>
            </w:r>
          </w:p>
        </w:tc>
        <w:tc>
          <w:tcPr>
            <w:tcW w:w="1139" w:type="dxa"/>
            <w:tcBorders>
              <w:top w:val="single" w:sz="4" w:space="0" w:color="auto"/>
              <w:left w:val="nil"/>
              <w:bottom w:val="single" w:sz="4" w:space="0" w:color="auto"/>
              <w:right w:val="single" w:sz="4" w:space="0" w:color="auto"/>
            </w:tcBorders>
            <w:shd w:val="clear" w:color="auto" w:fill="auto"/>
            <w:noWrap/>
            <w:vAlign w:val="bottom"/>
            <w:hideMark/>
          </w:tcPr>
          <w:p w:rsidR="00EB531B" w:rsidRPr="00EB531B" w:rsidRDefault="00EB531B" w:rsidP="00EB531B">
            <w:pPr>
              <w:spacing w:after="0" w:line="240" w:lineRule="auto"/>
              <w:jc w:val="right"/>
              <w:rPr>
                <w:rFonts w:ascii="Calibri" w:eastAsia="Times New Roman" w:hAnsi="Calibri" w:cs="Times New Roman"/>
                <w:color w:val="000000"/>
                <w:lang w:eastAsia="es-ES"/>
              </w:rPr>
            </w:pPr>
            <w:r w:rsidRPr="00EB531B">
              <w:rPr>
                <w:rFonts w:ascii="Calibri" w:eastAsia="Times New Roman" w:hAnsi="Calibri" w:cs="Times New Roman"/>
                <w:color w:val="000000"/>
                <w:lang w:eastAsia="es-ES"/>
              </w:rPr>
              <w:t>1.59%</w:t>
            </w:r>
          </w:p>
        </w:tc>
        <w:tc>
          <w:tcPr>
            <w:tcW w:w="1139" w:type="dxa"/>
            <w:tcBorders>
              <w:top w:val="single" w:sz="4" w:space="0" w:color="auto"/>
              <w:left w:val="nil"/>
              <w:bottom w:val="single" w:sz="4" w:space="0" w:color="auto"/>
              <w:right w:val="single" w:sz="4" w:space="0" w:color="auto"/>
            </w:tcBorders>
            <w:shd w:val="clear" w:color="auto" w:fill="auto"/>
            <w:noWrap/>
            <w:vAlign w:val="bottom"/>
            <w:hideMark/>
          </w:tcPr>
          <w:p w:rsidR="00EB531B" w:rsidRPr="00EB531B" w:rsidRDefault="00EB531B" w:rsidP="00EB531B">
            <w:pPr>
              <w:spacing w:after="0" w:line="240" w:lineRule="auto"/>
              <w:jc w:val="right"/>
              <w:rPr>
                <w:rFonts w:ascii="Calibri" w:eastAsia="Times New Roman" w:hAnsi="Calibri" w:cs="Times New Roman"/>
                <w:color w:val="000000"/>
                <w:lang w:eastAsia="es-ES"/>
              </w:rPr>
            </w:pPr>
            <w:r w:rsidRPr="00EB531B">
              <w:rPr>
                <w:rFonts w:ascii="Calibri" w:eastAsia="Times New Roman" w:hAnsi="Calibri" w:cs="Times New Roman"/>
                <w:color w:val="000000"/>
                <w:lang w:eastAsia="es-ES"/>
              </w:rPr>
              <w:t>2.12%</w:t>
            </w:r>
          </w:p>
        </w:tc>
        <w:tc>
          <w:tcPr>
            <w:tcW w:w="1139" w:type="dxa"/>
            <w:tcBorders>
              <w:top w:val="single" w:sz="4" w:space="0" w:color="auto"/>
              <w:left w:val="nil"/>
              <w:bottom w:val="single" w:sz="4" w:space="0" w:color="auto"/>
              <w:right w:val="single" w:sz="4" w:space="0" w:color="auto"/>
            </w:tcBorders>
            <w:shd w:val="clear" w:color="auto" w:fill="auto"/>
            <w:noWrap/>
            <w:vAlign w:val="bottom"/>
            <w:hideMark/>
          </w:tcPr>
          <w:p w:rsidR="00EB531B" w:rsidRPr="00EB531B" w:rsidRDefault="00EB531B" w:rsidP="00EB531B">
            <w:pPr>
              <w:spacing w:after="0" w:line="240" w:lineRule="auto"/>
              <w:jc w:val="right"/>
              <w:rPr>
                <w:rFonts w:ascii="Calibri" w:eastAsia="Times New Roman" w:hAnsi="Calibri" w:cs="Times New Roman"/>
                <w:color w:val="000000"/>
                <w:lang w:eastAsia="es-ES"/>
              </w:rPr>
            </w:pPr>
            <w:r w:rsidRPr="00EB531B">
              <w:rPr>
                <w:rFonts w:ascii="Calibri" w:eastAsia="Times New Roman" w:hAnsi="Calibri" w:cs="Times New Roman"/>
                <w:color w:val="000000"/>
                <w:lang w:eastAsia="es-ES"/>
              </w:rPr>
              <w:t>1.48%</w:t>
            </w:r>
          </w:p>
        </w:tc>
        <w:tc>
          <w:tcPr>
            <w:tcW w:w="1139" w:type="dxa"/>
            <w:tcBorders>
              <w:top w:val="single" w:sz="4" w:space="0" w:color="auto"/>
              <w:left w:val="nil"/>
              <w:bottom w:val="single" w:sz="4" w:space="0" w:color="auto"/>
              <w:right w:val="single" w:sz="4" w:space="0" w:color="auto"/>
            </w:tcBorders>
            <w:shd w:val="clear" w:color="auto" w:fill="auto"/>
            <w:noWrap/>
            <w:vAlign w:val="bottom"/>
            <w:hideMark/>
          </w:tcPr>
          <w:p w:rsidR="00EB531B" w:rsidRPr="00EB531B" w:rsidRDefault="00EB531B" w:rsidP="00EB531B">
            <w:pPr>
              <w:spacing w:after="0" w:line="240" w:lineRule="auto"/>
              <w:jc w:val="right"/>
              <w:rPr>
                <w:rFonts w:ascii="Calibri" w:eastAsia="Times New Roman" w:hAnsi="Calibri" w:cs="Times New Roman"/>
                <w:color w:val="000000"/>
                <w:lang w:eastAsia="es-ES"/>
              </w:rPr>
            </w:pPr>
            <w:r w:rsidRPr="00EB531B">
              <w:rPr>
                <w:rFonts w:ascii="Calibri" w:eastAsia="Times New Roman" w:hAnsi="Calibri" w:cs="Times New Roman"/>
                <w:color w:val="000000"/>
                <w:lang w:eastAsia="es-ES"/>
              </w:rPr>
              <w:t>1.44%</w:t>
            </w:r>
          </w:p>
        </w:tc>
        <w:tc>
          <w:tcPr>
            <w:tcW w:w="1324" w:type="dxa"/>
            <w:tcBorders>
              <w:top w:val="nil"/>
              <w:left w:val="nil"/>
              <w:bottom w:val="single" w:sz="4" w:space="0" w:color="auto"/>
              <w:right w:val="single" w:sz="4" w:space="0" w:color="auto"/>
            </w:tcBorders>
            <w:shd w:val="clear" w:color="auto" w:fill="auto"/>
            <w:noWrap/>
            <w:vAlign w:val="bottom"/>
            <w:hideMark/>
          </w:tcPr>
          <w:p w:rsidR="00EB531B" w:rsidRPr="00EB531B" w:rsidRDefault="00EB531B" w:rsidP="00EB531B">
            <w:pPr>
              <w:spacing w:after="0" w:line="240" w:lineRule="auto"/>
              <w:jc w:val="right"/>
              <w:rPr>
                <w:rFonts w:ascii="Calibri" w:eastAsia="Times New Roman" w:hAnsi="Calibri" w:cs="Times New Roman"/>
                <w:color w:val="000000"/>
                <w:lang w:eastAsia="es-ES"/>
              </w:rPr>
            </w:pPr>
            <w:r w:rsidRPr="00EB531B">
              <w:rPr>
                <w:rFonts w:ascii="Calibri" w:eastAsia="Times New Roman" w:hAnsi="Calibri" w:cs="Times New Roman"/>
                <w:color w:val="000000"/>
                <w:lang w:eastAsia="es-ES"/>
              </w:rPr>
              <w:t>8.04%</w:t>
            </w:r>
          </w:p>
        </w:tc>
      </w:tr>
      <w:tr w:rsidR="00EB531B" w:rsidRPr="00EB531B" w:rsidTr="00370C66">
        <w:trPr>
          <w:trHeight w:val="300"/>
          <w:jc w:val="center"/>
        </w:trPr>
        <w:tc>
          <w:tcPr>
            <w:tcW w:w="2142" w:type="dxa"/>
            <w:tcBorders>
              <w:top w:val="nil"/>
              <w:left w:val="single" w:sz="4" w:space="0" w:color="auto"/>
              <w:bottom w:val="single" w:sz="4" w:space="0" w:color="auto"/>
              <w:right w:val="single" w:sz="4" w:space="0" w:color="auto"/>
            </w:tcBorders>
            <w:shd w:val="clear" w:color="000000" w:fill="FFFFFF"/>
            <w:noWrap/>
            <w:vAlign w:val="bottom"/>
            <w:hideMark/>
          </w:tcPr>
          <w:p w:rsidR="00EB531B" w:rsidRPr="00EB531B" w:rsidRDefault="00EB531B" w:rsidP="00EB531B">
            <w:pPr>
              <w:spacing w:after="0" w:line="240" w:lineRule="auto"/>
              <w:ind w:firstLineChars="100" w:firstLine="221"/>
              <w:rPr>
                <w:rFonts w:ascii="Calibri" w:eastAsia="Times New Roman" w:hAnsi="Calibri" w:cs="Times New Roman"/>
                <w:b/>
                <w:bCs/>
                <w:color w:val="000000"/>
                <w:lang w:eastAsia="es-ES"/>
              </w:rPr>
            </w:pPr>
            <w:proofErr w:type="spellStart"/>
            <w:r w:rsidRPr="00EB531B">
              <w:rPr>
                <w:rFonts w:ascii="Calibri" w:eastAsia="Times New Roman" w:hAnsi="Calibri" w:cs="Times New Roman"/>
                <w:b/>
                <w:bCs/>
                <w:color w:val="000000"/>
                <w:lang w:eastAsia="es-ES"/>
              </w:rPr>
              <w:t>Primary</w:t>
            </w:r>
            <w:proofErr w:type="spellEnd"/>
          </w:p>
        </w:tc>
        <w:tc>
          <w:tcPr>
            <w:tcW w:w="882" w:type="dxa"/>
            <w:tcBorders>
              <w:top w:val="nil"/>
              <w:left w:val="nil"/>
              <w:bottom w:val="single" w:sz="4" w:space="0" w:color="auto"/>
              <w:right w:val="single" w:sz="4" w:space="0" w:color="auto"/>
            </w:tcBorders>
            <w:shd w:val="clear" w:color="auto" w:fill="auto"/>
            <w:noWrap/>
            <w:vAlign w:val="bottom"/>
            <w:hideMark/>
          </w:tcPr>
          <w:p w:rsidR="00EB531B" w:rsidRPr="00EB531B" w:rsidRDefault="00EB531B" w:rsidP="00EB531B">
            <w:pPr>
              <w:spacing w:after="0" w:line="240" w:lineRule="auto"/>
              <w:jc w:val="right"/>
              <w:rPr>
                <w:rFonts w:ascii="Calibri" w:eastAsia="Times New Roman" w:hAnsi="Calibri" w:cs="Times New Roman"/>
                <w:color w:val="000000"/>
                <w:lang w:eastAsia="es-ES"/>
              </w:rPr>
            </w:pPr>
            <w:r w:rsidRPr="00EB531B">
              <w:rPr>
                <w:rFonts w:ascii="Calibri" w:eastAsia="Times New Roman" w:hAnsi="Calibri" w:cs="Times New Roman"/>
                <w:color w:val="000000"/>
                <w:lang w:eastAsia="es-ES"/>
              </w:rPr>
              <w:t>6.20%</w:t>
            </w:r>
          </w:p>
        </w:tc>
        <w:tc>
          <w:tcPr>
            <w:tcW w:w="1139" w:type="dxa"/>
            <w:tcBorders>
              <w:top w:val="nil"/>
              <w:left w:val="nil"/>
              <w:bottom w:val="single" w:sz="4" w:space="0" w:color="auto"/>
              <w:right w:val="single" w:sz="4" w:space="0" w:color="auto"/>
            </w:tcBorders>
            <w:shd w:val="clear" w:color="auto" w:fill="auto"/>
            <w:noWrap/>
            <w:vAlign w:val="bottom"/>
            <w:hideMark/>
          </w:tcPr>
          <w:p w:rsidR="00EB531B" w:rsidRPr="00EB531B" w:rsidRDefault="00EB531B" w:rsidP="00EB531B">
            <w:pPr>
              <w:spacing w:after="0" w:line="240" w:lineRule="auto"/>
              <w:jc w:val="right"/>
              <w:rPr>
                <w:rFonts w:ascii="Calibri" w:eastAsia="Times New Roman" w:hAnsi="Calibri" w:cs="Times New Roman"/>
                <w:color w:val="000000"/>
                <w:lang w:eastAsia="es-ES"/>
              </w:rPr>
            </w:pPr>
            <w:r w:rsidRPr="00EB531B">
              <w:rPr>
                <w:rFonts w:ascii="Calibri" w:eastAsia="Times New Roman" w:hAnsi="Calibri" w:cs="Times New Roman"/>
                <w:color w:val="000000"/>
                <w:lang w:eastAsia="es-ES"/>
              </w:rPr>
              <w:t>5.58%</w:t>
            </w:r>
          </w:p>
        </w:tc>
        <w:tc>
          <w:tcPr>
            <w:tcW w:w="1139" w:type="dxa"/>
            <w:tcBorders>
              <w:top w:val="nil"/>
              <w:left w:val="nil"/>
              <w:bottom w:val="single" w:sz="4" w:space="0" w:color="auto"/>
              <w:right w:val="single" w:sz="4" w:space="0" w:color="auto"/>
            </w:tcBorders>
            <w:shd w:val="clear" w:color="auto" w:fill="auto"/>
            <w:noWrap/>
            <w:vAlign w:val="bottom"/>
            <w:hideMark/>
          </w:tcPr>
          <w:p w:rsidR="00EB531B" w:rsidRPr="00EB531B" w:rsidRDefault="00EB531B" w:rsidP="00EB531B">
            <w:pPr>
              <w:spacing w:after="0" w:line="240" w:lineRule="auto"/>
              <w:jc w:val="right"/>
              <w:rPr>
                <w:rFonts w:ascii="Calibri" w:eastAsia="Times New Roman" w:hAnsi="Calibri" w:cs="Times New Roman"/>
                <w:color w:val="000000"/>
                <w:lang w:eastAsia="es-ES"/>
              </w:rPr>
            </w:pPr>
            <w:r w:rsidRPr="00EB531B">
              <w:rPr>
                <w:rFonts w:ascii="Calibri" w:eastAsia="Times New Roman" w:hAnsi="Calibri" w:cs="Times New Roman"/>
                <w:color w:val="000000"/>
                <w:lang w:eastAsia="es-ES"/>
              </w:rPr>
              <w:t>5.41%</w:t>
            </w:r>
          </w:p>
        </w:tc>
        <w:tc>
          <w:tcPr>
            <w:tcW w:w="1139" w:type="dxa"/>
            <w:tcBorders>
              <w:top w:val="nil"/>
              <w:left w:val="nil"/>
              <w:bottom w:val="single" w:sz="4" w:space="0" w:color="auto"/>
              <w:right w:val="single" w:sz="4" w:space="0" w:color="auto"/>
            </w:tcBorders>
            <w:shd w:val="clear" w:color="auto" w:fill="auto"/>
            <w:noWrap/>
            <w:vAlign w:val="bottom"/>
            <w:hideMark/>
          </w:tcPr>
          <w:p w:rsidR="00EB531B" w:rsidRPr="00EB531B" w:rsidRDefault="00EB531B" w:rsidP="00EB531B">
            <w:pPr>
              <w:spacing w:after="0" w:line="240" w:lineRule="auto"/>
              <w:jc w:val="right"/>
              <w:rPr>
                <w:rFonts w:ascii="Calibri" w:eastAsia="Times New Roman" w:hAnsi="Calibri" w:cs="Times New Roman"/>
                <w:color w:val="000000"/>
                <w:lang w:eastAsia="es-ES"/>
              </w:rPr>
            </w:pPr>
            <w:r w:rsidRPr="00EB531B">
              <w:rPr>
                <w:rFonts w:ascii="Calibri" w:eastAsia="Times New Roman" w:hAnsi="Calibri" w:cs="Times New Roman"/>
                <w:color w:val="000000"/>
                <w:lang w:eastAsia="es-ES"/>
              </w:rPr>
              <w:t>5.57%</w:t>
            </w:r>
          </w:p>
        </w:tc>
        <w:tc>
          <w:tcPr>
            <w:tcW w:w="1139" w:type="dxa"/>
            <w:tcBorders>
              <w:top w:val="nil"/>
              <w:left w:val="nil"/>
              <w:bottom w:val="single" w:sz="4" w:space="0" w:color="auto"/>
              <w:right w:val="single" w:sz="4" w:space="0" w:color="auto"/>
            </w:tcBorders>
            <w:shd w:val="clear" w:color="auto" w:fill="auto"/>
            <w:noWrap/>
            <w:vAlign w:val="bottom"/>
            <w:hideMark/>
          </w:tcPr>
          <w:p w:rsidR="00EB531B" w:rsidRPr="00EB531B" w:rsidRDefault="00EB531B" w:rsidP="00EB531B">
            <w:pPr>
              <w:spacing w:after="0" w:line="240" w:lineRule="auto"/>
              <w:jc w:val="right"/>
              <w:rPr>
                <w:rFonts w:ascii="Calibri" w:eastAsia="Times New Roman" w:hAnsi="Calibri" w:cs="Times New Roman"/>
                <w:color w:val="000000"/>
                <w:lang w:eastAsia="es-ES"/>
              </w:rPr>
            </w:pPr>
            <w:r w:rsidRPr="00EB531B">
              <w:rPr>
                <w:rFonts w:ascii="Calibri" w:eastAsia="Times New Roman" w:hAnsi="Calibri" w:cs="Times New Roman"/>
                <w:color w:val="000000"/>
                <w:lang w:eastAsia="es-ES"/>
              </w:rPr>
              <w:t>4.21%</w:t>
            </w:r>
          </w:p>
        </w:tc>
        <w:tc>
          <w:tcPr>
            <w:tcW w:w="1324" w:type="dxa"/>
            <w:tcBorders>
              <w:top w:val="nil"/>
              <w:left w:val="nil"/>
              <w:bottom w:val="single" w:sz="4" w:space="0" w:color="auto"/>
              <w:right w:val="single" w:sz="4" w:space="0" w:color="auto"/>
            </w:tcBorders>
            <w:shd w:val="clear" w:color="auto" w:fill="auto"/>
            <w:noWrap/>
            <w:vAlign w:val="bottom"/>
            <w:hideMark/>
          </w:tcPr>
          <w:p w:rsidR="00EB531B" w:rsidRPr="00EB531B" w:rsidRDefault="00EB531B" w:rsidP="00EB531B">
            <w:pPr>
              <w:spacing w:after="0" w:line="240" w:lineRule="auto"/>
              <w:jc w:val="right"/>
              <w:rPr>
                <w:rFonts w:ascii="Calibri" w:eastAsia="Times New Roman" w:hAnsi="Calibri" w:cs="Times New Roman"/>
                <w:color w:val="000000"/>
                <w:lang w:eastAsia="es-ES"/>
              </w:rPr>
            </w:pPr>
            <w:r w:rsidRPr="00EB531B">
              <w:rPr>
                <w:rFonts w:ascii="Calibri" w:eastAsia="Times New Roman" w:hAnsi="Calibri" w:cs="Times New Roman"/>
                <w:color w:val="000000"/>
                <w:lang w:eastAsia="es-ES"/>
              </w:rPr>
              <w:t>26.97%</w:t>
            </w:r>
          </w:p>
        </w:tc>
      </w:tr>
      <w:tr w:rsidR="00EB531B" w:rsidRPr="00EB531B" w:rsidTr="00370C66">
        <w:trPr>
          <w:trHeight w:val="300"/>
          <w:jc w:val="center"/>
        </w:trPr>
        <w:tc>
          <w:tcPr>
            <w:tcW w:w="2142" w:type="dxa"/>
            <w:tcBorders>
              <w:top w:val="nil"/>
              <w:left w:val="single" w:sz="4" w:space="0" w:color="auto"/>
              <w:bottom w:val="single" w:sz="4" w:space="0" w:color="auto"/>
              <w:right w:val="single" w:sz="4" w:space="0" w:color="auto"/>
            </w:tcBorders>
            <w:shd w:val="clear" w:color="000000" w:fill="FFFFFF"/>
            <w:noWrap/>
            <w:vAlign w:val="bottom"/>
            <w:hideMark/>
          </w:tcPr>
          <w:p w:rsidR="00EB531B" w:rsidRPr="00EB531B" w:rsidRDefault="00EB531B" w:rsidP="00EB531B">
            <w:pPr>
              <w:spacing w:after="0" w:line="240" w:lineRule="auto"/>
              <w:ind w:firstLineChars="100" w:firstLine="221"/>
              <w:rPr>
                <w:rFonts w:ascii="Calibri" w:eastAsia="Times New Roman" w:hAnsi="Calibri" w:cs="Times New Roman"/>
                <w:b/>
                <w:bCs/>
                <w:color w:val="000000"/>
                <w:lang w:eastAsia="es-ES"/>
              </w:rPr>
            </w:pPr>
            <w:proofErr w:type="spellStart"/>
            <w:r w:rsidRPr="00EB531B">
              <w:rPr>
                <w:rFonts w:ascii="Calibri" w:eastAsia="Times New Roman" w:hAnsi="Calibri" w:cs="Times New Roman"/>
                <w:b/>
                <w:bCs/>
                <w:color w:val="000000"/>
                <w:lang w:eastAsia="es-ES"/>
              </w:rPr>
              <w:t>Secondary</w:t>
            </w:r>
            <w:proofErr w:type="spellEnd"/>
          </w:p>
        </w:tc>
        <w:tc>
          <w:tcPr>
            <w:tcW w:w="882" w:type="dxa"/>
            <w:tcBorders>
              <w:top w:val="nil"/>
              <w:left w:val="nil"/>
              <w:bottom w:val="single" w:sz="4" w:space="0" w:color="auto"/>
              <w:right w:val="single" w:sz="4" w:space="0" w:color="auto"/>
            </w:tcBorders>
            <w:shd w:val="clear" w:color="auto" w:fill="auto"/>
            <w:noWrap/>
            <w:vAlign w:val="bottom"/>
            <w:hideMark/>
          </w:tcPr>
          <w:p w:rsidR="00EB531B" w:rsidRPr="00EB531B" w:rsidRDefault="00EB531B" w:rsidP="00EB531B">
            <w:pPr>
              <w:spacing w:after="0" w:line="240" w:lineRule="auto"/>
              <w:jc w:val="right"/>
              <w:rPr>
                <w:rFonts w:ascii="Calibri" w:eastAsia="Times New Roman" w:hAnsi="Calibri" w:cs="Times New Roman"/>
                <w:color w:val="000000"/>
                <w:lang w:eastAsia="es-ES"/>
              </w:rPr>
            </w:pPr>
            <w:r w:rsidRPr="00EB531B">
              <w:rPr>
                <w:rFonts w:ascii="Calibri" w:eastAsia="Times New Roman" w:hAnsi="Calibri" w:cs="Times New Roman"/>
                <w:color w:val="000000"/>
                <w:lang w:eastAsia="es-ES"/>
              </w:rPr>
              <w:t>5.69%</w:t>
            </w:r>
          </w:p>
        </w:tc>
        <w:tc>
          <w:tcPr>
            <w:tcW w:w="1139" w:type="dxa"/>
            <w:tcBorders>
              <w:top w:val="nil"/>
              <w:left w:val="nil"/>
              <w:bottom w:val="single" w:sz="4" w:space="0" w:color="auto"/>
              <w:right w:val="single" w:sz="4" w:space="0" w:color="auto"/>
            </w:tcBorders>
            <w:shd w:val="clear" w:color="auto" w:fill="auto"/>
            <w:noWrap/>
            <w:vAlign w:val="bottom"/>
            <w:hideMark/>
          </w:tcPr>
          <w:p w:rsidR="00EB531B" w:rsidRPr="00EB531B" w:rsidRDefault="00EB531B" w:rsidP="00EB531B">
            <w:pPr>
              <w:spacing w:after="0" w:line="240" w:lineRule="auto"/>
              <w:jc w:val="right"/>
              <w:rPr>
                <w:rFonts w:ascii="Calibri" w:eastAsia="Times New Roman" w:hAnsi="Calibri" w:cs="Times New Roman"/>
                <w:color w:val="000000"/>
                <w:lang w:eastAsia="es-ES"/>
              </w:rPr>
            </w:pPr>
            <w:r w:rsidRPr="00EB531B">
              <w:rPr>
                <w:rFonts w:ascii="Calibri" w:eastAsia="Times New Roman" w:hAnsi="Calibri" w:cs="Times New Roman"/>
                <w:color w:val="000000"/>
                <w:lang w:eastAsia="es-ES"/>
              </w:rPr>
              <w:t>7.37%</w:t>
            </w:r>
          </w:p>
        </w:tc>
        <w:tc>
          <w:tcPr>
            <w:tcW w:w="1139" w:type="dxa"/>
            <w:tcBorders>
              <w:top w:val="nil"/>
              <w:left w:val="nil"/>
              <w:bottom w:val="single" w:sz="4" w:space="0" w:color="auto"/>
              <w:right w:val="single" w:sz="4" w:space="0" w:color="auto"/>
            </w:tcBorders>
            <w:shd w:val="clear" w:color="auto" w:fill="auto"/>
            <w:noWrap/>
            <w:vAlign w:val="bottom"/>
            <w:hideMark/>
          </w:tcPr>
          <w:p w:rsidR="00EB531B" w:rsidRPr="00EB531B" w:rsidRDefault="00EB531B" w:rsidP="00EB531B">
            <w:pPr>
              <w:spacing w:after="0" w:line="240" w:lineRule="auto"/>
              <w:jc w:val="right"/>
              <w:rPr>
                <w:rFonts w:ascii="Calibri" w:eastAsia="Times New Roman" w:hAnsi="Calibri" w:cs="Times New Roman"/>
                <w:color w:val="000000"/>
                <w:lang w:eastAsia="es-ES"/>
              </w:rPr>
            </w:pPr>
            <w:r w:rsidRPr="00EB531B">
              <w:rPr>
                <w:rFonts w:ascii="Calibri" w:eastAsia="Times New Roman" w:hAnsi="Calibri" w:cs="Times New Roman"/>
                <w:color w:val="000000"/>
                <w:lang w:eastAsia="es-ES"/>
              </w:rPr>
              <w:t>7.61%</w:t>
            </w:r>
          </w:p>
        </w:tc>
        <w:tc>
          <w:tcPr>
            <w:tcW w:w="1139" w:type="dxa"/>
            <w:tcBorders>
              <w:top w:val="nil"/>
              <w:left w:val="nil"/>
              <w:bottom w:val="single" w:sz="4" w:space="0" w:color="auto"/>
              <w:right w:val="single" w:sz="4" w:space="0" w:color="auto"/>
            </w:tcBorders>
            <w:shd w:val="clear" w:color="auto" w:fill="auto"/>
            <w:noWrap/>
            <w:vAlign w:val="bottom"/>
            <w:hideMark/>
          </w:tcPr>
          <w:p w:rsidR="00EB531B" w:rsidRPr="00EB531B" w:rsidRDefault="00EB531B" w:rsidP="00EB531B">
            <w:pPr>
              <w:spacing w:after="0" w:line="240" w:lineRule="auto"/>
              <w:jc w:val="right"/>
              <w:rPr>
                <w:rFonts w:ascii="Calibri" w:eastAsia="Times New Roman" w:hAnsi="Calibri" w:cs="Times New Roman"/>
                <w:color w:val="000000"/>
                <w:lang w:eastAsia="es-ES"/>
              </w:rPr>
            </w:pPr>
            <w:r w:rsidRPr="00EB531B">
              <w:rPr>
                <w:rFonts w:ascii="Calibri" w:eastAsia="Times New Roman" w:hAnsi="Calibri" w:cs="Times New Roman"/>
                <w:color w:val="000000"/>
                <w:lang w:eastAsia="es-ES"/>
              </w:rPr>
              <w:t>6.68%</w:t>
            </w:r>
          </w:p>
        </w:tc>
        <w:tc>
          <w:tcPr>
            <w:tcW w:w="1139" w:type="dxa"/>
            <w:tcBorders>
              <w:top w:val="nil"/>
              <w:left w:val="nil"/>
              <w:bottom w:val="single" w:sz="4" w:space="0" w:color="auto"/>
              <w:right w:val="single" w:sz="4" w:space="0" w:color="auto"/>
            </w:tcBorders>
            <w:shd w:val="clear" w:color="auto" w:fill="auto"/>
            <w:noWrap/>
            <w:vAlign w:val="bottom"/>
            <w:hideMark/>
          </w:tcPr>
          <w:p w:rsidR="00EB531B" w:rsidRPr="00EB531B" w:rsidRDefault="00EB531B" w:rsidP="00EB531B">
            <w:pPr>
              <w:spacing w:after="0" w:line="240" w:lineRule="auto"/>
              <w:jc w:val="right"/>
              <w:rPr>
                <w:rFonts w:ascii="Calibri" w:eastAsia="Times New Roman" w:hAnsi="Calibri" w:cs="Times New Roman"/>
                <w:color w:val="000000"/>
                <w:lang w:eastAsia="es-ES"/>
              </w:rPr>
            </w:pPr>
            <w:r w:rsidRPr="00EB531B">
              <w:rPr>
                <w:rFonts w:ascii="Calibri" w:eastAsia="Times New Roman" w:hAnsi="Calibri" w:cs="Times New Roman"/>
                <w:color w:val="000000"/>
                <w:lang w:eastAsia="es-ES"/>
              </w:rPr>
              <w:t>5.98%</w:t>
            </w:r>
          </w:p>
        </w:tc>
        <w:tc>
          <w:tcPr>
            <w:tcW w:w="1324" w:type="dxa"/>
            <w:tcBorders>
              <w:top w:val="nil"/>
              <w:left w:val="nil"/>
              <w:bottom w:val="single" w:sz="4" w:space="0" w:color="auto"/>
              <w:right w:val="single" w:sz="4" w:space="0" w:color="auto"/>
            </w:tcBorders>
            <w:shd w:val="clear" w:color="auto" w:fill="auto"/>
            <w:noWrap/>
            <w:vAlign w:val="bottom"/>
            <w:hideMark/>
          </w:tcPr>
          <w:p w:rsidR="00EB531B" w:rsidRPr="00EB531B" w:rsidRDefault="00EB531B" w:rsidP="00EB531B">
            <w:pPr>
              <w:spacing w:after="0" w:line="240" w:lineRule="auto"/>
              <w:jc w:val="right"/>
              <w:rPr>
                <w:rFonts w:ascii="Calibri" w:eastAsia="Times New Roman" w:hAnsi="Calibri" w:cs="Times New Roman"/>
                <w:color w:val="000000"/>
                <w:lang w:eastAsia="es-ES"/>
              </w:rPr>
            </w:pPr>
            <w:r w:rsidRPr="00EB531B">
              <w:rPr>
                <w:rFonts w:ascii="Calibri" w:eastAsia="Times New Roman" w:hAnsi="Calibri" w:cs="Times New Roman"/>
                <w:color w:val="000000"/>
                <w:lang w:eastAsia="es-ES"/>
              </w:rPr>
              <w:t>33.33%</w:t>
            </w:r>
          </w:p>
        </w:tc>
      </w:tr>
      <w:tr w:rsidR="00EB531B" w:rsidRPr="00EB531B" w:rsidTr="00370C66">
        <w:trPr>
          <w:trHeight w:val="315"/>
          <w:jc w:val="center"/>
        </w:trPr>
        <w:tc>
          <w:tcPr>
            <w:tcW w:w="2142" w:type="dxa"/>
            <w:tcBorders>
              <w:top w:val="nil"/>
              <w:left w:val="single" w:sz="4" w:space="0" w:color="auto"/>
              <w:bottom w:val="double" w:sz="6" w:space="0" w:color="auto"/>
              <w:right w:val="single" w:sz="4" w:space="0" w:color="auto"/>
            </w:tcBorders>
            <w:shd w:val="clear" w:color="000000" w:fill="FFFFFF"/>
            <w:noWrap/>
            <w:vAlign w:val="bottom"/>
            <w:hideMark/>
          </w:tcPr>
          <w:p w:rsidR="00EB531B" w:rsidRPr="00EB531B" w:rsidRDefault="00EB531B" w:rsidP="00EB531B">
            <w:pPr>
              <w:spacing w:after="0" w:line="240" w:lineRule="auto"/>
              <w:ind w:firstLineChars="100" w:firstLine="221"/>
              <w:rPr>
                <w:rFonts w:ascii="Calibri" w:eastAsia="Times New Roman" w:hAnsi="Calibri" w:cs="Times New Roman"/>
                <w:b/>
                <w:bCs/>
                <w:color w:val="000000"/>
                <w:lang w:eastAsia="es-ES"/>
              </w:rPr>
            </w:pPr>
            <w:proofErr w:type="spellStart"/>
            <w:r w:rsidRPr="00EB531B">
              <w:rPr>
                <w:rFonts w:ascii="Calibri" w:eastAsia="Times New Roman" w:hAnsi="Calibri" w:cs="Times New Roman"/>
                <w:b/>
                <w:bCs/>
                <w:color w:val="000000"/>
                <w:lang w:eastAsia="es-ES"/>
              </w:rPr>
              <w:t>Tertiary</w:t>
            </w:r>
            <w:proofErr w:type="spellEnd"/>
            <w:r w:rsidRPr="00EB531B">
              <w:rPr>
                <w:rFonts w:ascii="Calibri" w:eastAsia="Times New Roman" w:hAnsi="Calibri" w:cs="Times New Roman"/>
                <w:b/>
                <w:bCs/>
                <w:color w:val="000000"/>
                <w:lang w:eastAsia="es-ES"/>
              </w:rPr>
              <w:t>/</w:t>
            </w:r>
            <w:proofErr w:type="spellStart"/>
            <w:r w:rsidRPr="00EB531B">
              <w:rPr>
                <w:rFonts w:ascii="Calibri" w:eastAsia="Times New Roman" w:hAnsi="Calibri" w:cs="Times New Roman"/>
                <w:b/>
                <w:bCs/>
                <w:color w:val="000000"/>
                <w:lang w:eastAsia="es-ES"/>
              </w:rPr>
              <w:t>University</w:t>
            </w:r>
            <w:proofErr w:type="spellEnd"/>
          </w:p>
        </w:tc>
        <w:tc>
          <w:tcPr>
            <w:tcW w:w="882" w:type="dxa"/>
            <w:tcBorders>
              <w:top w:val="nil"/>
              <w:left w:val="nil"/>
              <w:bottom w:val="single" w:sz="4" w:space="0" w:color="auto"/>
              <w:right w:val="single" w:sz="4" w:space="0" w:color="auto"/>
            </w:tcBorders>
            <w:shd w:val="clear" w:color="auto" w:fill="auto"/>
            <w:noWrap/>
            <w:vAlign w:val="bottom"/>
            <w:hideMark/>
          </w:tcPr>
          <w:p w:rsidR="00EB531B" w:rsidRPr="00EB531B" w:rsidRDefault="00EB531B" w:rsidP="00EB531B">
            <w:pPr>
              <w:spacing w:after="0" w:line="240" w:lineRule="auto"/>
              <w:jc w:val="right"/>
              <w:rPr>
                <w:rFonts w:ascii="Calibri" w:eastAsia="Times New Roman" w:hAnsi="Calibri" w:cs="Times New Roman"/>
                <w:color w:val="000000"/>
                <w:lang w:eastAsia="es-ES"/>
              </w:rPr>
            </w:pPr>
            <w:r w:rsidRPr="00EB531B">
              <w:rPr>
                <w:rFonts w:ascii="Calibri" w:eastAsia="Times New Roman" w:hAnsi="Calibri" w:cs="Times New Roman"/>
                <w:color w:val="000000"/>
                <w:lang w:eastAsia="es-ES"/>
              </w:rPr>
              <w:t>3.30%</w:t>
            </w:r>
          </w:p>
        </w:tc>
        <w:tc>
          <w:tcPr>
            <w:tcW w:w="1139" w:type="dxa"/>
            <w:tcBorders>
              <w:top w:val="nil"/>
              <w:left w:val="nil"/>
              <w:bottom w:val="single" w:sz="4" w:space="0" w:color="auto"/>
              <w:right w:val="single" w:sz="4" w:space="0" w:color="auto"/>
            </w:tcBorders>
            <w:shd w:val="clear" w:color="auto" w:fill="auto"/>
            <w:noWrap/>
            <w:vAlign w:val="bottom"/>
            <w:hideMark/>
          </w:tcPr>
          <w:p w:rsidR="00EB531B" w:rsidRPr="00EB531B" w:rsidRDefault="00EB531B" w:rsidP="00EB531B">
            <w:pPr>
              <w:spacing w:after="0" w:line="240" w:lineRule="auto"/>
              <w:jc w:val="right"/>
              <w:rPr>
                <w:rFonts w:ascii="Calibri" w:eastAsia="Times New Roman" w:hAnsi="Calibri" w:cs="Times New Roman"/>
                <w:color w:val="000000"/>
                <w:lang w:eastAsia="es-ES"/>
              </w:rPr>
            </w:pPr>
            <w:r w:rsidRPr="00EB531B">
              <w:rPr>
                <w:rFonts w:ascii="Calibri" w:eastAsia="Times New Roman" w:hAnsi="Calibri" w:cs="Times New Roman"/>
                <w:color w:val="000000"/>
                <w:lang w:eastAsia="es-ES"/>
              </w:rPr>
              <w:t>4.03%</w:t>
            </w:r>
          </w:p>
        </w:tc>
        <w:tc>
          <w:tcPr>
            <w:tcW w:w="1139" w:type="dxa"/>
            <w:tcBorders>
              <w:top w:val="nil"/>
              <w:left w:val="nil"/>
              <w:bottom w:val="single" w:sz="4" w:space="0" w:color="auto"/>
              <w:right w:val="single" w:sz="4" w:space="0" w:color="auto"/>
            </w:tcBorders>
            <w:shd w:val="clear" w:color="auto" w:fill="auto"/>
            <w:noWrap/>
            <w:vAlign w:val="bottom"/>
            <w:hideMark/>
          </w:tcPr>
          <w:p w:rsidR="00EB531B" w:rsidRPr="00EB531B" w:rsidRDefault="00EB531B" w:rsidP="00EB531B">
            <w:pPr>
              <w:spacing w:after="0" w:line="240" w:lineRule="auto"/>
              <w:jc w:val="right"/>
              <w:rPr>
                <w:rFonts w:ascii="Calibri" w:eastAsia="Times New Roman" w:hAnsi="Calibri" w:cs="Times New Roman"/>
                <w:color w:val="000000"/>
                <w:lang w:eastAsia="es-ES"/>
              </w:rPr>
            </w:pPr>
            <w:r w:rsidRPr="00EB531B">
              <w:rPr>
                <w:rFonts w:ascii="Calibri" w:eastAsia="Times New Roman" w:hAnsi="Calibri" w:cs="Times New Roman"/>
                <w:color w:val="000000"/>
                <w:lang w:eastAsia="es-ES"/>
              </w:rPr>
              <w:t>5.41%</w:t>
            </w:r>
          </w:p>
        </w:tc>
        <w:tc>
          <w:tcPr>
            <w:tcW w:w="1139" w:type="dxa"/>
            <w:tcBorders>
              <w:top w:val="nil"/>
              <w:left w:val="nil"/>
              <w:bottom w:val="single" w:sz="4" w:space="0" w:color="auto"/>
              <w:right w:val="single" w:sz="4" w:space="0" w:color="auto"/>
            </w:tcBorders>
            <w:shd w:val="clear" w:color="auto" w:fill="auto"/>
            <w:noWrap/>
            <w:vAlign w:val="bottom"/>
            <w:hideMark/>
          </w:tcPr>
          <w:p w:rsidR="00EB531B" w:rsidRPr="00EB531B" w:rsidRDefault="00EB531B" w:rsidP="00EB531B">
            <w:pPr>
              <w:spacing w:after="0" w:line="240" w:lineRule="auto"/>
              <w:jc w:val="right"/>
              <w:rPr>
                <w:rFonts w:ascii="Calibri" w:eastAsia="Times New Roman" w:hAnsi="Calibri" w:cs="Times New Roman"/>
                <w:color w:val="000000"/>
                <w:lang w:eastAsia="es-ES"/>
              </w:rPr>
            </w:pPr>
            <w:r w:rsidRPr="00EB531B">
              <w:rPr>
                <w:rFonts w:ascii="Calibri" w:eastAsia="Times New Roman" w:hAnsi="Calibri" w:cs="Times New Roman"/>
                <w:color w:val="000000"/>
                <w:lang w:eastAsia="es-ES"/>
              </w:rPr>
              <w:t>6.36%</w:t>
            </w:r>
          </w:p>
        </w:tc>
        <w:tc>
          <w:tcPr>
            <w:tcW w:w="1139" w:type="dxa"/>
            <w:tcBorders>
              <w:top w:val="nil"/>
              <w:left w:val="nil"/>
              <w:bottom w:val="single" w:sz="4" w:space="0" w:color="auto"/>
              <w:right w:val="single" w:sz="4" w:space="0" w:color="auto"/>
            </w:tcBorders>
            <w:shd w:val="clear" w:color="auto" w:fill="auto"/>
            <w:noWrap/>
            <w:vAlign w:val="bottom"/>
            <w:hideMark/>
          </w:tcPr>
          <w:p w:rsidR="00EB531B" w:rsidRPr="00EB531B" w:rsidRDefault="00EB531B" w:rsidP="00EB531B">
            <w:pPr>
              <w:spacing w:after="0" w:line="240" w:lineRule="auto"/>
              <w:jc w:val="right"/>
              <w:rPr>
                <w:rFonts w:ascii="Calibri" w:eastAsia="Times New Roman" w:hAnsi="Calibri" w:cs="Times New Roman"/>
                <w:color w:val="000000"/>
                <w:lang w:eastAsia="es-ES"/>
              </w:rPr>
            </w:pPr>
            <w:r w:rsidRPr="00EB531B">
              <w:rPr>
                <w:rFonts w:ascii="Calibri" w:eastAsia="Times New Roman" w:hAnsi="Calibri" w:cs="Times New Roman"/>
                <w:color w:val="000000"/>
                <w:lang w:eastAsia="es-ES"/>
              </w:rPr>
              <w:t>12.55%</w:t>
            </w:r>
          </w:p>
        </w:tc>
        <w:tc>
          <w:tcPr>
            <w:tcW w:w="1324" w:type="dxa"/>
            <w:tcBorders>
              <w:top w:val="nil"/>
              <w:left w:val="nil"/>
              <w:bottom w:val="single" w:sz="4" w:space="0" w:color="auto"/>
              <w:right w:val="single" w:sz="4" w:space="0" w:color="auto"/>
            </w:tcBorders>
            <w:shd w:val="clear" w:color="auto" w:fill="auto"/>
            <w:noWrap/>
            <w:vAlign w:val="bottom"/>
            <w:hideMark/>
          </w:tcPr>
          <w:p w:rsidR="00EB531B" w:rsidRPr="00EB531B" w:rsidRDefault="00EB531B" w:rsidP="00EB531B">
            <w:pPr>
              <w:spacing w:after="0" w:line="240" w:lineRule="auto"/>
              <w:jc w:val="right"/>
              <w:rPr>
                <w:rFonts w:ascii="Calibri" w:eastAsia="Times New Roman" w:hAnsi="Calibri" w:cs="Times New Roman"/>
                <w:color w:val="000000"/>
                <w:lang w:eastAsia="es-ES"/>
              </w:rPr>
            </w:pPr>
            <w:r w:rsidRPr="00EB531B">
              <w:rPr>
                <w:rFonts w:ascii="Calibri" w:eastAsia="Times New Roman" w:hAnsi="Calibri" w:cs="Times New Roman"/>
                <w:color w:val="000000"/>
                <w:lang w:eastAsia="es-ES"/>
              </w:rPr>
              <w:t>31.65%</w:t>
            </w:r>
          </w:p>
        </w:tc>
      </w:tr>
      <w:tr w:rsidR="00EB531B" w:rsidRPr="00EB531B" w:rsidTr="00370C66">
        <w:trPr>
          <w:trHeight w:val="315"/>
          <w:jc w:val="center"/>
        </w:trPr>
        <w:tc>
          <w:tcPr>
            <w:tcW w:w="2142" w:type="dxa"/>
            <w:tcBorders>
              <w:top w:val="nil"/>
              <w:left w:val="single" w:sz="4" w:space="0" w:color="auto"/>
              <w:bottom w:val="single" w:sz="4" w:space="0" w:color="auto"/>
              <w:right w:val="single" w:sz="4" w:space="0" w:color="auto"/>
            </w:tcBorders>
            <w:shd w:val="clear" w:color="000000" w:fill="FFFFFF"/>
            <w:noWrap/>
            <w:vAlign w:val="bottom"/>
            <w:hideMark/>
          </w:tcPr>
          <w:p w:rsidR="00EB531B" w:rsidRPr="00EB531B" w:rsidRDefault="00EB531B" w:rsidP="00EB531B">
            <w:pPr>
              <w:spacing w:after="0" w:line="240" w:lineRule="auto"/>
              <w:ind w:firstLineChars="100" w:firstLine="221"/>
              <w:rPr>
                <w:rFonts w:ascii="Calibri" w:eastAsia="Times New Roman" w:hAnsi="Calibri" w:cs="Times New Roman"/>
                <w:b/>
                <w:bCs/>
                <w:color w:val="000000"/>
                <w:lang w:eastAsia="es-ES"/>
              </w:rPr>
            </w:pPr>
            <w:r w:rsidRPr="00EB531B">
              <w:rPr>
                <w:rFonts w:ascii="Calibri" w:eastAsia="Times New Roman" w:hAnsi="Calibri" w:cs="Times New Roman"/>
                <w:b/>
                <w:bCs/>
                <w:color w:val="000000"/>
                <w:lang w:eastAsia="es-ES"/>
              </w:rPr>
              <w:t>Total</w:t>
            </w:r>
          </w:p>
        </w:tc>
        <w:tc>
          <w:tcPr>
            <w:tcW w:w="882" w:type="dxa"/>
            <w:tcBorders>
              <w:top w:val="nil"/>
              <w:left w:val="nil"/>
              <w:bottom w:val="single" w:sz="4" w:space="0" w:color="auto"/>
              <w:right w:val="single" w:sz="4" w:space="0" w:color="auto"/>
            </w:tcBorders>
            <w:shd w:val="clear" w:color="auto" w:fill="auto"/>
            <w:noWrap/>
            <w:vAlign w:val="bottom"/>
            <w:hideMark/>
          </w:tcPr>
          <w:p w:rsidR="00EB531B" w:rsidRPr="00EB531B" w:rsidRDefault="00EB531B" w:rsidP="00EB531B">
            <w:pPr>
              <w:spacing w:after="0" w:line="240" w:lineRule="auto"/>
              <w:jc w:val="right"/>
              <w:rPr>
                <w:rFonts w:ascii="Calibri" w:eastAsia="Times New Roman" w:hAnsi="Calibri" w:cs="Times New Roman"/>
                <w:color w:val="000000"/>
                <w:lang w:eastAsia="es-ES"/>
              </w:rPr>
            </w:pPr>
            <w:r w:rsidRPr="00EB531B">
              <w:rPr>
                <w:rFonts w:ascii="Calibri" w:eastAsia="Times New Roman" w:hAnsi="Calibri" w:cs="Times New Roman"/>
                <w:color w:val="000000"/>
                <w:lang w:eastAsia="es-ES"/>
              </w:rPr>
              <w:t>16.60%</w:t>
            </w:r>
          </w:p>
        </w:tc>
        <w:tc>
          <w:tcPr>
            <w:tcW w:w="1139" w:type="dxa"/>
            <w:tcBorders>
              <w:top w:val="nil"/>
              <w:left w:val="nil"/>
              <w:bottom w:val="single" w:sz="4" w:space="0" w:color="auto"/>
              <w:right w:val="single" w:sz="4" w:space="0" w:color="auto"/>
            </w:tcBorders>
            <w:shd w:val="clear" w:color="auto" w:fill="auto"/>
            <w:noWrap/>
            <w:vAlign w:val="bottom"/>
            <w:hideMark/>
          </w:tcPr>
          <w:p w:rsidR="00EB531B" w:rsidRPr="00EB531B" w:rsidRDefault="00EB531B" w:rsidP="00EB531B">
            <w:pPr>
              <w:spacing w:after="0" w:line="240" w:lineRule="auto"/>
              <w:jc w:val="right"/>
              <w:rPr>
                <w:rFonts w:ascii="Calibri" w:eastAsia="Times New Roman" w:hAnsi="Calibri" w:cs="Times New Roman"/>
                <w:color w:val="000000"/>
                <w:lang w:eastAsia="es-ES"/>
              </w:rPr>
            </w:pPr>
            <w:r w:rsidRPr="00EB531B">
              <w:rPr>
                <w:rFonts w:ascii="Calibri" w:eastAsia="Times New Roman" w:hAnsi="Calibri" w:cs="Times New Roman"/>
                <w:color w:val="000000"/>
                <w:lang w:eastAsia="es-ES"/>
              </w:rPr>
              <w:t>18.56%</w:t>
            </w:r>
          </w:p>
        </w:tc>
        <w:tc>
          <w:tcPr>
            <w:tcW w:w="1139" w:type="dxa"/>
            <w:tcBorders>
              <w:top w:val="nil"/>
              <w:left w:val="nil"/>
              <w:bottom w:val="single" w:sz="4" w:space="0" w:color="auto"/>
              <w:right w:val="single" w:sz="4" w:space="0" w:color="auto"/>
            </w:tcBorders>
            <w:shd w:val="clear" w:color="auto" w:fill="auto"/>
            <w:noWrap/>
            <w:vAlign w:val="bottom"/>
            <w:hideMark/>
          </w:tcPr>
          <w:p w:rsidR="00EB531B" w:rsidRPr="00EB531B" w:rsidRDefault="00EB531B" w:rsidP="00EB531B">
            <w:pPr>
              <w:spacing w:after="0" w:line="240" w:lineRule="auto"/>
              <w:jc w:val="right"/>
              <w:rPr>
                <w:rFonts w:ascii="Calibri" w:eastAsia="Times New Roman" w:hAnsi="Calibri" w:cs="Times New Roman"/>
                <w:color w:val="000000"/>
                <w:lang w:eastAsia="es-ES"/>
              </w:rPr>
            </w:pPr>
            <w:r w:rsidRPr="00EB531B">
              <w:rPr>
                <w:rFonts w:ascii="Calibri" w:eastAsia="Times New Roman" w:hAnsi="Calibri" w:cs="Times New Roman"/>
                <w:color w:val="000000"/>
                <w:lang w:eastAsia="es-ES"/>
              </w:rPr>
              <w:t>20.55%</w:t>
            </w:r>
          </w:p>
        </w:tc>
        <w:tc>
          <w:tcPr>
            <w:tcW w:w="1139" w:type="dxa"/>
            <w:tcBorders>
              <w:top w:val="nil"/>
              <w:left w:val="nil"/>
              <w:bottom w:val="single" w:sz="4" w:space="0" w:color="auto"/>
              <w:right w:val="single" w:sz="4" w:space="0" w:color="auto"/>
            </w:tcBorders>
            <w:shd w:val="clear" w:color="auto" w:fill="auto"/>
            <w:noWrap/>
            <w:vAlign w:val="bottom"/>
            <w:hideMark/>
          </w:tcPr>
          <w:p w:rsidR="00EB531B" w:rsidRPr="00EB531B" w:rsidRDefault="00EB531B" w:rsidP="00EB531B">
            <w:pPr>
              <w:spacing w:after="0" w:line="240" w:lineRule="auto"/>
              <w:jc w:val="right"/>
              <w:rPr>
                <w:rFonts w:ascii="Calibri" w:eastAsia="Times New Roman" w:hAnsi="Calibri" w:cs="Times New Roman"/>
                <w:color w:val="000000"/>
                <w:lang w:eastAsia="es-ES"/>
              </w:rPr>
            </w:pPr>
            <w:r w:rsidRPr="00EB531B">
              <w:rPr>
                <w:rFonts w:ascii="Calibri" w:eastAsia="Times New Roman" w:hAnsi="Calibri" w:cs="Times New Roman"/>
                <w:color w:val="000000"/>
                <w:lang w:eastAsia="es-ES"/>
              </w:rPr>
              <w:t>20.10%</w:t>
            </w:r>
          </w:p>
        </w:tc>
        <w:tc>
          <w:tcPr>
            <w:tcW w:w="1139" w:type="dxa"/>
            <w:tcBorders>
              <w:top w:val="nil"/>
              <w:left w:val="nil"/>
              <w:bottom w:val="single" w:sz="4" w:space="0" w:color="auto"/>
              <w:right w:val="single" w:sz="4" w:space="0" w:color="auto"/>
            </w:tcBorders>
            <w:shd w:val="clear" w:color="auto" w:fill="auto"/>
            <w:noWrap/>
            <w:vAlign w:val="bottom"/>
            <w:hideMark/>
          </w:tcPr>
          <w:p w:rsidR="00EB531B" w:rsidRPr="00EB531B" w:rsidRDefault="00EB531B" w:rsidP="00EB531B">
            <w:pPr>
              <w:spacing w:after="0" w:line="240" w:lineRule="auto"/>
              <w:jc w:val="right"/>
              <w:rPr>
                <w:rFonts w:ascii="Calibri" w:eastAsia="Times New Roman" w:hAnsi="Calibri" w:cs="Times New Roman"/>
                <w:color w:val="000000"/>
                <w:lang w:eastAsia="es-ES"/>
              </w:rPr>
            </w:pPr>
            <w:r w:rsidRPr="00EB531B">
              <w:rPr>
                <w:rFonts w:ascii="Calibri" w:eastAsia="Times New Roman" w:hAnsi="Calibri" w:cs="Times New Roman"/>
                <w:color w:val="000000"/>
                <w:lang w:eastAsia="es-ES"/>
              </w:rPr>
              <w:t>24.18%</w:t>
            </w:r>
          </w:p>
        </w:tc>
        <w:tc>
          <w:tcPr>
            <w:tcW w:w="1324" w:type="dxa"/>
            <w:tcBorders>
              <w:top w:val="nil"/>
              <w:left w:val="nil"/>
              <w:bottom w:val="single" w:sz="4" w:space="0" w:color="auto"/>
              <w:right w:val="single" w:sz="4" w:space="0" w:color="auto"/>
            </w:tcBorders>
            <w:shd w:val="clear" w:color="auto" w:fill="auto"/>
            <w:noWrap/>
            <w:vAlign w:val="bottom"/>
            <w:hideMark/>
          </w:tcPr>
          <w:p w:rsidR="00EB531B" w:rsidRPr="00EB531B" w:rsidRDefault="00EB531B" w:rsidP="00EB531B">
            <w:pPr>
              <w:spacing w:after="0" w:line="240" w:lineRule="auto"/>
              <w:jc w:val="right"/>
              <w:rPr>
                <w:rFonts w:ascii="Calibri" w:eastAsia="Times New Roman" w:hAnsi="Calibri" w:cs="Times New Roman"/>
                <w:color w:val="000000"/>
                <w:lang w:eastAsia="es-ES"/>
              </w:rPr>
            </w:pPr>
            <w:r w:rsidRPr="00EB531B">
              <w:rPr>
                <w:rFonts w:ascii="Calibri" w:eastAsia="Times New Roman" w:hAnsi="Calibri" w:cs="Times New Roman"/>
                <w:color w:val="000000"/>
                <w:lang w:eastAsia="es-ES"/>
              </w:rPr>
              <w:t>100.00%</w:t>
            </w:r>
          </w:p>
        </w:tc>
      </w:tr>
    </w:tbl>
    <w:p w:rsidR="0006682B" w:rsidRPr="00505444" w:rsidRDefault="0006682B" w:rsidP="0006682B">
      <w:pPr>
        <w:pStyle w:val="NoSpacing"/>
        <w:spacing w:line="276" w:lineRule="auto"/>
        <w:rPr>
          <w:sz w:val="16"/>
          <w:szCs w:val="16"/>
        </w:rPr>
      </w:pPr>
      <w:proofErr w:type="spellStart"/>
      <w:r w:rsidRPr="00505444">
        <w:rPr>
          <w:sz w:val="16"/>
          <w:szCs w:val="16"/>
        </w:rPr>
        <w:t>Source</w:t>
      </w:r>
      <w:proofErr w:type="spellEnd"/>
      <w:r w:rsidRPr="00505444">
        <w:rPr>
          <w:sz w:val="16"/>
          <w:szCs w:val="16"/>
        </w:rPr>
        <w:t xml:space="preserve">: </w:t>
      </w:r>
      <w:r>
        <w:rPr>
          <w:sz w:val="16"/>
          <w:szCs w:val="16"/>
        </w:rPr>
        <w:t>MEF. INEI.</w:t>
      </w:r>
      <w:r w:rsidRPr="00505444">
        <w:rPr>
          <w:sz w:val="16"/>
          <w:szCs w:val="16"/>
        </w:rPr>
        <w:t xml:space="preserve"> </w:t>
      </w:r>
    </w:p>
    <w:p w:rsidR="00EB531B" w:rsidRDefault="00EB531B" w:rsidP="00AF4BAF">
      <w:pPr>
        <w:spacing w:after="0"/>
        <w:rPr>
          <w:lang w:val="en-US"/>
        </w:rPr>
      </w:pPr>
    </w:p>
    <w:p w:rsidR="00A53DFA" w:rsidRDefault="00AF4BAF" w:rsidP="00C242C0">
      <w:pPr>
        <w:spacing w:after="0"/>
        <w:jc w:val="both"/>
        <w:rPr>
          <w:lang w:val="en-US"/>
        </w:rPr>
      </w:pPr>
      <w:r w:rsidRPr="00AF4BAF">
        <w:rPr>
          <w:lang w:val="en-US"/>
        </w:rPr>
        <w:t xml:space="preserve">The </w:t>
      </w:r>
      <w:r>
        <w:rPr>
          <w:lang w:val="en-US"/>
        </w:rPr>
        <w:t xml:space="preserve">budget distribution for the </w:t>
      </w:r>
      <w:r w:rsidRPr="00AF4BAF">
        <w:rPr>
          <w:lang w:val="en-US"/>
        </w:rPr>
        <w:t xml:space="preserve">Costa Sur region </w:t>
      </w:r>
      <w:r w:rsidR="00E71D4C">
        <w:rPr>
          <w:lang w:val="en-US"/>
        </w:rPr>
        <w:t xml:space="preserve">is </w:t>
      </w:r>
      <w:r w:rsidR="004D3ED1">
        <w:rPr>
          <w:lang w:val="en-US"/>
        </w:rPr>
        <w:t xml:space="preserve">quite </w:t>
      </w:r>
      <w:r w:rsidR="00E71D4C">
        <w:rPr>
          <w:lang w:val="en-US"/>
        </w:rPr>
        <w:t>similar to the Sierra</w:t>
      </w:r>
      <w:r w:rsidR="00AC013B">
        <w:rPr>
          <w:lang w:val="en-US"/>
        </w:rPr>
        <w:t xml:space="preserve"> one</w:t>
      </w:r>
      <w:r w:rsidR="00F41ADB">
        <w:rPr>
          <w:lang w:val="en-US"/>
        </w:rPr>
        <w:t xml:space="preserve"> (see Table 14)</w:t>
      </w:r>
      <w:r w:rsidR="004D3ED1">
        <w:rPr>
          <w:lang w:val="en-US"/>
        </w:rPr>
        <w:t xml:space="preserve">, but it must be noticed that percentage of the public expenditure allocated to Primary education </w:t>
      </w:r>
      <w:r w:rsidR="00C242C0">
        <w:rPr>
          <w:lang w:val="en-US"/>
        </w:rPr>
        <w:t xml:space="preserve">(26.97%) </w:t>
      </w:r>
      <w:r w:rsidR="004D3ED1">
        <w:rPr>
          <w:lang w:val="en-US"/>
        </w:rPr>
        <w:t xml:space="preserve">is a bit less that for Secondary </w:t>
      </w:r>
      <w:r w:rsidR="00C242C0">
        <w:rPr>
          <w:lang w:val="en-US"/>
        </w:rPr>
        <w:t xml:space="preserve">(33.33%) </w:t>
      </w:r>
      <w:r w:rsidR="004D3ED1">
        <w:rPr>
          <w:lang w:val="en-US"/>
        </w:rPr>
        <w:t>and Tertiary</w:t>
      </w:r>
      <w:r w:rsidR="00C242C0">
        <w:rPr>
          <w:lang w:val="en-US"/>
        </w:rPr>
        <w:t xml:space="preserve"> (31.65%)</w:t>
      </w:r>
      <w:r w:rsidR="004D3ED1">
        <w:rPr>
          <w:lang w:val="en-US"/>
        </w:rPr>
        <w:t>.</w:t>
      </w:r>
      <w:r w:rsidR="00F41ADB">
        <w:rPr>
          <w:lang w:val="en-US"/>
        </w:rPr>
        <w:t xml:space="preserve"> On the other hand, the </w:t>
      </w:r>
      <w:proofErr w:type="spellStart"/>
      <w:r w:rsidR="00F41ADB">
        <w:rPr>
          <w:lang w:val="en-US"/>
        </w:rPr>
        <w:t>Selva</w:t>
      </w:r>
      <w:proofErr w:type="spellEnd"/>
      <w:r w:rsidR="00F41ADB">
        <w:rPr>
          <w:lang w:val="en-US"/>
        </w:rPr>
        <w:t xml:space="preserve"> region</w:t>
      </w:r>
      <w:r w:rsidR="006A7971">
        <w:rPr>
          <w:lang w:val="en-US"/>
        </w:rPr>
        <w:t xml:space="preserve"> seems to have a better distribution</w:t>
      </w:r>
      <w:r w:rsidR="00421654">
        <w:rPr>
          <w:lang w:val="en-US"/>
        </w:rPr>
        <w:t xml:space="preserve">: </w:t>
      </w:r>
      <w:r w:rsidR="00002F09">
        <w:rPr>
          <w:lang w:val="en-US"/>
        </w:rPr>
        <w:t>Preschool represents 10.73% and the lowest quintiles are the most benefited</w:t>
      </w:r>
      <w:r w:rsidR="00F92239">
        <w:rPr>
          <w:lang w:val="en-US"/>
        </w:rPr>
        <w:t xml:space="preserve"> in Primary education.</w:t>
      </w:r>
      <w:r w:rsidR="0060735B">
        <w:rPr>
          <w:lang w:val="en-US"/>
        </w:rPr>
        <w:t xml:space="preserve"> Even though the fifth quintile is the main beneficiary</w:t>
      </w:r>
      <w:r w:rsidR="00D91FFF">
        <w:rPr>
          <w:lang w:val="en-US"/>
        </w:rPr>
        <w:t xml:space="preserve"> in Tertiary education</w:t>
      </w:r>
      <w:r w:rsidR="001A3F6B">
        <w:rPr>
          <w:lang w:val="en-US"/>
        </w:rPr>
        <w:t>, this facility level represents 13.70% of total</w:t>
      </w:r>
      <w:r w:rsidR="00BF6A64">
        <w:rPr>
          <w:lang w:val="en-US"/>
        </w:rPr>
        <w:t xml:space="preserve"> expenditure.</w:t>
      </w:r>
    </w:p>
    <w:p w:rsidR="00AF4BAF" w:rsidRPr="00AF4BAF" w:rsidRDefault="00AF4BAF" w:rsidP="00AF4BAF">
      <w:pPr>
        <w:spacing w:after="0"/>
        <w:rPr>
          <w:lang w:val="en-US"/>
        </w:rPr>
      </w:pPr>
    </w:p>
    <w:p w:rsidR="00E6087B" w:rsidRPr="005030C3" w:rsidRDefault="004C437A" w:rsidP="00E6087B">
      <w:pPr>
        <w:pStyle w:val="Caption"/>
        <w:spacing w:after="0"/>
        <w:jc w:val="center"/>
        <w:rPr>
          <w:sz w:val="22"/>
          <w:szCs w:val="22"/>
          <w:lang w:val="en-US"/>
        </w:rPr>
      </w:pPr>
      <w:r>
        <w:rPr>
          <w:sz w:val="22"/>
          <w:szCs w:val="22"/>
          <w:lang w:val="en-US"/>
        </w:rPr>
        <w:t>Table</w:t>
      </w:r>
      <w:r w:rsidR="00E6087B">
        <w:rPr>
          <w:sz w:val="22"/>
          <w:szCs w:val="22"/>
          <w:lang w:val="en-US"/>
        </w:rPr>
        <w:t xml:space="preserve"> 15</w:t>
      </w:r>
      <w:r w:rsidR="00E6087B" w:rsidRPr="005030C3">
        <w:rPr>
          <w:sz w:val="22"/>
          <w:szCs w:val="22"/>
          <w:lang w:val="en-US"/>
        </w:rPr>
        <w:t>: Distribution of benefits</w:t>
      </w:r>
      <w:r w:rsidR="00E6087B">
        <w:rPr>
          <w:sz w:val="22"/>
          <w:szCs w:val="22"/>
          <w:lang w:val="en-US"/>
        </w:rPr>
        <w:t xml:space="preserve"> of budget in Macro-region </w:t>
      </w:r>
      <w:r w:rsidR="003064A7">
        <w:rPr>
          <w:sz w:val="22"/>
          <w:szCs w:val="22"/>
          <w:lang w:val="en-US"/>
        </w:rPr>
        <w:t>4</w:t>
      </w:r>
      <w:r w:rsidR="00E6087B" w:rsidRPr="005030C3">
        <w:rPr>
          <w:sz w:val="22"/>
          <w:szCs w:val="22"/>
          <w:lang w:val="en-US"/>
        </w:rPr>
        <w:t>, by facility level and expenditure quintile, 2008</w:t>
      </w:r>
    </w:p>
    <w:tbl>
      <w:tblPr>
        <w:tblW w:w="8904" w:type="dxa"/>
        <w:jc w:val="center"/>
        <w:tblInd w:w="55" w:type="dxa"/>
        <w:tblCellMar>
          <w:left w:w="70" w:type="dxa"/>
          <w:right w:w="70" w:type="dxa"/>
        </w:tblCellMar>
        <w:tblLook w:val="04A0"/>
      </w:tblPr>
      <w:tblGrid>
        <w:gridCol w:w="2142"/>
        <w:gridCol w:w="882"/>
        <w:gridCol w:w="1139"/>
        <w:gridCol w:w="1139"/>
        <w:gridCol w:w="1139"/>
        <w:gridCol w:w="1139"/>
        <w:gridCol w:w="1324"/>
      </w:tblGrid>
      <w:tr w:rsidR="00EB531B" w:rsidRPr="00EB531B" w:rsidTr="00370C66">
        <w:trPr>
          <w:trHeight w:val="300"/>
          <w:jc w:val="center"/>
        </w:trPr>
        <w:tc>
          <w:tcPr>
            <w:tcW w:w="2142" w:type="dxa"/>
            <w:tcBorders>
              <w:top w:val="nil"/>
              <w:left w:val="nil"/>
              <w:bottom w:val="nil"/>
              <w:right w:val="nil"/>
            </w:tcBorders>
            <w:shd w:val="clear" w:color="000000" w:fill="FFFFFF"/>
            <w:noWrap/>
            <w:vAlign w:val="bottom"/>
            <w:hideMark/>
          </w:tcPr>
          <w:p w:rsidR="00EB531B" w:rsidRPr="00EB531B" w:rsidRDefault="00EB531B" w:rsidP="00EB531B">
            <w:pPr>
              <w:spacing w:after="0" w:line="240" w:lineRule="auto"/>
              <w:jc w:val="center"/>
              <w:rPr>
                <w:rFonts w:ascii="Calibri" w:eastAsia="Times New Roman" w:hAnsi="Calibri" w:cs="Times New Roman"/>
                <w:b/>
                <w:bCs/>
                <w:color w:val="000000"/>
                <w:lang w:eastAsia="es-ES"/>
              </w:rPr>
            </w:pPr>
            <w:r w:rsidRPr="00EB531B">
              <w:rPr>
                <w:rFonts w:ascii="Calibri" w:eastAsia="Times New Roman" w:hAnsi="Calibri" w:cs="Times New Roman"/>
                <w:b/>
                <w:bCs/>
                <w:color w:val="000000"/>
                <w:lang w:eastAsia="es-ES"/>
              </w:rPr>
              <w:t>Selva</w:t>
            </w:r>
          </w:p>
        </w:tc>
        <w:tc>
          <w:tcPr>
            <w:tcW w:w="6762" w:type="dxa"/>
            <w:gridSpan w:val="6"/>
            <w:tcBorders>
              <w:top w:val="single" w:sz="4" w:space="0" w:color="auto"/>
              <w:left w:val="single" w:sz="4" w:space="0" w:color="auto"/>
              <w:bottom w:val="single" w:sz="4" w:space="0" w:color="auto"/>
              <w:right w:val="single" w:sz="4" w:space="0" w:color="auto"/>
            </w:tcBorders>
            <w:shd w:val="clear" w:color="000000" w:fill="B2A1C7"/>
            <w:noWrap/>
            <w:vAlign w:val="bottom"/>
            <w:hideMark/>
          </w:tcPr>
          <w:p w:rsidR="00EB531B" w:rsidRPr="00EB531B" w:rsidRDefault="00EB531B" w:rsidP="00EB531B">
            <w:pPr>
              <w:spacing w:after="0" w:line="240" w:lineRule="auto"/>
              <w:jc w:val="center"/>
              <w:rPr>
                <w:rFonts w:ascii="Calibri" w:eastAsia="Times New Roman" w:hAnsi="Calibri" w:cs="Times New Roman"/>
                <w:b/>
                <w:bCs/>
                <w:color w:val="000000"/>
                <w:lang w:eastAsia="es-ES"/>
              </w:rPr>
            </w:pPr>
            <w:proofErr w:type="spellStart"/>
            <w:r w:rsidRPr="00EB531B">
              <w:rPr>
                <w:rFonts w:ascii="Calibri" w:eastAsia="Times New Roman" w:hAnsi="Calibri" w:cs="Times New Roman"/>
                <w:b/>
                <w:bCs/>
                <w:color w:val="000000"/>
                <w:lang w:eastAsia="es-ES"/>
              </w:rPr>
              <w:t>Expenditure</w:t>
            </w:r>
            <w:proofErr w:type="spellEnd"/>
            <w:r w:rsidRPr="00EB531B">
              <w:rPr>
                <w:rFonts w:ascii="Calibri" w:eastAsia="Times New Roman" w:hAnsi="Calibri" w:cs="Times New Roman"/>
                <w:b/>
                <w:bCs/>
                <w:color w:val="000000"/>
                <w:lang w:eastAsia="es-ES"/>
              </w:rPr>
              <w:t xml:space="preserve"> </w:t>
            </w:r>
            <w:proofErr w:type="spellStart"/>
            <w:r w:rsidRPr="00EB531B">
              <w:rPr>
                <w:rFonts w:ascii="Calibri" w:eastAsia="Times New Roman" w:hAnsi="Calibri" w:cs="Times New Roman"/>
                <w:b/>
                <w:bCs/>
                <w:color w:val="000000"/>
                <w:lang w:eastAsia="es-ES"/>
              </w:rPr>
              <w:t>quintile</w:t>
            </w:r>
            <w:proofErr w:type="spellEnd"/>
          </w:p>
        </w:tc>
      </w:tr>
      <w:tr w:rsidR="00EB531B" w:rsidRPr="00EB531B" w:rsidTr="00370C66">
        <w:trPr>
          <w:trHeight w:val="300"/>
          <w:jc w:val="center"/>
        </w:trPr>
        <w:tc>
          <w:tcPr>
            <w:tcW w:w="2142" w:type="dxa"/>
            <w:tcBorders>
              <w:top w:val="single" w:sz="4" w:space="0" w:color="auto"/>
              <w:left w:val="single" w:sz="4" w:space="0" w:color="auto"/>
              <w:bottom w:val="single" w:sz="4" w:space="0" w:color="auto"/>
              <w:right w:val="single" w:sz="4" w:space="0" w:color="auto"/>
            </w:tcBorders>
            <w:shd w:val="clear" w:color="000000" w:fill="B2A1C7"/>
            <w:noWrap/>
            <w:vAlign w:val="bottom"/>
            <w:hideMark/>
          </w:tcPr>
          <w:p w:rsidR="00EB531B" w:rsidRPr="00EB531B" w:rsidRDefault="00EB531B" w:rsidP="00EB531B">
            <w:pPr>
              <w:spacing w:after="0" w:line="240" w:lineRule="auto"/>
              <w:ind w:firstLineChars="100" w:firstLine="221"/>
              <w:rPr>
                <w:rFonts w:ascii="Calibri" w:eastAsia="Times New Roman" w:hAnsi="Calibri" w:cs="Times New Roman"/>
                <w:b/>
                <w:bCs/>
                <w:color w:val="000000"/>
                <w:lang w:eastAsia="es-ES"/>
              </w:rPr>
            </w:pPr>
            <w:proofErr w:type="spellStart"/>
            <w:r w:rsidRPr="00EB531B">
              <w:rPr>
                <w:rFonts w:ascii="Calibri" w:eastAsia="Times New Roman" w:hAnsi="Calibri" w:cs="Times New Roman"/>
                <w:b/>
                <w:bCs/>
                <w:color w:val="000000"/>
                <w:lang w:eastAsia="es-ES"/>
              </w:rPr>
              <w:t>Education</w:t>
            </w:r>
            <w:proofErr w:type="spellEnd"/>
            <w:r w:rsidRPr="00EB531B">
              <w:rPr>
                <w:rFonts w:ascii="Calibri" w:eastAsia="Times New Roman" w:hAnsi="Calibri" w:cs="Times New Roman"/>
                <w:b/>
                <w:bCs/>
                <w:color w:val="000000"/>
                <w:lang w:eastAsia="es-ES"/>
              </w:rPr>
              <w:t xml:space="preserve"> </w:t>
            </w:r>
            <w:proofErr w:type="spellStart"/>
            <w:r w:rsidRPr="00EB531B">
              <w:rPr>
                <w:rFonts w:ascii="Calibri" w:eastAsia="Times New Roman" w:hAnsi="Calibri" w:cs="Times New Roman"/>
                <w:b/>
                <w:bCs/>
                <w:color w:val="000000"/>
                <w:lang w:eastAsia="es-ES"/>
              </w:rPr>
              <w:t>level</w:t>
            </w:r>
            <w:proofErr w:type="spellEnd"/>
          </w:p>
        </w:tc>
        <w:tc>
          <w:tcPr>
            <w:tcW w:w="882" w:type="dxa"/>
            <w:tcBorders>
              <w:top w:val="nil"/>
              <w:left w:val="nil"/>
              <w:bottom w:val="nil"/>
              <w:right w:val="nil"/>
            </w:tcBorders>
            <w:shd w:val="clear" w:color="000000" w:fill="B8CCE4"/>
            <w:noWrap/>
            <w:vAlign w:val="bottom"/>
            <w:hideMark/>
          </w:tcPr>
          <w:p w:rsidR="00EB531B" w:rsidRPr="00EB531B" w:rsidRDefault="00EB531B" w:rsidP="00EB531B">
            <w:pPr>
              <w:spacing w:after="0" w:line="240" w:lineRule="auto"/>
              <w:jc w:val="right"/>
              <w:rPr>
                <w:rFonts w:ascii="Calibri" w:eastAsia="Times New Roman" w:hAnsi="Calibri" w:cs="Times New Roman"/>
                <w:color w:val="000000"/>
                <w:lang w:eastAsia="es-ES"/>
              </w:rPr>
            </w:pPr>
            <w:r w:rsidRPr="00EB531B">
              <w:rPr>
                <w:rFonts w:ascii="Calibri" w:eastAsia="Times New Roman" w:hAnsi="Calibri" w:cs="Times New Roman"/>
                <w:color w:val="000000"/>
                <w:lang w:eastAsia="es-ES"/>
              </w:rPr>
              <w:t>1</w:t>
            </w:r>
          </w:p>
        </w:tc>
        <w:tc>
          <w:tcPr>
            <w:tcW w:w="1139" w:type="dxa"/>
            <w:tcBorders>
              <w:top w:val="nil"/>
              <w:left w:val="nil"/>
              <w:bottom w:val="nil"/>
              <w:right w:val="nil"/>
            </w:tcBorders>
            <w:shd w:val="clear" w:color="000000" w:fill="B8CCE4"/>
            <w:noWrap/>
            <w:vAlign w:val="bottom"/>
            <w:hideMark/>
          </w:tcPr>
          <w:p w:rsidR="00EB531B" w:rsidRPr="00EB531B" w:rsidRDefault="00EB531B" w:rsidP="00EB531B">
            <w:pPr>
              <w:spacing w:after="0" w:line="240" w:lineRule="auto"/>
              <w:jc w:val="right"/>
              <w:rPr>
                <w:rFonts w:ascii="Calibri" w:eastAsia="Times New Roman" w:hAnsi="Calibri" w:cs="Times New Roman"/>
                <w:color w:val="000000"/>
                <w:lang w:eastAsia="es-ES"/>
              </w:rPr>
            </w:pPr>
            <w:r w:rsidRPr="00EB531B">
              <w:rPr>
                <w:rFonts w:ascii="Calibri" w:eastAsia="Times New Roman" w:hAnsi="Calibri" w:cs="Times New Roman"/>
                <w:color w:val="000000"/>
                <w:lang w:eastAsia="es-ES"/>
              </w:rPr>
              <w:t>2</w:t>
            </w:r>
          </w:p>
        </w:tc>
        <w:tc>
          <w:tcPr>
            <w:tcW w:w="1139" w:type="dxa"/>
            <w:tcBorders>
              <w:top w:val="nil"/>
              <w:left w:val="nil"/>
              <w:bottom w:val="nil"/>
              <w:right w:val="nil"/>
            </w:tcBorders>
            <w:shd w:val="clear" w:color="000000" w:fill="B8CCE4"/>
            <w:noWrap/>
            <w:vAlign w:val="bottom"/>
            <w:hideMark/>
          </w:tcPr>
          <w:p w:rsidR="00EB531B" w:rsidRPr="00EB531B" w:rsidRDefault="00EB531B" w:rsidP="00EB531B">
            <w:pPr>
              <w:spacing w:after="0" w:line="240" w:lineRule="auto"/>
              <w:jc w:val="right"/>
              <w:rPr>
                <w:rFonts w:ascii="Calibri" w:eastAsia="Times New Roman" w:hAnsi="Calibri" w:cs="Times New Roman"/>
                <w:color w:val="000000"/>
                <w:lang w:eastAsia="es-ES"/>
              </w:rPr>
            </w:pPr>
            <w:r w:rsidRPr="00EB531B">
              <w:rPr>
                <w:rFonts w:ascii="Calibri" w:eastAsia="Times New Roman" w:hAnsi="Calibri" w:cs="Times New Roman"/>
                <w:color w:val="000000"/>
                <w:lang w:eastAsia="es-ES"/>
              </w:rPr>
              <w:t>3</w:t>
            </w:r>
          </w:p>
        </w:tc>
        <w:tc>
          <w:tcPr>
            <w:tcW w:w="1139" w:type="dxa"/>
            <w:tcBorders>
              <w:top w:val="nil"/>
              <w:left w:val="nil"/>
              <w:bottom w:val="nil"/>
              <w:right w:val="nil"/>
            </w:tcBorders>
            <w:shd w:val="clear" w:color="000000" w:fill="B8CCE4"/>
            <w:noWrap/>
            <w:vAlign w:val="bottom"/>
            <w:hideMark/>
          </w:tcPr>
          <w:p w:rsidR="00EB531B" w:rsidRPr="00EB531B" w:rsidRDefault="00EB531B" w:rsidP="00EB531B">
            <w:pPr>
              <w:spacing w:after="0" w:line="240" w:lineRule="auto"/>
              <w:jc w:val="right"/>
              <w:rPr>
                <w:rFonts w:ascii="Calibri" w:eastAsia="Times New Roman" w:hAnsi="Calibri" w:cs="Times New Roman"/>
                <w:color w:val="000000"/>
                <w:lang w:eastAsia="es-ES"/>
              </w:rPr>
            </w:pPr>
            <w:r w:rsidRPr="00EB531B">
              <w:rPr>
                <w:rFonts w:ascii="Calibri" w:eastAsia="Times New Roman" w:hAnsi="Calibri" w:cs="Times New Roman"/>
                <w:color w:val="000000"/>
                <w:lang w:eastAsia="es-ES"/>
              </w:rPr>
              <w:t>4</w:t>
            </w:r>
          </w:p>
        </w:tc>
        <w:tc>
          <w:tcPr>
            <w:tcW w:w="1139" w:type="dxa"/>
            <w:tcBorders>
              <w:top w:val="nil"/>
              <w:left w:val="nil"/>
              <w:bottom w:val="nil"/>
              <w:right w:val="nil"/>
            </w:tcBorders>
            <w:shd w:val="clear" w:color="000000" w:fill="B8CCE4"/>
            <w:noWrap/>
            <w:vAlign w:val="bottom"/>
            <w:hideMark/>
          </w:tcPr>
          <w:p w:rsidR="00EB531B" w:rsidRPr="00EB531B" w:rsidRDefault="00EB531B" w:rsidP="00EB531B">
            <w:pPr>
              <w:spacing w:after="0" w:line="240" w:lineRule="auto"/>
              <w:jc w:val="right"/>
              <w:rPr>
                <w:rFonts w:ascii="Calibri" w:eastAsia="Times New Roman" w:hAnsi="Calibri" w:cs="Times New Roman"/>
                <w:color w:val="000000"/>
                <w:lang w:eastAsia="es-ES"/>
              </w:rPr>
            </w:pPr>
            <w:r w:rsidRPr="00EB531B">
              <w:rPr>
                <w:rFonts w:ascii="Calibri" w:eastAsia="Times New Roman" w:hAnsi="Calibri" w:cs="Times New Roman"/>
                <w:color w:val="000000"/>
                <w:lang w:eastAsia="es-ES"/>
              </w:rPr>
              <w:t>5</w:t>
            </w:r>
          </w:p>
        </w:tc>
        <w:tc>
          <w:tcPr>
            <w:tcW w:w="1324" w:type="dxa"/>
            <w:tcBorders>
              <w:top w:val="nil"/>
              <w:left w:val="nil"/>
              <w:bottom w:val="single" w:sz="4" w:space="0" w:color="auto"/>
              <w:right w:val="single" w:sz="4" w:space="0" w:color="auto"/>
            </w:tcBorders>
            <w:shd w:val="clear" w:color="000000" w:fill="B8CCE4"/>
            <w:noWrap/>
            <w:vAlign w:val="bottom"/>
            <w:hideMark/>
          </w:tcPr>
          <w:p w:rsidR="00EB531B" w:rsidRPr="00EB531B" w:rsidRDefault="00EB531B" w:rsidP="00EB531B">
            <w:pPr>
              <w:spacing w:after="0" w:line="240" w:lineRule="auto"/>
              <w:jc w:val="center"/>
              <w:rPr>
                <w:rFonts w:ascii="Calibri" w:eastAsia="Times New Roman" w:hAnsi="Calibri" w:cs="Times New Roman"/>
                <w:b/>
                <w:bCs/>
                <w:color w:val="000000"/>
                <w:lang w:eastAsia="es-ES"/>
              </w:rPr>
            </w:pPr>
            <w:r w:rsidRPr="00EB531B">
              <w:rPr>
                <w:rFonts w:ascii="Calibri" w:eastAsia="Times New Roman" w:hAnsi="Calibri" w:cs="Times New Roman"/>
                <w:b/>
                <w:bCs/>
                <w:color w:val="000000"/>
                <w:lang w:eastAsia="es-ES"/>
              </w:rPr>
              <w:t>Total</w:t>
            </w:r>
          </w:p>
        </w:tc>
      </w:tr>
      <w:tr w:rsidR="00EB531B" w:rsidRPr="00EB531B" w:rsidTr="00370C66">
        <w:trPr>
          <w:trHeight w:val="300"/>
          <w:jc w:val="center"/>
        </w:trPr>
        <w:tc>
          <w:tcPr>
            <w:tcW w:w="2142" w:type="dxa"/>
            <w:tcBorders>
              <w:top w:val="nil"/>
              <w:left w:val="single" w:sz="4" w:space="0" w:color="auto"/>
              <w:bottom w:val="single" w:sz="4" w:space="0" w:color="auto"/>
              <w:right w:val="single" w:sz="4" w:space="0" w:color="auto"/>
            </w:tcBorders>
            <w:shd w:val="clear" w:color="000000" w:fill="FFFFFF"/>
            <w:noWrap/>
            <w:vAlign w:val="bottom"/>
            <w:hideMark/>
          </w:tcPr>
          <w:p w:rsidR="00EB531B" w:rsidRPr="00EB531B" w:rsidRDefault="00EB531B" w:rsidP="00EB531B">
            <w:pPr>
              <w:spacing w:after="0" w:line="240" w:lineRule="auto"/>
              <w:ind w:firstLineChars="100" w:firstLine="221"/>
              <w:rPr>
                <w:rFonts w:ascii="Calibri" w:eastAsia="Times New Roman" w:hAnsi="Calibri" w:cs="Times New Roman"/>
                <w:b/>
                <w:bCs/>
                <w:color w:val="000000"/>
                <w:lang w:eastAsia="es-ES"/>
              </w:rPr>
            </w:pPr>
            <w:proofErr w:type="spellStart"/>
            <w:r w:rsidRPr="00EB531B">
              <w:rPr>
                <w:rFonts w:ascii="Calibri" w:eastAsia="Times New Roman" w:hAnsi="Calibri" w:cs="Times New Roman"/>
                <w:b/>
                <w:bCs/>
                <w:color w:val="000000"/>
                <w:lang w:eastAsia="es-ES"/>
              </w:rPr>
              <w:t>Preschool</w:t>
            </w:r>
            <w:proofErr w:type="spellEnd"/>
          </w:p>
        </w:tc>
        <w:tc>
          <w:tcPr>
            <w:tcW w:w="882" w:type="dxa"/>
            <w:tcBorders>
              <w:top w:val="single" w:sz="4" w:space="0" w:color="auto"/>
              <w:left w:val="nil"/>
              <w:bottom w:val="single" w:sz="4" w:space="0" w:color="auto"/>
              <w:right w:val="single" w:sz="4" w:space="0" w:color="auto"/>
            </w:tcBorders>
            <w:shd w:val="clear" w:color="auto" w:fill="auto"/>
            <w:noWrap/>
            <w:vAlign w:val="bottom"/>
            <w:hideMark/>
          </w:tcPr>
          <w:p w:rsidR="00EB531B" w:rsidRPr="00EB531B" w:rsidRDefault="00EB531B" w:rsidP="00EB531B">
            <w:pPr>
              <w:spacing w:after="0" w:line="240" w:lineRule="auto"/>
              <w:jc w:val="right"/>
              <w:rPr>
                <w:rFonts w:ascii="Calibri" w:eastAsia="Times New Roman" w:hAnsi="Calibri" w:cs="Times New Roman"/>
                <w:color w:val="000000"/>
                <w:lang w:eastAsia="es-ES"/>
              </w:rPr>
            </w:pPr>
            <w:r w:rsidRPr="00EB531B">
              <w:rPr>
                <w:rFonts w:ascii="Calibri" w:eastAsia="Times New Roman" w:hAnsi="Calibri" w:cs="Times New Roman"/>
                <w:color w:val="000000"/>
                <w:lang w:eastAsia="es-ES"/>
              </w:rPr>
              <w:t>2.75%</w:t>
            </w:r>
          </w:p>
        </w:tc>
        <w:tc>
          <w:tcPr>
            <w:tcW w:w="1139" w:type="dxa"/>
            <w:tcBorders>
              <w:top w:val="single" w:sz="4" w:space="0" w:color="auto"/>
              <w:left w:val="nil"/>
              <w:bottom w:val="single" w:sz="4" w:space="0" w:color="auto"/>
              <w:right w:val="single" w:sz="4" w:space="0" w:color="auto"/>
            </w:tcBorders>
            <w:shd w:val="clear" w:color="auto" w:fill="auto"/>
            <w:noWrap/>
            <w:vAlign w:val="bottom"/>
            <w:hideMark/>
          </w:tcPr>
          <w:p w:rsidR="00EB531B" w:rsidRPr="00EB531B" w:rsidRDefault="00EB531B" w:rsidP="00EB531B">
            <w:pPr>
              <w:spacing w:after="0" w:line="240" w:lineRule="auto"/>
              <w:jc w:val="right"/>
              <w:rPr>
                <w:rFonts w:ascii="Calibri" w:eastAsia="Times New Roman" w:hAnsi="Calibri" w:cs="Times New Roman"/>
                <w:color w:val="000000"/>
                <w:lang w:eastAsia="es-ES"/>
              </w:rPr>
            </w:pPr>
            <w:r w:rsidRPr="00EB531B">
              <w:rPr>
                <w:rFonts w:ascii="Calibri" w:eastAsia="Times New Roman" w:hAnsi="Calibri" w:cs="Times New Roman"/>
                <w:color w:val="000000"/>
                <w:lang w:eastAsia="es-ES"/>
              </w:rPr>
              <w:t>2.32%</w:t>
            </w:r>
          </w:p>
        </w:tc>
        <w:tc>
          <w:tcPr>
            <w:tcW w:w="1139" w:type="dxa"/>
            <w:tcBorders>
              <w:top w:val="single" w:sz="4" w:space="0" w:color="auto"/>
              <w:left w:val="nil"/>
              <w:bottom w:val="single" w:sz="4" w:space="0" w:color="auto"/>
              <w:right w:val="single" w:sz="4" w:space="0" w:color="auto"/>
            </w:tcBorders>
            <w:shd w:val="clear" w:color="auto" w:fill="auto"/>
            <w:noWrap/>
            <w:vAlign w:val="bottom"/>
            <w:hideMark/>
          </w:tcPr>
          <w:p w:rsidR="00EB531B" w:rsidRPr="00EB531B" w:rsidRDefault="00EB531B" w:rsidP="00EB531B">
            <w:pPr>
              <w:spacing w:after="0" w:line="240" w:lineRule="auto"/>
              <w:jc w:val="right"/>
              <w:rPr>
                <w:rFonts w:ascii="Calibri" w:eastAsia="Times New Roman" w:hAnsi="Calibri" w:cs="Times New Roman"/>
                <w:color w:val="000000"/>
                <w:lang w:eastAsia="es-ES"/>
              </w:rPr>
            </w:pPr>
            <w:r w:rsidRPr="00EB531B">
              <w:rPr>
                <w:rFonts w:ascii="Calibri" w:eastAsia="Times New Roman" w:hAnsi="Calibri" w:cs="Times New Roman"/>
                <w:color w:val="000000"/>
                <w:lang w:eastAsia="es-ES"/>
              </w:rPr>
              <w:t>2.20%</w:t>
            </w:r>
          </w:p>
        </w:tc>
        <w:tc>
          <w:tcPr>
            <w:tcW w:w="1139" w:type="dxa"/>
            <w:tcBorders>
              <w:top w:val="single" w:sz="4" w:space="0" w:color="auto"/>
              <w:left w:val="nil"/>
              <w:bottom w:val="single" w:sz="4" w:space="0" w:color="auto"/>
              <w:right w:val="single" w:sz="4" w:space="0" w:color="auto"/>
            </w:tcBorders>
            <w:shd w:val="clear" w:color="auto" w:fill="auto"/>
            <w:noWrap/>
            <w:vAlign w:val="bottom"/>
            <w:hideMark/>
          </w:tcPr>
          <w:p w:rsidR="00EB531B" w:rsidRPr="00EB531B" w:rsidRDefault="00EB531B" w:rsidP="00EB531B">
            <w:pPr>
              <w:spacing w:after="0" w:line="240" w:lineRule="auto"/>
              <w:jc w:val="right"/>
              <w:rPr>
                <w:rFonts w:ascii="Calibri" w:eastAsia="Times New Roman" w:hAnsi="Calibri" w:cs="Times New Roman"/>
                <w:color w:val="000000"/>
                <w:lang w:eastAsia="es-ES"/>
              </w:rPr>
            </w:pPr>
            <w:r w:rsidRPr="00EB531B">
              <w:rPr>
                <w:rFonts w:ascii="Calibri" w:eastAsia="Times New Roman" w:hAnsi="Calibri" w:cs="Times New Roman"/>
                <w:color w:val="000000"/>
                <w:lang w:eastAsia="es-ES"/>
              </w:rPr>
              <w:t>1.96%</w:t>
            </w:r>
          </w:p>
        </w:tc>
        <w:tc>
          <w:tcPr>
            <w:tcW w:w="1139" w:type="dxa"/>
            <w:tcBorders>
              <w:top w:val="single" w:sz="4" w:space="0" w:color="auto"/>
              <w:left w:val="nil"/>
              <w:bottom w:val="single" w:sz="4" w:space="0" w:color="auto"/>
              <w:right w:val="single" w:sz="4" w:space="0" w:color="auto"/>
            </w:tcBorders>
            <w:shd w:val="clear" w:color="auto" w:fill="auto"/>
            <w:noWrap/>
            <w:vAlign w:val="bottom"/>
            <w:hideMark/>
          </w:tcPr>
          <w:p w:rsidR="00EB531B" w:rsidRPr="00EB531B" w:rsidRDefault="00EB531B" w:rsidP="00EB531B">
            <w:pPr>
              <w:spacing w:after="0" w:line="240" w:lineRule="auto"/>
              <w:jc w:val="right"/>
              <w:rPr>
                <w:rFonts w:ascii="Calibri" w:eastAsia="Times New Roman" w:hAnsi="Calibri" w:cs="Times New Roman"/>
                <w:color w:val="000000"/>
                <w:lang w:eastAsia="es-ES"/>
              </w:rPr>
            </w:pPr>
            <w:r w:rsidRPr="00EB531B">
              <w:rPr>
                <w:rFonts w:ascii="Calibri" w:eastAsia="Times New Roman" w:hAnsi="Calibri" w:cs="Times New Roman"/>
                <w:color w:val="000000"/>
                <w:lang w:eastAsia="es-ES"/>
              </w:rPr>
              <w:t>1.51%</w:t>
            </w:r>
          </w:p>
        </w:tc>
        <w:tc>
          <w:tcPr>
            <w:tcW w:w="1324" w:type="dxa"/>
            <w:tcBorders>
              <w:top w:val="nil"/>
              <w:left w:val="nil"/>
              <w:bottom w:val="single" w:sz="4" w:space="0" w:color="auto"/>
              <w:right w:val="single" w:sz="4" w:space="0" w:color="auto"/>
            </w:tcBorders>
            <w:shd w:val="clear" w:color="auto" w:fill="auto"/>
            <w:noWrap/>
            <w:vAlign w:val="bottom"/>
            <w:hideMark/>
          </w:tcPr>
          <w:p w:rsidR="00EB531B" w:rsidRPr="00EB531B" w:rsidRDefault="00EB531B" w:rsidP="00EB531B">
            <w:pPr>
              <w:spacing w:after="0" w:line="240" w:lineRule="auto"/>
              <w:jc w:val="right"/>
              <w:rPr>
                <w:rFonts w:ascii="Calibri" w:eastAsia="Times New Roman" w:hAnsi="Calibri" w:cs="Times New Roman"/>
                <w:color w:val="000000"/>
                <w:lang w:eastAsia="es-ES"/>
              </w:rPr>
            </w:pPr>
            <w:r w:rsidRPr="00EB531B">
              <w:rPr>
                <w:rFonts w:ascii="Calibri" w:eastAsia="Times New Roman" w:hAnsi="Calibri" w:cs="Times New Roman"/>
                <w:color w:val="000000"/>
                <w:lang w:eastAsia="es-ES"/>
              </w:rPr>
              <w:t>10.73%</w:t>
            </w:r>
          </w:p>
        </w:tc>
      </w:tr>
      <w:tr w:rsidR="00EB531B" w:rsidRPr="00EB531B" w:rsidTr="00370C66">
        <w:trPr>
          <w:trHeight w:val="300"/>
          <w:jc w:val="center"/>
        </w:trPr>
        <w:tc>
          <w:tcPr>
            <w:tcW w:w="2142" w:type="dxa"/>
            <w:tcBorders>
              <w:top w:val="nil"/>
              <w:left w:val="single" w:sz="4" w:space="0" w:color="auto"/>
              <w:bottom w:val="single" w:sz="4" w:space="0" w:color="auto"/>
              <w:right w:val="single" w:sz="4" w:space="0" w:color="auto"/>
            </w:tcBorders>
            <w:shd w:val="clear" w:color="000000" w:fill="FFFFFF"/>
            <w:noWrap/>
            <w:vAlign w:val="bottom"/>
            <w:hideMark/>
          </w:tcPr>
          <w:p w:rsidR="00EB531B" w:rsidRPr="00EB531B" w:rsidRDefault="00EB531B" w:rsidP="00EB531B">
            <w:pPr>
              <w:spacing w:after="0" w:line="240" w:lineRule="auto"/>
              <w:ind w:firstLineChars="100" w:firstLine="221"/>
              <w:rPr>
                <w:rFonts w:ascii="Calibri" w:eastAsia="Times New Roman" w:hAnsi="Calibri" w:cs="Times New Roman"/>
                <w:b/>
                <w:bCs/>
                <w:color w:val="000000"/>
                <w:lang w:eastAsia="es-ES"/>
              </w:rPr>
            </w:pPr>
            <w:proofErr w:type="spellStart"/>
            <w:r w:rsidRPr="00EB531B">
              <w:rPr>
                <w:rFonts w:ascii="Calibri" w:eastAsia="Times New Roman" w:hAnsi="Calibri" w:cs="Times New Roman"/>
                <w:b/>
                <w:bCs/>
                <w:color w:val="000000"/>
                <w:lang w:eastAsia="es-ES"/>
              </w:rPr>
              <w:t>Primary</w:t>
            </w:r>
            <w:proofErr w:type="spellEnd"/>
          </w:p>
        </w:tc>
        <w:tc>
          <w:tcPr>
            <w:tcW w:w="882" w:type="dxa"/>
            <w:tcBorders>
              <w:top w:val="nil"/>
              <w:left w:val="nil"/>
              <w:bottom w:val="single" w:sz="4" w:space="0" w:color="auto"/>
              <w:right w:val="single" w:sz="4" w:space="0" w:color="auto"/>
            </w:tcBorders>
            <w:shd w:val="clear" w:color="auto" w:fill="auto"/>
            <w:noWrap/>
            <w:vAlign w:val="bottom"/>
            <w:hideMark/>
          </w:tcPr>
          <w:p w:rsidR="00EB531B" w:rsidRPr="00EB531B" w:rsidRDefault="00EB531B" w:rsidP="00EB531B">
            <w:pPr>
              <w:spacing w:after="0" w:line="240" w:lineRule="auto"/>
              <w:jc w:val="right"/>
              <w:rPr>
                <w:rFonts w:ascii="Calibri" w:eastAsia="Times New Roman" w:hAnsi="Calibri" w:cs="Times New Roman"/>
                <w:color w:val="000000"/>
                <w:lang w:eastAsia="es-ES"/>
              </w:rPr>
            </w:pPr>
            <w:r w:rsidRPr="00EB531B">
              <w:rPr>
                <w:rFonts w:ascii="Calibri" w:eastAsia="Times New Roman" w:hAnsi="Calibri" w:cs="Times New Roman"/>
                <w:color w:val="000000"/>
                <w:lang w:eastAsia="es-ES"/>
              </w:rPr>
              <w:t>13.03%</w:t>
            </w:r>
          </w:p>
        </w:tc>
        <w:tc>
          <w:tcPr>
            <w:tcW w:w="1139" w:type="dxa"/>
            <w:tcBorders>
              <w:top w:val="nil"/>
              <w:left w:val="nil"/>
              <w:bottom w:val="single" w:sz="4" w:space="0" w:color="auto"/>
              <w:right w:val="single" w:sz="4" w:space="0" w:color="auto"/>
            </w:tcBorders>
            <w:shd w:val="clear" w:color="auto" w:fill="auto"/>
            <w:noWrap/>
            <w:vAlign w:val="bottom"/>
            <w:hideMark/>
          </w:tcPr>
          <w:p w:rsidR="00EB531B" w:rsidRPr="00EB531B" w:rsidRDefault="00EB531B" w:rsidP="00EB531B">
            <w:pPr>
              <w:spacing w:after="0" w:line="240" w:lineRule="auto"/>
              <w:jc w:val="right"/>
              <w:rPr>
                <w:rFonts w:ascii="Calibri" w:eastAsia="Times New Roman" w:hAnsi="Calibri" w:cs="Times New Roman"/>
                <w:color w:val="000000"/>
                <w:lang w:eastAsia="es-ES"/>
              </w:rPr>
            </w:pPr>
            <w:r w:rsidRPr="00EB531B">
              <w:rPr>
                <w:rFonts w:ascii="Calibri" w:eastAsia="Times New Roman" w:hAnsi="Calibri" w:cs="Times New Roman"/>
                <w:color w:val="000000"/>
                <w:lang w:eastAsia="es-ES"/>
              </w:rPr>
              <w:t>10.44%</w:t>
            </w:r>
          </w:p>
        </w:tc>
        <w:tc>
          <w:tcPr>
            <w:tcW w:w="1139" w:type="dxa"/>
            <w:tcBorders>
              <w:top w:val="nil"/>
              <w:left w:val="nil"/>
              <w:bottom w:val="single" w:sz="4" w:space="0" w:color="auto"/>
              <w:right w:val="single" w:sz="4" w:space="0" w:color="auto"/>
            </w:tcBorders>
            <w:shd w:val="clear" w:color="auto" w:fill="auto"/>
            <w:noWrap/>
            <w:vAlign w:val="bottom"/>
            <w:hideMark/>
          </w:tcPr>
          <w:p w:rsidR="00EB531B" w:rsidRPr="00EB531B" w:rsidRDefault="00EB531B" w:rsidP="00EB531B">
            <w:pPr>
              <w:spacing w:after="0" w:line="240" w:lineRule="auto"/>
              <w:jc w:val="right"/>
              <w:rPr>
                <w:rFonts w:ascii="Calibri" w:eastAsia="Times New Roman" w:hAnsi="Calibri" w:cs="Times New Roman"/>
                <w:color w:val="000000"/>
                <w:lang w:eastAsia="es-ES"/>
              </w:rPr>
            </w:pPr>
            <w:r w:rsidRPr="00EB531B">
              <w:rPr>
                <w:rFonts w:ascii="Calibri" w:eastAsia="Times New Roman" w:hAnsi="Calibri" w:cs="Times New Roman"/>
                <w:color w:val="000000"/>
                <w:lang w:eastAsia="es-ES"/>
              </w:rPr>
              <w:t>8.65%</w:t>
            </w:r>
          </w:p>
        </w:tc>
        <w:tc>
          <w:tcPr>
            <w:tcW w:w="1139" w:type="dxa"/>
            <w:tcBorders>
              <w:top w:val="nil"/>
              <w:left w:val="nil"/>
              <w:bottom w:val="single" w:sz="4" w:space="0" w:color="auto"/>
              <w:right w:val="single" w:sz="4" w:space="0" w:color="auto"/>
            </w:tcBorders>
            <w:shd w:val="clear" w:color="auto" w:fill="auto"/>
            <w:noWrap/>
            <w:vAlign w:val="bottom"/>
            <w:hideMark/>
          </w:tcPr>
          <w:p w:rsidR="00EB531B" w:rsidRPr="00EB531B" w:rsidRDefault="00EB531B" w:rsidP="00EB531B">
            <w:pPr>
              <w:spacing w:after="0" w:line="240" w:lineRule="auto"/>
              <w:jc w:val="right"/>
              <w:rPr>
                <w:rFonts w:ascii="Calibri" w:eastAsia="Times New Roman" w:hAnsi="Calibri" w:cs="Times New Roman"/>
                <w:color w:val="000000"/>
                <w:lang w:eastAsia="es-ES"/>
              </w:rPr>
            </w:pPr>
            <w:r w:rsidRPr="00EB531B">
              <w:rPr>
                <w:rFonts w:ascii="Calibri" w:eastAsia="Times New Roman" w:hAnsi="Calibri" w:cs="Times New Roman"/>
                <w:color w:val="000000"/>
                <w:lang w:eastAsia="es-ES"/>
              </w:rPr>
              <w:t>7.09%</w:t>
            </w:r>
          </w:p>
        </w:tc>
        <w:tc>
          <w:tcPr>
            <w:tcW w:w="1139" w:type="dxa"/>
            <w:tcBorders>
              <w:top w:val="nil"/>
              <w:left w:val="nil"/>
              <w:bottom w:val="single" w:sz="4" w:space="0" w:color="auto"/>
              <w:right w:val="single" w:sz="4" w:space="0" w:color="auto"/>
            </w:tcBorders>
            <w:shd w:val="clear" w:color="auto" w:fill="auto"/>
            <w:noWrap/>
            <w:vAlign w:val="bottom"/>
            <w:hideMark/>
          </w:tcPr>
          <w:p w:rsidR="00EB531B" w:rsidRPr="00EB531B" w:rsidRDefault="00EB531B" w:rsidP="00EB531B">
            <w:pPr>
              <w:spacing w:after="0" w:line="240" w:lineRule="auto"/>
              <w:jc w:val="right"/>
              <w:rPr>
                <w:rFonts w:ascii="Calibri" w:eastAsia="Times New Roman" w:hAnsi="Calibri" w:cs="Times New Roman"/>
                <w:color w:val="000000"/>
                <w:lang w:eastAsia="es-ES"/>
              </w:rPr>
            </w:pPr>
            <w:r w:rsidRPr="00EB531B">
              <w:rPr>
                <w:rFonts w:ascii="Calibri" w:eastAsia="Times New Roman" w:hAnsi="Calibri" w:cs="Times New Roman"/>
                <w:color w:val="000000"/>
                <w:lang w:eastAsia="es-ES"/>
              </w:rPr>
              <w:t>5.31%</w:t>
            </w:r>
          </w:p>
        </w:tc>
        <w:tc>
          <w:tcPr>
            <w:tcW w:w="1324" w:type="dxa"/>
            <w:tcBorders>
              <w:top w:val="nil"/>
              <w:left w:val="nil"/>
              <w:bottom w:val="single" w:sz="4" w:space="0" w:color="auto"/>
              <w:right w:val="single" w:sz="4" w:space="0" w:color="auto"/>
            </w:tcBorders>
            <w:shd w:val="clear" w:color="auto" w:fill="auto"/>
            <w:noWrap/>
            <w:vAlign w:val="bottom"/>
            <w:hideMark/>
          </w:tcPr>
          <w:p w:rsidR="00EB531B" w:rsidRPr="00EB531B" w:rsidRDefault="00EB531B" w:rsidP="00EB531B">
            <w:pPr>
              <w:spacing w:after="0" w:line="240" w:lineRule="auto"/>
              <w:jc w:val="right"/>
              <w:rPr>
                <w:rFonts w:ascii="Calibri" w:eastAsia="Times New Roman" w:hAnsi="Calibri" w:cs="Times New Roman"/>
                <w:color w:val="000000"/>
                <w:lang w:eastAsia="es-ES"/>
              </w:rPr>
            </w:pPr>
            <w:r w:rsidRPr="00EB531B">
              <w:rPr>
                <w:rFonts w:ascii="Calibri" w:eastAsia="Times New Roman" w:hAnsi="Calibri" w:cs="Times New Roman"/>
                <w:color w:val="000000"/>
                <w:lang w:eastAsia="es-ES"/>
              </w:rPr>
              <w:t>44.52%</w:t>
            </w:r>
          </w:p>
        </w:tc>
      </w:tr>
      <w:tr w:rsidR="00EB531B" w:rsidRPr="00EB531B" w:rsidTr="00370C66">
        <w:trPr>
          <w:trHeight w:val="300"/>
          <w:jc w:val="center"/>
        </w:trPr>
        <w:tc>
          <w:tcPr>
            <w:tcW w:w="2142" w:type="dxa"/>
            <w:tcBorders>
              <w:top w:val="nil"/>
              <w:left w:val="single" w:sz="4" w:space="0" w:color="auto"/>
              <w:bottom w:val="single" w:sz="4" w:space="0" w:color="auto"/>
              <w:right w:val="single" w:sz="4" w:space="0" w:color="auto"/>
            </w:tcBorders>
            <w:shd w:val="clear" w:color="000000" w:fill="FFFFFF"/>
            <w:noWrap/>
            <w:vAlign w:val="bottom"/>
            <w:hideMark/>
          </w:tcPr>
          <w:p w:rsidR="00EB531B" w:rsidRPr="00EB531B" w:rsidRDefault="00EB531B" w:rsidP="00EB531B">
            <w:pPr>
              <w:spacing w:after="0" w:line="240" w:lineRule="auto"/>
              <w:ind w:firstLineChars="100" w:firstLine="221"/>
              <w:rPr>
                <w:rFonts w:ascii="Calibri" w:eastAsia="Times New Roman" w:hAnsi="Calibri" w:cs="Times New Roman"/>
                <w:b/>
                <w:bCs/>
                <w:color w:val="000000"/>
                <w:lang w:eastAsia="es-ES"/>
              </w:rPr>
            </w:pPr>
            <w:proofErr w:type="spellStart"/>
            <w:r w:rsidRPr="00EB531B">
              <w:rPr>
                <w:rFonts w:ascii="Calibri" w:eastAsia="Times New Roman" w:hAnsi="Calibri" w:cs="Times New Roman"/>
                <w:b/>
                <w:bCs/>
                <w:color w:val="000000"/>
                <w:lang w:eastAsia="es-ES"/>
              </w:rPr>
              <w:t>Secondary</w:t>
            </w:r>
            <w:proofErr w:type="spellEnd"/>
          </w:p>
        </w:tc>
        <w:tc>
          <w:tcPr>
            <w:tcW w:w="882" w:type="dxa"/>
            <w:tcBorders>
              <w:top w:val="nil"/>
              <w:left w:val="nil"/>
              <w:bottom w:val="single" w:sz="4" w:space="0" w:color="auto"/>
              <w:right w:val="single" w:sz="4" w:space="0" w:color="auto"/>
            </w:tcBorders>
            <w:shd w:val="clear" w:color="auto" w:fill="auto"/>
            <w:noWrap/>
            <w:vAlign w:val="bottom"/>
            <w:hideMark/>
          </w:tcPr>
          <w:p w:rsidR="00EB531B" w:rsidRPr="00EB531B" w:rsidRDefault="00EB531B" w:rsidP="00EB531B">
            <w:pPr>
              <w:spacing w:after="0" w:line="240" w:lineRule="auto"/>
              <w:jc w:val="right"/>
              <w:rPr>
                <w:rFonts w:ascii="Calibri" w:eastAsia="Times New Roman" w:hAnsi="Calibri" w:cs="Times New Roman"/>
                <w:color w:val="000000"/>
                <w:lang w:eastAsia="es-ES"/>
              </w:rPr>
            </w:pPr>
            <w:r w:rsidRPr="00EB531B">
              <w:rPr>
                <w:rFonts w:ascii="Calibri" w:eastAsia="Times New Roman" w:hAnsi="Calibri" w:cs="Times New Roman"/>
                <w:color w:val="000000"/>
                <w:lang w:eastAsia="es-ES"/>
              </w:rPr>
              <w:t>4.30%</w:t>
            </w:r>
          </w:p>
        </w:tc>
        <w:tc>
          <w:tcPr>
            <w:tcW w:w="1139" w:type="dxa"/>
            <w:tcBorders>
              <w:top w:val="nil"/>
              <w:left w:val="nil"/>
              <w:bottom w:val="single" w:sz="4" w:space="0" w:color="auto"/>
              <w:right w:val="single" w:sz="4" w:space="0" w:color="auto"/>
            </w:tcBorders>
            <w:shd w:val="clear" w:color="auto" w:fill="auto"/>
            <w:noWrap/>
            <w:vAlign w:val="bottom"/>
            <w:hideMark/>
          </w:tcPr>
          <w:p w:rsidR="00EB531B" w:rsidRPr="00EB531B" w:rsidRDefault="00EB531B" w:rsidP="00EB531B">
            <w:pPr>
              <w:spacing w:after="0" w:line="240" w:lineRule="auto"/>
              <w:jc w:val="right"/>
              <w:rPr>
                <w:rFonts w:ascii="Calibri" w:eastAsia="Times New Roman" w:hAnsi="Calibri" w:cs="Times New Roman"/>
                <w:color w:val="000000"/>
                <w:lang w:eastAsia="es-ES"/>
              </w:rPr>
            </w:pPr>
            <w:r w:rsidRPr="00EB531B">
              <w:rPr>
                <w:rFonts w:ascii="Calibri" w:eastAsia="Times New Roman" w:hAnsi="Calibri" w:cs="Times New Roman"/>
                <w:color w:val="000000"/>
                <w:lang w:eastAsia="es-ES"/>
              </w:rPr>
              <w:t>6.58%</w:t>
            </w:r>
          </w:p>
        </w:tc>
        <w:tc>
          <w:tcPr>
            <w:tcW w:w="1139" w:type="dxa"/>
            <w:tcBorders>
              <w:top w:val="nil"/>
              <w:left w:val="nil"/>
              <w:bottom w:val="single" w:sz="4" w:space="0" w:color="auto"/>
              <w:right w:val="single" w:sz="4" w:space="0" w:color="auto"/>
            </w:tcBorders>
            <w:shd w:val="clear" w:color="auto" w:fill="auto"/>
            <w:noWrap/>
            <w:vAlign w:val="bottom"/>
            <w:hideMark/>
          </w:tcPr>
          <w:p w:rsidR="00EB531B" w:rsidRPr="00EB531B" w:rsidRDefault="00EB531B" w:rsidP="00EB531B">
            <w:pPr>
              <w:spacing w:after="0" w:line="240" w:lineRule="auto"/>
              <w:jc w:val="right"/>
              <w:rPr>
                <w:rFonts w:ascii="Calibri" w:eastAsia="Times New Roman" w:hAnsi="Calibri" w:cs="Times New Roman"/>
                <w:color w:val="000000"/>
                <w:lang w:eastAsia="es-ES"/>
              </w:rPr>
            </w:pPr>
            <w:r w:rsidRPr="00EB531B">
              <w:rPr>
                <w:rFonts w:ascii="Calibri" w:eastAsia="Times New Roman" w:hAnsi="Calibri" w:cs="Times New Roman"/>
                <w:color w:val="000000"/>
                <w:lang w:eastAsia="es-ES"/>
              </w:rPr>
              <w:t>6.90%</w:t>
            </w:r>
          </w:p>
        </w:tc>
        <w:tc>
          <w:tcPr>
            <w:tcW w:w="1139" w:type="dxa"/>
            <w:tcBorders>
              <w:top w:val="nil"/>
              <w:left w:val="nil"/>
              <w:bottom w:val="single" w:sz="4" w:space="0" w:color="auto"/>
              <w:right w:val="single" w:sz="4" w:space="0" w:color="auto"/>
            </w:tcBorders>
            <w:shd w:val="clear" w:color="auto" w:fill="auto"/>
            <w:noWrap/>
            <w:vAlign w:val="bottom"/>
            <w:hideMark/>
          </w:tcPr>
          <w:p w:rsidR="00EB531B" w:rsidRPr="00EB531B" w:rsidRDefault="00EB531B" w:rsidP="00EB531B">
            <w:pPr>
              <w:spacing w:after="0" w:line="240" w:lineRule="auto"/>
              <w:jc w:val="right"/>
              <w:rPr>
                <w:rFonts w:ascii="Calibri" w:eastAsia="Times New Roman" w:hAnsi="Calibri" w:cs="Times New Roman"/>
                <w:color w:val="000000"/>
                <w:lang w:eastAsia="es-ES"/>
              </w:rPr>
            </w:pPr>
            <w:r w:rsidRPr="00EB531B">
              <w:rPr>
                <w:rFonts w:ascii="Calibri" w:eastAsia="Times New Roman" w:hAnsi="Calibri" w:cs="Times New Roman"/>
                <w:color w:val="000000"/>
                <w:lang w:eastAsia="es-ES"/>
              </w:rPr>
              <w:t>7.28%</w:t>
            </w:r>
          </w:p>
        </w:tc>
        <w:tc>
          <w:tcPr>
            <w:tcW w:w="1139" w:type="dxa"/>
            <w:tcBorders>
              <w:top w:val="nil"/>
              <w:left w:val="nil"/>
              <w:bottom w:val="single" w:sz="4" w:space="0" w:color="auto"/>
              <w:right w:val="single" w:sz="4" w:space="0" w:color="auto"/>
            </w:tcBorders>
            <w:shd w:val="clear" w:color="auto" w:fill="auto"/>
            <w:noWrap/>
            <w:vAlign w:val="bottom"/>
            <w:hideMark/>
          </w:tcPr>
          <w:p w:rsidR="00EB531B" w:rsidRPr="00EB531B" w:rsidRDefault="00EB531B" w:rsidP="00EB531B">
            <w:pPr>
              <w:spacing w:after="0" w:line="240" w:lineRule="auto"/>
              <w:jc w:val="right"/>
              <w:rPr>
                <w:rFonts w:ascii="Calibri" w:eastAsia="Times New Roman" w:hAnsi="Calibri" w:cs="Times New Roman"/>
                <w:color w:val="000000"/>
                <w:lang w:eastAsia="es-ES"/>
              </w:rPr>
            </w:pPr>
            <w:r w:rsidRPr="00EB531B">
              <w:rPr>
                <w:rFonts w:ascii="Calibri" w:eastAsia="Times New Roman" w:hAnsi="Calibri" w:cs="Times New Roman"/>
                <w:color w:val="000000"/>
                <w:lang w:eastAsia="es-ES"/>
              </w:rPr>
              <w:t>5.97%</w:t>
            </w:r>
          </w:p>
        </w:tc>
        <w:tc>
          <w:tcPr>
            <w:tcW w:w="1324" w:type="dxa"/>
            <w:tcBorders>
              <w:top w:val="nil"/>
              <w:left w:val="nil"/>
              <w:bottom w:val="single" w:sz="4" w:space="0" w:color="auto"/>
              <w:right w:val="single" w:sz="4" w:space="0" w:color="auto"/>
            </w:tcBorders>
            <w:shd w:val="clear" w:color="auto" w:fill="auto"/>
            <w:noWrap/>
            <w:vAlign w:val="bottom"/>
            <w:hideMark/>
          </w:tcPr>
          <w:p w:rsidR="00EB531B" w:rsidRPr="00EB531B" w:rsidRDefault="00EB531B" w:rsidP="00EB531B">
            <w:pPr>
              <w:spacing w:after="0" w:line="240" w:lineRule="auto"/>
              <w:jc w:val="right"/>
              <w:rPr>
                <w:rFonts w:ascii="Calibri" w:eastAsia="Times New Roman" w:hAnsi="Calibri" w:cs="Times New Roman"/>
                <w:color w:val="000000"/>
                <w:lang w:eastAsia="es-ES"/>
              </w:rPr>
            </w:pPr>
            <w:r w:rsidRPr="00EB531B">
              <w:rPr>
                <w:rFonts w:ascii="Calibri" w:eastAsia="Times New Roman" w:hAnsi="Calibri" w:cs="Times New Roman"/>
                <w:color w:val="000000"/>
                <w:lang w:eastAsia="es-ES"/>
              </w:rPr>
              <w:t>31.04%</w:t>
            </w:r>
          </w:p>
        </w:tc>
      </w:tr>
      <w:tr w:rsidR="00EB531B" w:rsidRPr="00EB531B" w:rsidTr="00370C66">
        <w:trPr>
          <w:trHeight w:val="315"/>
          <w:jc w:val="center"/>
        </w:trPr>
        <w:tc>
          <w:tcPr>
            <w:tcW w:w="2142" w:type="dxa"/>
            <w:tcBorders>
              <w:top w:val="nil"/>
              <w:left w:val="single" w:sz="4" w:space="0" w:color="auto"/>
              <w:bottom w:val="double" w:sz="6" w:space="0" w:color="auto"/>
              <w:right w:val="single" w:sz="4" w:space="0" w:color="auto"/>
            </w:tcBorders>
            <w:shd w:val="clear" w:color="000000" w:fill="FFFFFF"/>
            <w:noWrap/>
            <w:vAlign w:val="bottom"/>
            <w:hideMark/>
          </w:tcPr>
          <w:p w:rsidR="00EB531B" w:rsidRPr="00EB531B" w:rsidRDefault="00EB531B" w:rsidP="00EB531B">
            <w:pPr>
              <w:spacing w:after="0" w:line="240" w:lineRule="auto"/>
              <w:ind w:firstLineChars="100" w:firstLine="221"/>
              <w:rPr>
                <w:rFonts w:ascii="Calibri" w:eastAsia="Times New Roman" w:hAnsi="Calibri" w:cs="Times New Roman"/>
                <w:b/>
                <w:bCs/>
                <w:color w:val="000000"/>
                <w:lang w:eastAsia="es-ES"/>
              </w:rPr>
            </w:pPr>
            <w:proofErr w:type="spellStart"/>
            <w:r w:rsidRPr="00EB531B">
              <w:rPr>
                <w:rFonts w:ascii="Calibri" w:eastAsia="Times New Roman" w:hAnsi="Calibri" w:cs="Times New Roman"/>
                <w:b/>
                <w:bCs/>
                <w:color w:val="000000"/>
                <w:lang w:eastAsia="es-ES"/>
              </w:rPr>
              <w:t>Tertiary</w:t>
            </w:r>
            <w:proofErr w:type="spellEnd"/>
            <w:r w:rsidRPr="00EB531B">
              <w:rPr>
                <w:rFonts w:ascii="Calibri" w:eastAsia="Times New Roman" w:hAnsi="Calibri" w:cs="Times New Roman"/>
                <w:b/>
                <w:bCs/>
                <w:color w:val="000000"/>
                <w:lang w:eastAsia="es-ES"/>
              </w:rPr>
              <w:t>/</w:t>
            </w:r>
            <w:proofErr w:type="spellStart"/>
            <w:r w:rsidRPr="00EB531B">
              <w:rPr>
                <w:rFonts w:ascii="Calibri" w:eastAsia="Times New Roman" w:hAnsi="Calibri" w:cs="Times New Roman"/>
                <w:b/>
                <w:bCs/>
                <w:color w:val="000000"/>
                <w:lang w:eastAsia="es-ES"/>
              </w:rPr>
              <w:t>University</w:t>
            </w:r>
            <w:proofErr w:type="spellEnd"/>
          </w:p>
        </w:tc>
        <w:tc>
          <w:tcPr>
            <w:tcW w:w="882" w:type="dxa"/>
            <w:tcBorders>
              <w:top w:val="nil"/>
              <w:left w:val="nil"/>
              <w:bottom w:val="single" w:sz="4" w:space="0" w:color="auto"/>
              <w:right w:val="single" w:sz="4" w:space="0" w:color="auto"/>
            </w:tcBorders>
            <w:shd w:val="clear" w:color="auto" w:fill="auto"/>
            <w:noWrap/>
            <w:vAlign w:val="bottom"/>
            <w:hideMark/>
          </w:tcPr>
          <w:p w:rsidR="00EB531B" w:rsidRPr="00EB531B" w:rsidRDefault="00EB531B" w:rsidP="00EB531B">
            <w:pPr>
              <w:spacing w:after="0" w:line="240" w:lineRule="auto"/>
              <w:jc w:val="right"/>
              <w:rPr>
                <w:rFonts w:ascii="Calibri" w:eastAsia="Times New Roman" w:hAnsi="Calibri" w:cs="Times New Roman"/>
                <w:color w:val="000000"/>
                <w:lang w:eastAsia="es-ES"/>
              </w:rPr>
            </w:pPr>
            <w:r w:rsidRPr="00EB531B">
              <w:rPr>
                <w:rFonts w:ascii="Calibri" w:eastAsia="Times New Roman" w:hAnsi="Calibri" w:cs="Times New Roman"/>
                <w:color w:val="000000"/>
                <w:lang w:eastAsia="es-ES"/>
              </w:rPr>
              <w:t>0.42%</w:t>
            </w:r>
          </w:p>
        </w:tc>
        <w:tc>
          <w:tcPr>
            <w:tcW w:w="1139" w:type="dxa"/>
            <w:tcBorders>
              <w:top w:val="nil"/>
              <w:left w:val="nil"/>
              <w:bottom w:val="single" w:sz="4" w:space="0" w:color="auto"/>
              <w:right w:val="single" w:sz="4" w:space="0" w:color="auto"/>
            </w:tcBorders>
            <w:shd w:val="clear" w:color="auto" w:fill="auto"/>
            <w:noWrap/>
            <w:vAlign w:val="bottom"/>
            <w:hideMark/>
          </w:tcPr>
          <w:p w:rsidR="00EB531B" w:rsidRPr="00EB531B" w:rsidRDefault="00EB531B" w:rsidP="00EB531B">
            <w:pPr>
              <w:spacing w:after="0" w:line="240" w:lineRule="auto"/>
              <w:jc w:val="right"/>
              <w:rPr>
                <w:rFonts w:ascii="Calibri" w:eastAsia="Times New Roman" w:hAnsi="Calibri" w:cs="Times New Roman"/>
                <w:color w:val="000000"/>
                <w:lang w:eastAsia="es-ES"/>
              </w:rPr>
            </w:pPr>
            <w:r w:rsidRPr="00EB531B">
              <w:rPr>
                <w:rFonts w:ascii="Calibri" w:eastAsia="Times New Roman" w:hAnsi="Calibri" w:cs="Times New Roman"/>
                <w:color w:val="000000"/>
                <w:lang w:eastAsia="es-ES"/>
              </w:rPr>
              <w:t>1.58%</w:t>
            </w:r>
          </w:p>
        </w:tc>
        <w:tc>
          <w:tcPr>
            <w:tcW w:w="1139" w:type="dxa"/>
            <w:tcBorders>
              <w:top w:val="nil"/>
              <w:left w:val="nil"/>
              <w:bottom w:val="single" w:sz="4" w:space="0" w:color="auto"/>
              <w:right w:val="single" w:sz="4" w:space="0" w:color="auto"/>
            </w:tcBorders>
            <w:shd w:val="clear" w:color="auto" w:fill="auto"/>
            <w:noWrap/>
            <w:vAlign w:val="bottom"/>
            <w:hideMark/>
          </w:tcPr>
          <w:p w:rsidR="00EB531B" w:rsidRPr="00EB531B" w:rsidRDefault="00EB531B" w:rsidP="00EB531B">
            <w:pPr>
              <w:spacing w:after="0" w:line="240" w:lineRule="auto"/>
              <w:jc w:val="right"/>
              <w:rPr>
                <w:rFonts w:ascii="Calibri" w:eastAsia="Times New Roman" w:hAnsi="Calibri" w:cs="Times New Roman"/>
                <w:color w:val="000000"/>
                <w:lang w:eastAsia="es-ES"/>
              </w:rPr>
            </w:pPr>
            <w:r w:rsidRPr="00EB531B">
              <w:rPr>
                <w:rFonts w:ascii="Calibri" w:eastAsia="Times New Roman" w:hAnsi="Calibri" w:cs="Times New Roman"/>
                <w:color w:val="000000"/>
                <w:lang w:eastAsia="es-ES"/>
              </w:rPr>
              <w:t>2.55%</w:t>
            </w:r>
          </w:p>
        </w:tc>
        <w:tc>
          <w:tcPr>
            <w:tcW w:w="1139" w:type="dxa"/>
            <w:tcBorders>
              <w:top w:val="nil"/>
              <w:left w:val="nil"/>
              <w:bottom w:val="single" w:sz="4" w:space="0" w:color="auto"/>
              <w:right w:val="single" w:sz="4" w:space="0" w:color="auto"/>
            </w:tcBorders>
            <w:shd w:val="clear" w:color="auto" w:fill="auto"/>
            <w:noWrap/>
            <w:vAlign w:val="bottom"/>
            <w:hideMark/>
          </w:tcPr>
          <w:p w:rsidR="00EB531B" w:rsidRPr="00EB531B" w:rsidRDefault="00EB531B" w:rsidP="00EB531B">
            <w:pPr>
              <w:spacing w:after="0" w:line="240" w:lineRule="auto"/>
              <w:jc w:val="right"/>
              <w:rPr>
                <w:rFonts w:ascii="Calibri" w:eastAsia="Times New Roman" w:hAnsi="Calibri" w:cs="Times New Roman"/>
                <w:color w:val="000000"/>
                <w:lang w:eastAsia="es-ES"/>
              </w:rPr>
            </w:pPr>
            <w:r w:rsidRPr="00EB531B">
              <w:rPr>
                <w:rFonts w:ascii="Calibri" w:eastAsia="Times New Roman" w:hAnsi="Calibri" w:cs="Times New Roman"/>
                <w:color w:val="000000"/>
                <w:lang w:eastAsia="es-ES"/>
              </w:rPr>
              <w:t>3.29%</w:t>
            </w:r>
          </w:p>
        </w:tc>
        <w:tc>
          <w:tcPr>
            <w:tcW w:w="1139" w:type="dxa"/>
            <w:tcBorders>
              <w:top w:val="nil"/>
              <w:left w:val="nil"/>
              <w:bottom w:val="single" w:sz="4" w:space="0" w:color="auto"/>
              <w:right w:val="single" w:sz="4" w:space="0" w:color="auto"/>
            </w:tcBorders>
            <w:shd w:val="clear" w:color="auto" w:fill="auto"/>
            <w:noWrap/>
            <w:vAlign w:val="bottom"/>
            <w:hideMark/>
          </w:tcPr>
          <w:p w:rsidR="00EB531B" w:rsidRPr="00EB531B" w:rsidRDefault="00EB531B" w:rsidP="00EB531B">
            <w:pPr>
              <w:spacing w:after="0" w:line="240" w:lineRule="auto"/>
              <w:jc w:val="right"/>
              <w:rPr>
                <w:rFonts w:ascii="Calibri" w:eastAsia="Times New Roman" w:hAnsi="Calibri" w:cs="Times New Roman"/>
                <w:color w:val="000000"/>
                <w:lang w:eastAsia="es-ES"/>
              </w:rPr>
            </w:pPr>
            <w:r w:rsidRPr="00EB531B">
              <w:rPr>
                <w:rFonts w:ascii="Calibri" w:eastAsia="Times New Roman" w:hAnsi="Calibri" w:cs="Times New Roman"/>
                <w:color w:val="000000"/>
                <w:lang w:eastAsia="es-ES"/>
              </w:rPr>
              <w:t>5.86%</w:t>
            </w:r>
          </w:p>
        </w:tc>
        <w:tc>
          <w:tcPr>
            <w:tcW w:w="1324" w:type="dxa"/>
            <w:tcBorders>
              <w:top w:val="nil"/>
              <w:left w:val="nil"/>
              <w:bottom w:val="single" w:sz="4" w:space="0" w:color="auto"/>
              <w:right w:val="single" w:sz="4" w:space="0" w:color="auto"/>
            </w:tcBorders>
            <w:shd w:val="clear" w:color="auto" w:fill="auto"/>
            <w:noWrap/>
            <w:vAlign w:val="bottom"/>
            <w:hideMark/>
          </w:tcPr>
          <w:p w:rsidR="00EB531B" w:rsidRPr="00EB531B" w:rsidRDefault="00EB531B" w:rsidP="00EB531B">
            <w:pPr>
              <w:spacing w:after="0" w:line="240" w:lineRule="auto"/>
              <w:jc w:val="right"/>
              <w:rPr>
                <w:rFonts w:ascii="Calibri" w:eastAsia="Times New Roman" w:hAnsi="Calibri" w:cs="Times New Roman"/>
                <w:color w:val="000000"/>
                <w:lang w:eastAsia="es-ES"/>
              </w:rPr>
            </w:pPr>
            <w:r w:rsidRPr="00EB531B">
              <w:rPr>
                <w:rFonts w:ascii="Calibri" w:eastAsia="Times New Roman" w:hAnsi="Calibri" w:cs="Times New Roman"/>
                <w:color w:val="000000"/>
                <w:lang w:eastAsia="es-ES"/>
              </w:rPr>
              <w:t>13.70%</w:t>
            </w:r>
          </w:p>
        </w:tc>
      </w:tr>
      <w:tr w:rsidR="00EB531B" w:rsidRPr="00EB531B" w:rsidTr="00370C66">
        <w:trPr>
          <w:trHeight w:val="315"/>
          <w:jc w:val="center"/>
        </w:trPr>
        <w:tc>
          <w:tcPr>
            <w:tcW w:w="2142" w:type="dxa"/>
            <w:tcBorders>
              <w:top w:val="nil"/>
              <w:left w:val="single" w:sz="4" w:space="0" w:color="auto"/>
              <w:bottom w:val="single" w:sz="4" w:space="0" w:color="auto"/>
              <w:right w:val="single" w:sz="4" w:space="0" w:color="auto"/>
            </w:tcBorders>
            <w:shd w:val="clear" w:color="000000" w:fill="FFFFFF"/>
            <w:noWrap/>
            <w:vAlign w:val="bottom"/>
            <w:hideMark/>
          </w:tcPr>
          <w:p w:rsidR="00EB531B" w:rsidRPr="00EB531B" w:rsidRDefault="00EB531B" w:rsidP="00EB531B">
            <w:pPr>
              <w:spacing w:after="0" w:line="240" w:lineRule="auto"/>
              <w:ind w:firstLineChars="100" w:firstLine="221"/>
              <w:rPr>
                <w:rFonts w:ascii="Calibri" w:eastAsia="Times New Roman" w:hAnsi="Calibri" w:cs="Times New Roman"/>
                <w:b/>
                <w:bCs/>
                <w:color w:val="000000"/>
                <w:lang w:eastAsia="es-ES"/>
              </w:rPr>
            </w:pPr>
            <w:r w:rsidRPr="00EB531B">
              <w:rPr>
                <w:rFonts w:ascii="Calibri" w:eastAsia="Times New Roman" w:hAnsi="Calibri" w:cs="Times New Roman"/>
                <w:b/>
                <w:bCs/>
                <w:color w:val="000000"/>
                <w:lang w:eastAsia="es-ES"/>
              </w:rPr>
              <w:t>Total</w:t>
            </w:r>
          </w:p>
        </w:tc>
        <w:tc>
          <w:tcPr>
            <w:tcW w:w="882" w:type="dxa"/>
            <w:tcBorders>
              <w:top w:val="nil"/>
              <w:left w:val="nil"/>
              <w:bottom w:val="single" w:sz="4" w:space="0" w:color="auto"/>
              <w:right w:val="single" w:sz="4" w:space="0" w:color="auto"/>
            </w:tcBorders>
            <w:shd w:val="clear" w:color="auto" w:fill="auto"/>
            <w:noWrap/>
            <w:vAlign w:val="bottom"/>
            <w:hideMark/>
          </w:tcPr>
          <w:p w:rsidR="00EB531B" w:rsidRPr="00EB531B" w:rsidRDefault="00EB531B" w:rsidP="00EB531B">
            <w:pPr>
              <w:spacing w:after="0" w:line="240" w:lineRule="auto"/>
              <w:jc w:val="right"/>
              <w:rPr>
                <w:rFonts w:ascii="Calibri" w:eastAsia="Times New Roman" w:hAnsi="Calibri" w:cs="Times New Roman"/>
                <w:color w:val="000000"/>
                <w:lang w:eastAsia="es-ES"/>
              </w:rPr>
            </w:pPr>
            <w:r w:rsidRPr="00EB531B">
              <w:rPr>
                <w:rFonts w:ascii="Calibri" w:eastAsia="Times New Roman" w:hAnsi="Calibri" w:cs="Times New Roman"/>
                <w:color w:val="000000"/>
                <w:lang w:eastAsia="es-ES"/>
              </w:rPr>
              <w:t>17.87%</w:t>
            </w:r>
          </w:p>
        </w:tc>
        <w:tc>
          <w:tcPr>
            <w:tcW w:w="1139" w:type="dxa"/>
            <w:tcBorders>
              <w:top w:val="nil"/>
              <w:left w:val="nil"/>
              <w:bottom w:val="single" w:sz="4" w:space="0" w:color="auto"/>
              <w:right w:val="single" w:sz="4" w:space="0" w:color="auto"/>
            </w:tcBorders>
            <w:shd w:val="clear" w:color="auto" w:fill="auto"/>
            <w:noWrap/>
            <w:vAlign w:val="bottom"/>
            <w:hideMark/>
          </w:tcPr>
          <w:p w:rsidR="00EB531B" w:rsidRPr="00EB531B" w:rsidRDefault="00EB531B" w:rsidP="00EB531B">
            <w:pPr>
              <w:spacing w:after="0" w:line="240" w:lineRule="auto"/>
              <w:jc w:val="right"/>
              <w:rPr>
                <w:rFonts w:ascii="Calibri" w:eastAsia="Times New Roman" w:hAnsi="Calibri" w:cs="Times New Roman"/>
                <w:color w:val="000000"/>
                <w:lang w:eastAsia="es-ES"/>
              </w:rPr>
            </w:pPr>
            <w:r w:rsidRPr="00EB531B">
              <w:rPr>
                <w:rFonts w:ascii="Calibri" w:eastAsia="Times New Roman" w:hAnsi="Calibri" w:cs="Times New Roman"/>
                <w:color w:val="000000"/>
                <w:lang w:eastAsia="es-ES"/>
              </w:rPr>
              <w:t>20.92%</w:t>
            </w:r>
          </w:p>
        </w:tc>
        <w:tc>
          <w:tcPr>
            <w:tcW w:w="1139" w:type="dxa"/>
            <w:tcBorders>
              <w:top w:val="nil"/>
              <w:left w:val="nil"/>
              <w:bottom w:val="single" w:sz="4" w:space="0" w:color="auto"/>
              <w:right w:val="single" w:sz="4" w:space="0" w:color="auto"/>
            </w:tcBorders>
            <w:shd w:val="clear" w:color="auto" w:fill="auto"/>
            <w:noWrap/>
            <w:vAlign w:val="bottom"/>
            <w:hideMark/>
          </w:tcPr>
          <w:p w:rsidR="00EB531B" w:rsidRPr="00EB531B" w:rsidRDefault="00EB531B" w:rsidP="00EB531B">
            <w:pPr>
              <w:spacing w:after="0" w:line="240" w:lineRule="auto"/>
              <w:jc w:val="right"/>
              <w:rPr>
                <w:rFonts w:ascii="Calibri" w:eastAsia="Times New Roman" w:hAnsi="Calibri" w:cs="Times New Roman"/>
                <w:color w:val="000000"/>
                <w:lang w:eastAsia="es-ES"/>
              </w:rPr>
            </w:pPr>
            <w:r w:rsidRPr="00EB531B">
              <w:rPr>
                <w:rFonts w:ascii="Calibri" w:eastAsia="Times New Roman" w:hAnsi="Calibri" w:cs="Times New Roman"/>
                <w:color w:val="000000"/>
                <w:lang w:eastAsia="es-ES"/>
              </w:rPr>
              <w:t>20.29%</w:t>
            </w:r>
          </w:p>
        </w:tc>
        <w:tc>
          <w:tcPr>
            <w:tcW w:w="1139" w:type="dxa"/>
            <w:tcBorders>
              <w:top w:val="nil"/>
              <w:left w:val="nil"/>
              <w:bottom w:val="single" w:sz="4" w:space="0" w:color="auto"/>
              <w:right w:val="single" w:sz="4" w:space="0" w:color="auto"/>
            </w:tcBorders>
            <w:shd w:val="clear" w:color="auto" w:fill="auto"/>
            <w:noWrap/>
            <w:vAlign w:val="bottom"/>
            <w:hideMark/>
          </w:tcPr>
          <w:p w:rsidR="00EB531B" w:rsidRPr="00EB531B" w:rsidRDefault="00EB531B" w:rsidP="00EB531B">
            <w:pPr>
              <w:spacing w:after="0" w:line="240" w:lineRule="auto"/>
              <w:jc w:val="right"/>
              <w:rPr>
                <w:rFonts w:ascii="Calibri" w:eastAsia="Times New Roman" w:hAnsi="Calibri" w:cs="Times New Roman"/>
                <w:color w:val="000000"/>
                <w:lang w:eastAsia="es-ES"/>
              </w:rPr>
            </w:pPr>
            <w:r w:rsidRPr="00EB531B">
              <w:rPr>
                <w:rFonts w:ascii="Calibri" w:eastAsia="Times New Roman" w:hAnsi="Calibri" w:cs="Times New Roman"/>
                <w:color w:val="000000"/>
                <w:lang w:eastAsia="es-ES"/>
              </w:rPr>
              <w:t>19.62%</w:t>
            </w:r>
          </w:p>
        </w:tc>
        <w:tc>
          <w:tcPr>
            <w:tcW w:w="1139" w:type="dxa"/>
            <w:tcBorders>
              <w:top w:val="nil"/>
              <w:left w:val="nil"/>
              <w:bottom w:val="single" w:sz="4" w:space="0" w:color="auto"/>
              <w:right w:val="single" w:sz="4" w:space="0" w:color="auto"/>
            </w:tcBorders>
            <w:shd w:val="clear" w:color="auto" w:fill="auto"/>
            <w:noWrap/>
            <w:vAlign w:val="bottom"/>
            <w:hideMark/>
          </w:tcPr>
          <w:p w:rsidR="00EB531B" w:rsidRPr="00EB531B" w:rsidRDefault="00EB531B" w:rsidP="00EB531B">
            <w:pPr>
              <w:spacing w:after="0" w:line="240" w:lineRule="auto"/>
              <w:jc w:val="right"/>
              <w:rPr>
                <w:rFonts w:ascii="Calibri" w:eastAsia="Times New Roman" w:hAnsi="Calibri" w:cs="Times New Roman"/>
                <w:color w:val="000000"/>
                <w:lang w:eastAsia="es-ES"/>
              </w:rPr>
            </w:pPr>
            <w:r w:rsidRPr="00EB531B">
              <w:rPr>
                <w:rFonts w:ascii="Calibri" w:eastAsia="Times New Roman" w:hAnsi="Calibri" w:cs="Times New Roman"/>
                <w:color w:val="000000"/>
                <w:lang w:eastAsia="es-ES"/>
              </w:rPr>
              <w:t>18.66%</w:t>
            </w:r>
          </w:p>
        </w:tc>
        <w:tc>
          <w:tcPr>
            <w:tcW w:w="1324" w:type="dxa"/>
            <w:tcBorders>
              <w:top w:val="nil"/>
              <w:left w:val="nil"/>
              <w:bottom w:val="single" w:sz="4" w:space="0" w:color="auto"/>
              <w:right w:val="single" w:sz="4" w:space="0" w:color="auto"/>
            </w:tcBorders>
            <w:shd w:val="clear" w:color="auto" w:fill="auto"/>
            <w:noWrap/>
            <w:vAlign w:val="bottom"/>
            <w:hideMark/>
          </w:tcPr>
          <w:p w:rsidR="00EB531B" w:rsidRPr="00EB531B" w:rsidRDefault="00EB531B" w:rsidP="00EB531B">
            <w:pPr>
              <w:spacing w:after="0" w:line="240" w:lineRule="auto"/>
              <w:jc w:val="right"/>
              <w:rPr>
                <w:rFonts w:ascii="Calibri" w:eastAsia="Times New Roman" w:hAnsi="Calibri" w:cs="Times New Roman"/>
                <w:color w:val="000000"/>
                <w:lang w:eastAsia="es-ES"/>
              </w:rPr>
            </w:pPr>
            <w:r w:rsidRPr="00EB531B">
              <w:rPr>
                <w:rFonts w:ascii="Calibri" w:eastAsia="Times New Roman" w:hAnsi="Calibri" w:cs="Times New Roman"/>
                <w:color w:val="000000"/>
                <w:lang w:eastAsia="es-ES"/>
              </w:rPr>
              <w:t>100.00%</w:t>
            </w:r>
          </w:p>
        </w:tc>
      </w:tr>
    </w:tbl>
    <w:p w:rsidR="0006682B" w:rsidRPr="00505444" w:rsidRDefault="0006682B" w:rsidP="0006682B">
      <w:pPr>
        <w:pStyle w:val="NoSpacing"/>
        <w:spacing w:line="276" w:lineRule="auto"/>
        <w:rPr>
          <w:sz w:val="16"/>
          <w:szCs w:val="16"/>
        </w:rPr>
      </w:pPr>
      <w:proofErr w:type="spellStart"/>
      <w:r w:rsidRPr="00505444">
        <w:rPr>
          <w:sz w:val="16"/>
          <w:szCs w:val="16"/>
        </w:rPr>
        <w:t>Source</w:t>
      </w:r>
      <w:proofErr w:type="spellEnd"/>
      <w:r w:rsidRPr="00505444">
        <w:rPr>
          <w:sz w:val="16"/>
          <w:szCs w:val="16"/>
        </w:rPr>
        <w:t xml:space="preserve">: </w:t>
      </w:r>
      <w:r>
        <w:rPr>
          <w:sz w:val="16"/>
          <w:szCs w:val="16"/>
        </w:rPr>
        <w:t>MEF. INEI.</w:t>
      </w:r>
      <w:r w:rsidRPr="00505444">
        <w:rPr>
          <w:sz w:val="16"/>
          <w:szCs w:val="16"/>
        </w:rPr>
        <w:t xml:space="preserve"> </w:t>
      </w:r>
    </w:p>
    <w:p w:rsidR="00EB531B" w:rsidRDefault="00EB531B" w:rsidP="00EA7113">
      <w:pPr>
        <w:spacing w:after="0"/>
        <w:rPr>
          <w:lang w:val="en-US"/>
        </w:rPr>
      </w:pPr>
    </w:p>
    <w:p w:rsidR="00BD232F" w:rsidRDefault="00EA7113" w:rsidP="00B51658">
      <w:pPr>
        <w:spacing w:after="0"/>
        <w:jc w:val="both"/>
        <w:rPr>
          <w:lang w:val="en-US"/>
        </w:rPr>
      </w:pPr>
      <w:r>
        <w:rPr>
          <w:lang w:val="en-US"/>
        </w:rPr>
        <w:t>Finally, the Lima region</w:t>
      </w:r>
      <w:r w:rsidR="001A589A">
        <w:rPr>
          <w:lang w:val="en-US"/>
        </w:rPr>
        <w:t xml:space="preserve">, the metropolitan area, </w:t>
      </w:r>
      <w:r w:rsidR="00005984">
        <w:rPr>
          <w:lang w:val="en-US"/>
        </w:rPr>
        <w:t>seems to have the less equitable allocation</w:t>
      </w:r>
      <w:r w:rsidR="007F544D">
        <w:rPr>
          <w:lang w:val="en-US"/>
        </w:rPr>
        <w:t xml:space="preserve">. When total expenditure is analyzed, it is noticed that the richest quintile absorbs 28.06% of </w:t>
      </w:r>
      <w:r w:rsidR="007F544D">
        <w:rPr>
          <w:lang w:val="en-US"/>
        </w:rPr>
        <w:lastRenderedPageBreak/>
        <w:t>budget, whereas the poorest quintile represents just the 14.44</w:t>
      </w:r>
      <w:r w:rsidR="00D66960">
        <w:rPr>
          <w:lang w:val="en-US"/>
        </w:rPr>
        <w:t>%</w:t>
      </w:r>
      <w:r w:rsidR="007F544D">
        <w:rPr>
          <w:lang w:val="en-US"/>
        </w:rPr>
        <w:t xml:space="preserve">. This could be explained </w:t>
      </w:r>
      <w:r w:rsidR="00B51658">
        <w:rPr>
          <w:lang w:val="en-US"/>
        </w:rPr>
        <w:t>by</w:t>
      </w:r>
      <w:r w:rsidR="00D66960">
        <w:rPr>
          <w:lang w:val="en-US"/>
        </w:rPr>
        <w:t xml:space="preserve"> the fact that Lima concentrates the majority of </w:t>
      </w:r>
      <w:r w:rsidR="004D264F">
        <w:rPr>
          <w:lang w:val="en-US"/>
        </w:rPr>
        <w:t xml:space="preserve">the </w:t>
      </w:r>
      <w:r w:rsidR="00D66960">
        <w:rPr>
          <w:lang w:val="en-US"/>
        </w:rPr>
        <w:t>young popu</w:t>
      </w:r>
      <w:r w:rsidR="004D264F">
        <w:rPr>
          <w:lang w:val="en-US"/>
        </w:rPr>
        <w:t>lation who goes to Tertiary education, usually from the highest quintiles.</w:t>
      </w:r>
    </w:p>
    <w:p w:rsidR="00D66960" w:rsidRDefault="00D66960" w:rsidP="00B51658">
      <w:pPr>
        <w:spacing w:after="0"/>
        <w:jc w:val="both"/>
        <w:rPr>
          <w:lang w:val="en-US"/>
        </w:rPr>
      </w:pPr>
    </w:p>
    <w:p w:rsidR="00E6087B" w:rsidRPr="005030C3" w:rsidRDefault="004C437A" w:rsidP="00E6087B">
      <w:pPr>
        <w:pStyle w:val="Caption"/>
        <w:spacing w:after="0"/>
        <w:jc w:val="center"/>
        <w:rPr>
          <w:sz w:val="22"/>
          <w:szCs w:val="22"/>
          <w:lang w:val="en-US"/>
        </w:rPr>
      </w:pPr>
      <w:r>
        <w:rPr>
          <w:sz w:val="22"/>
          <w:szCs w:val="22"/>
          <w:lang w:val="en-US"/>
        </w:rPr>
        <w:t>Table</w:t>
      </w:r>
      <w:r w:rsidR="00E6087B">
        <w:rPr>
          <w:sz w:val="22"/>
          <w:szCs w:val="22"/>
          <w:lang w:val="en-US"/>
        </w:rPr>
        <w:t xml:space="preserve"> 16</w:t>
      </w:r>
      <w:r w:rsidR="00E6087B" w:rsidRPr="005030C3">
        <w:rPr>
          <w:sz w:val="22"/>
          <w:szCs w:val="22"/>
          <w:lang w:val="en-US"/>
        </w:rPr>
        <w:t>: Distribution of benefits</w:t>
      </w:r>
      <w:r w:rsidR="00E6087B">
        <w:rPr>
          <w:sz w:val="22"/>
          <w:szCs w:val="22"/>
          <w:lang w:val="en-US"/>
        </w:rPr>
        <w:t xml:space="preserve"> of budget in Macro-region </w:t>
      </w:r>
      <w:r w:rsidR="003064A7">
        <w:rPr>
          <w:sz w:val="22"/>
          <w:szCs w:val="22"/>
          <w:lang w:val="en-US"/>
        </w:rPr>
        <w:t>5</w:t>
      </w:r>
      <w:r w:rsidR="00E6087B" w:rsidRPr="005030C3">
        <w:rPr>
          <w:sz w:val="22"/>
          <w:szCs w:val="22"/>
          <w:lang w:val="en-US"/>
        </w:rPr>
        <w:t>, by facility level and expenditure quintile, 2008</w:t>
      </w:r>
    </w:p>
    <w:tbl>
      <w:tblPr>
        <w:tblW w:w="8904" w:type="dxa"/>
        <w:jc w:val="center"/>
        <w:tblInd w:w="55" w:type="dxa"/>
        <w:tblCellMar>
          <w:left w:w="70" w:type="dxa"/>
          <w:right w:w="70" w:type="dxa"/>
        </w:tblCellMar>
        <w:tblLook w:val="04A0"/>
      </w:tblPr>
      <w:tblGrid>
        <w:gridCol w:w="2142"/>
        <w:gridCol w:w="882"/>
        <w:gridCol w:w="1139"/>
        <w:gridCol w:w="1139"/>
        <w:gridCol w:w="1139"/>
        <w:gridCol w:w="1139"/>
        <w:gridCol w:w="1324"/>
      </w:tblGrid>
      <w:tr w:rsidR="00EB531B" w:rsidRPr="00EB531B" w:rsidTr="00370C66">
        <w:trPr>
          <w:trHeight w:val="300"/>
          <w:jc w:val="center"/>
        </w:trPr>
        <w:tc>
          <w:tcPr>
            <w:tcW w:w="2142" w:type="dxa"/>
            <w:tcBorders>
              <w:top w:val="nil"/>
              <w:left w:val="nil"/>
              <w:bottom w:val="nil"/>
              <w:right w:val="nil"/>
            </w:tcBorders>
            <w:shd w:val="clear" w:color="000000" w:fill="FFFFFF"/>
            <w:noWrap/>
            <w:vAlign w:val="bottom"/>
            <w:hideMark/>
          </w:tcPr>
          <w:p w:rsidR="00EB531B" w:rsidRPr="00EB531B" w:rsidRDefault="00EB531B" w:rsidP="00E6087B">
            <w:pPr>
              <w:spacing w:after="0" w:line="240" w:lineRule="auto"/>
              <w:ind w:left="708"/>
              <w:jc w:val="center"/>
              <w:rPr>
                <w:rFonts w:ascii="Calibri" w:eastAsia="Times New Roman" w:hAnsi="Calibri" w:cs="Times New Roman"/>
                <w:b/>
                <w:bCs/>
                <w:color w:val="000000"/>
                <w:lang w:eastAsia="es-ES"/>
              </w:rPr>
            </w:pPr>
            <w:r w:rsidRPr="00EB531B">
              <w:rPr>
                <w:rFonts w:ascii="Calibri" w:eastAsia="Times New Roman" w:hAnsi="Calibri" w:cs="Times New Roman"/>
                <w:b/>
                <w:bCs/>
                <w:color w:val="000000"/>
                <w:lang w:eastAsia="es-ES"/>
              </w:rPr>
              <w:t>Lima</w:t>
            </w:r>
          </w:p>
        </w:tc>
        <w:tc>
          <w:tcPr>
            <w:tcW w:w="6762" w:type="dxa"/>
            <w:gridSpan w:val="6"/>
            <w:tcBorders>
              <w:top w:val="single" w:sz="4" w:space="0" w:color="auto"/>
              <w:left w:val="single" w:sz="4" w:space="0" w:color="auto"/>
              <w:bottom w:val="single" w:sz="4" w:space="0" w:color="auto"/>
              <w:right w:val="single" w:sz="4" w:space="0" w:color="auto"/>
            </w:tcBorders>
            <w:shd w:val="clear" w:color="000000" w:fill="B2A1C7"/>
            <w:noWrap/>
            <w:vAlign w:val="bottom"/>
            <w:hideMark/>
          </w:tcPr>
          <w:p w:rsidR="00EB531B" w:rsidRPr="00EB531B" w:rsidRDefault="00EB531B" w:rsidP="00EB531B">
            <w:pPr>
              <w:spacing w:after="0" w:line="240" w:lineRule="auto"/>
              <w:jc w:val="center"/>
              <w:rPr>
                <w:rFonts w:ascii="Calibri" w:eastAsia="Times New Roman" w:hAnsi="Calibri" w:cs="Times New Roman"/>
                <w:b/>
                <w:bCs/>
                <w:color w:val="000000"/>
                <w:lang w:eastAsia="es-ES"/>
              </w:rPr>
            </w:pPr>
            <w:proofErr w:type="spellStart"/>
            <w:r w:rsidRPr="00EB531B">
              <w:rPr>
                <w:rFonts w:ascii="Calibri" w:eastAsia="Times New Roman" w:hAnsi="Calibri" w:cs="Times New Roman"/>
                <w:b/>
                <w:bCs/>
                <w:color w:val="000000"/>
                <w:lang w:eastAsia="es-ES"/>
              </w:rPr>
              <w:t>Expenditure</w:t>
            </w:r>
            <w:proofErr w:type="spellEnd"/>
            <w:r w:rsidRPr="00EB531B">
              <w:rPr>
                <w:rFonts w:ascii="Calibri" w:eastAsia="Times New Roman" w:hAnsi="Calibri" w:cs="Times New Roman"/>
                <w:b/>
                <w:bCs/>
                <w:color w:val="000000"/>
                <w:lang w:eastAsia="es-ES"/>
              </w:rPr>
              <w:t xml:space="preserve"> </w:t>
            </w:r>
            <w:proofErr w:type="spellStart"/>
            <w:r w:rsidRPr="00EB531B">
              <w:rPr>
                <w:rFonts w:ascii="Calibri" w:eastAsia="Times New Roman" w:hAnsi="Calibri" w:cs="Times New Roman"/>
                <w:b/>
                <w:bCs/>
                <w:color w:val="000000"/>
                <w:lang w:eastAsia="es-ES"/>
              </w:rPr>
              <w:t>quintile</w:t>
            </w:r>
            <w:proofErr w:type="spellEnd"/>
          </w:p>
        </w:tc>
      </w:tr>
      <w:tr w:rsidR="00EB531B" w:rsidRPr="00EB531B" w:rsidTr="00370C66">
        <w:trPr>
          <w:trHeight w:val="300"/>
          <w:jc w:val="center"/>
        </w:trPr>
        <w:tc>
          <w:tcPr>
            <w:tcW w:w="2142" w:type="dxa"/>
            <w:tcBorders>
              <w:top w:val="single" w:sz="4" w:space="0" w:color="auto"/>
              <w:left w:val="single" w:sz="4" w:space="0" w:color="auto"/>
              <w:bottom w:val="single" w:sz="4" w:space="0" w:color="auto"/>
              <w:right w:val="single" w:sz="4" w:space="0" w:color="auto"/>
            </w:tcBorders>
            <w:shd w:val="clear" w:color="000000" w:fill="B2A1C7"/>
            <w:noWrap/>
            <w:vAlign w:val="bottom"/>
            <w:hideMark/>
          </w:tcPr>
          <w:p w:rsidR="00EB531B" w:rsidRPr="00EB531B" w:rsidRDefault="00EB531B" w:rsidP="00EB531B">
            <w:pPr>
              <w:spacing w:after="0" w:line="240" w:lineRule="auto"/>
              <w:ind w:firstLineChars="100" w:firstLine="221"/>
              <w:rPr>
                <w:rFonts w:ascii="Calibri" w:eastAsia="Times New Roman" w:hAnsi="Calibri" w:cs="Times New Roman"/>
                <w:b/>
                <w:bCs/>
                <w:color w:val="000000"/>
                <w:lang w:eastAsia="es-ES"/>
              </w:rPr>
            </w:pPr>
            <w:proofErr w:type="spellStart"/>
            <w:r w:rsidRPr="00EB531B">
              <w:rPr>
                <w:rFonts w:ascii="Calibri" w:eastAsia="Times New Roman" w:hAnsi="Calibri" w:cs="Times New Roman"/>
                <w:b/>
                <w:bCs/>
                <w:color w:val="000000"/>
                <w:lang w:eastAsia="es-ES"/>
              </w:rPr>
              <w:t>Education</w:t>
            </w:r>
            <w:proofErr w:type="spellEnd"/>
            <w:r w:rsidRPr="00EB531B">
              <w:rPr>
                <w:rFonts w:ascii="Calibri" w:eastAsia="Times New Roman" w:hAnsi="Calibri" w:cs="Times New Roman"/>
                <w:b/>
                <w:bCs/>
                <w:color w:val="000000"/>
                <w:lang w:eastAsia="es-ES"/>
              </w:rPr>
              <w:t xml:space="preserve"> </w:t>
            </w:r>
            <w:proofErr w:type="spellStart"/>
            <w:r w:rsidRPr="00EB531B">
              <w:rPr>
                <w:rFonts w:ascii="Calibri" w:eastAsia="Times New Roman" w:hAnsi="Calibri" w:cs="Times New Roman"/>
                <w:b/>
                <w:bCs/>
                <w:color w:val="000000"/>
                <w:lang w:eastAsia="es-ES"/>
              </w:rPr>
              <w:t>level</w:t>
            </w:r>
            <w:proofErr w:type="spellEnd"/>
          </w:p>
        </w:tc>
        <w:tc>
          <w:tcPr>
            <w:tcW w:w="882" w:type="dxa"/>
            <w:tcBorders>
              <w:top w:val="nil"/>
              <w:left w:val="nil"/>
              <w:bottom w:val="nil"/>
              <w:right w:val="nil"/>
            </w:tcBorders>
            <w:shd w:val="clear" w:color="000000" w:fill="B8CCE4"/>
            <w:noWrap/>
            <w:vAlign w:val="bottom"/>
            <w:hideMark/>
          </w:tcPr>
          <w:p w:rsidR="00EB531B" w:rsidRPr="00EB531B" w:rsidRDefault="00EB531B" w:rsidP="00EB531B">
            <w:pPr>
              <w:spacing w:after="0" w:line="240" w:lineRule="auto"/>
              <w:jc w:val="right"/>
              <w:rPr>
                <w:rFonts w:ascii="Calibri" w:eastAsia="Times New Roman" w:hAnsi="Calibri" w:cs="Times New Roman"/>
                <w:color w:val="000000"/>
                <w:lang w:eastAsia="es-ES"/>
              </w:rPr>
            </w:pPr>
            <w:r w:rsidRPr="00EB531B">
              <w:rPr>
                <w:rFonts w:ascii="Calibri" w:eastAsia="Times New Roman" w:hAnsi="Calibri" w:cs="Times New Roman"/>
                <w:color w:val="000000"/>
                <w:lang w:eastAsia="es-ES"/>
              </w:rPr>
              <w:t>1</w:t>
            </w:r>
          </w:p>
        </w:tc>
        <w:tc>
          <w:tcPr>
            <w:tcW w:w="1139" w:type="dxa"/>
            <w:tcBorders>
              <w:top w:val="nil"/>
              <w:left w:val="nil"/>
              <w:bottom w:val="nil"/>
              <w:right w:val="nil"/>
            </w:tcBorders>
            <w:shd w:val="clear" w:color="000000" w:fill="B8CCE4"/>
            <w:noWrap/>
            <w:vAlign w:val="bottom"/>
            <w:hideMark/>
          </w:tcPr>
          <w:p w:rsidR="00EB531B" w:rsidRPr="00EB531B" w:rsidRDefault="00EB531B" w:rsidP="00EB531B">
            <w:pPr>
              <w:spacing w:after="0" w:line="240" w:lineRule="auto"/>
              <w:jc w:val="right"/>
              <w:rPr>
                <w:rFonts w:ascii="Calibri" w:eastAsia="Times New Roman" w:hAnsi="Calibri" w:cs="Times New Roman"/>
                <w:color w:val="000000"/>
                <w:lang w:eastAsia="es-ES"/>
              </w:rPr>
            </w:pPr>
            <w:r w:rsidRPr="00EB531B">
              <w:rPr>
                <w:rFonts w:ascii="Calibri" w:eastAsia="Times New Roman" w:hAnsi="Calibri" w:cs="Times New Roman"/>
                <w:color w:val="000000"/>
                <w:lang w:eastAsia="es-ES"/>
              </w:rPr>
              <w:t>2</w:t>
            </w:r>
          </w:p>
        </w:tc>
        <w:tc>
          <w:tcPr>
            <w:tcW w:w="1139" w:type="dxa"/>
            <w:tcBorders>
              <w:top w:val="nil"/>
              <w:left w:val="nil"/>
              <w:bottom w:val="nil"/>
              <w:right w:val="nil"/>
            </w:tcBorders>
            <w:shd w:val="clear" w:color="000000" w:fill="B8CCE4"/>
            <w:noWrap/>
            <w:vAlign w:val="bottom"/>
            <w:hideMark/>
          </w:tcPr>
          <w:p w:rsidR="00EB531B" w:rsidRPr="00EB531B" w:rsidRDefault="00EB531B" w:rsidP="00EB531B">
            <w:pPr>
              <w:spacing w:after="0" w:line="240" w:lineRule="auto"/>
              <w:jc w:val="right"/>
              <w:rPr>
                <w:rFonts w:ascii="Calibri" w:eastAsia="Times New Roman" w:hAnsi="Calibri" w:cs="Times New Roman"/>
                <w:color w:val="000000"/>
                <w:lang w:eastAsia="es-ES"/>
              </w:rPr>
            </w:pPr>
            <w:r w:rsidRPr="00EB531B">
              <w:rPr>
                <w:rFonts w:ascii="Calibri" w:eastAsia="Times New Roman" w:hAnsi="Calibri" w:cs="Times New Roman"/>
                <w:color w:val="000000"/>
                <w:lang w:eastAsia="es-ES"/>
              </w:rPr>
              <w:t>3</w:t>
            </w:r>
          </w:p>
        </w:tc>
        <w:tc>
          <w:tcPr>
            <w:tcW w:w="1139" w:type="dxa"/>
            <w:tcBorders>
              <w:top w:val="nil"/>
              <w:left w:val="nil"/>
              <w:bottom w:val="nil"/>
              <w:right w:val="nil"/>
            </w:tcBorders>
            <w:shd w:val="clear" w:color="000000" w:fill="B8CCE4"/>
            <w:noWrap/>
            <w:vAlign w:val="bottom"/>
            <w:hideMark/>
          </w:tcPr>
          <w:p w:rsidR="00EB531B" w:rsidRPr="00EB531B" w:rsidRDefault="00EB531B" w:rsidP="00EB531B">
            <w:pPr>
              <w:spacing w:after="0" w:line="240" w:lineRule="auto"/>
              <w:jc w:val="right"/>
              <w:rPr>
                <w:rFonts w:ascii="Calibri" w:eastAsia="Times New Roman" w:hAnsi="Calibri" w:cs="Times New Roman"/>
                <w:color w:val="000000"/>
                <w:lang w:eastAsia="es-ES"/>
              </w:rPr>
            </w:pPr>
            <w:r w:rsidRPr="00EB531B">
              <w:rPr>
                <w:rFonts w:ascii="Calibri" w:eastAsia="Times New Roman" w:hAnsi="Calibri" w:cs="Times New Roman"/>
                <w:color w:val="000000"/>
                <w:lang w:eastAsia="es-ES"/>
              </w:rPr>
              <w:t>4</w:t>
            </w:r>
          </w:p>
        </w:tc>
        <w:tc>
          <w:tcPr>
            <w:tcW w:w="1139" w:type="dxa"/>
            <w:tcBorders>
              <w:top w:val="nil"/>
              <w:left w:val="nil"/>
              <w:bottom w:val="nil"/>
              <w:right w:val="nil"/>
            </w:tcBorders>
            <w:shd w:val="clear" w:color="000000" w:fill="B8CCE4"/>
            <w:noWrap/>
            <w:vAlign w:val="bottom"/>
            <w:hideMark/>
          </w:tcPr>
          <w:p w:rsidR="00EB531B" w:rsidRPr="00EB531B" w:rsidRDefault="00EB531B" w:rsidP="00EB531B">
            <w:pPr>
              <w:spacing w:after="0" w:line="240" w:lineRule="auto"/>
              <w:jc w:val="right"/>
              <w:rPr>
                <w:rFonts w:ascii="Calibri" w:eastAsia="Times New Roman" w:hAnsi="Calibri" w:cs="Times New Roman"/>
                <w:color w:val="000000"/>
                <w:lang w:eastAsia="es-ES"/>
              </w:rPr>
            </w:pPr>
            <w:r w:rsidRPr="00EB531B">
              <w:rPr>
                <w:rFonts w:ascii="Calibri" w:eastAsia="Times New Roman" w:hAnsi="Calibri" w:cs="Times New Roman"/>
                <w:color w:val="000000"/>
                <w:lang w:eastAsia="es-ES"/>
              </w:rPr>
              <w:t>5</w:t>
            </w:r>
          </w:p>
        </w:tc>
        <w:tc>
          <w:tcPr>
            <w:tcW w:w="1324" w:type="dxa"/>
            <w:tcBorders>
              <w:top w:val="nil"/>
              <w:left w:val="nil"/>
              <w:bottom w:val="single" w:sz="4" w:space="0" w:color="auto"/>
              <w:right w:val="single" w:sz="4" w:space="0" w:color="auto"/>
            </w:tcBorders>
            <w:shd w:val="clear" w:color="000000" w:fill="B8CCE4"/>
            <w:noWrap/>
            <w:vAlign w:val="bottom"/>
            <w:hideMark/>
          </w:tcPr>
          <w:p w:rsidR="00EB531B" w:rsidRPr="00EB531B" w:rsidRDefault="00EB531B" w:rsidP="00EB531B">
            <w:pPr>
              <w:spacing w:after="0" w:line="240" w:lineRule="auto"/>
              <w:jc w:val="center"/>
              <w:rPr>
                <w:rFonts w:ascii="Calibri" w:eastAsia="Times New Roman" w:hAnsi="Calibri" w:cs="Times New Roman"/>
                <w:b/>
                <w:bCs/>
                <w:color w:val="000000"/>
                <w:lang w:eastAsia="es-ES"/>
              </w:rPr>
            </w:pPr>
            <w:r w:rsidRPr="00EB531B">
              <w:rPr>
                <w:rFonts w:ascii="Calibri" w:eastAsia="Times New Roman" w:hAnsi="Calibri" w:cs="Times New Roman"/>
                <w:b/>
                <w:bCs/>
                <w:color w:val="000000"/>
                <w:lang w:eastAsia="es-ES"/>
              </w:rPr>
              <w:t>Total</w:t>
            </w:r>
          </w:p>
        </w:tc>
      </w:tr>
      <w:tr w:rsidR="00EB531B" w:rsidRPr="00EB531B" w:rsidTr="00370C66">
        <w:trPr>
          <w:trHeight w:val="300"/>
          <w:jc w:val="center"/>
        </w:trPr>
        <w:tc>
          <w:tcPr>
            <w:tcW w:w="2142" w:type="dxa"/>
            <w:tcBorders>
              <w:top w:val="nil"/>
              <w:left w:val="single" w:sz="4" w:space="0" w:color="auto"/>
              <w:bottom w:val="single" w:sz="4" w:space="0" w:color="auto"/>
              <w:right w:val="single" w:sz="4" w:space="0" w:color="auto"/>
            </w:tcBorders>
            <w:shd w:val="clear" w:color="000000" w:fill="FFFFFF"/>
            <w:noWrap/>
            <w:vAlign w:val="bottom"/>
            <w:hideMark/>
          </w:tcPr>
          <w:p w:rsidR="00EB531B" w:rsidRPr="00EB531B" w:rsidRDefault="00EB531B" w:rsidP="00EB531B">
            <w:pPr>
              <w:spacing w:after="0" w:line="240" w:lineRule="auto"/>
              <w:ind w:firstLineChars="100" w:firstLine="221"/>
              <w:rPr>
                <w:rFonts w:ascii="Calibri" w:eastAsia="Times New Roman" w:hAnsi="Calibri" w:cs="Times New Roman"/>
                <w:b/>
                <w:bCs/>
                <w:color w:val="000000"/>
                <w:lang w:eastAsia="es-ES"/>
              </w:rPr>
            </w:pPr>
            <w:proofErr w:type="spellStart"/>
            <w:r w:rsidRPr="00EB531B">
              <w:rPr>
                <w:rFonts w:ascii="Calibri" w:eastAsia="Times New Roman" w:hAnsi="Calibri" w:cs="Times New Roman"/>
                <w:b/>
                <w:bCs/>
                <w:color w:val="000000"/>
                <w:lang w:eastAsia="es-ES"/>
              </w:rPr>
              <w:t>Preschool</w:t>
            </w:r>
            <w:proofErr w:type="spellEnd"/>
          </w:p>
        </w:tc>
        <w:tc>
          <w:tcPr>
            <w:tcW w:w="882" w:type="dxa"/>
            <w:tcBorders>
              <w:top w:val="single" w:sz="4" w:space="0" w:color="auto"/>
              <w:left w:val="nil"/>
              <w:bottom w:val="single" w:sz="4" w:space="0" w:color="auto"/>
              <w:right w:val="single" w:sz="4" w:space="0" w:color="auto"/>
            </w:tcBorders>
            <w:shd w:val="clear" w:color="auto" w:fill="auto"/>
            <w:noWrap/>
            <w:vAlign w:val="bottom"/>
            <w:hideMark/>
          </w:tcPr>
          <w:p w:rsidR="00EB531B" w:rsidRPr="00EB531B" w:rsidRDefault="00EB531B" w:rsidP="00EB531B">
            <w:pPr>
              <w:spacing w:after="0" w:line="240" w:lineRule="auto"/>
              <w:jc w:val="right"/>
              <w:rPr>
                <w:rFonts w:ascii="Calibri" w:eastAsia="Times New Roman" w:hAnsi="Calibri" w:cs="Times New Roman"/>
                <w:color w:val="000000"/>
                <w:lang w:eastAsia="es-ES"/>
              </w:rPr>
            </w:pPr>
            <w:r w:rsidRPr="00EB531B">
              <w:rPr>
                <w:rFonts w:ascii="Calibri" w:eastAsia="Times New Roman" w:hAnsi="Calibri" w:cs="Times New Roman"/>
                <w:color w:val="000000"/>
                <w:lang w:eastAsia="es-ES"/>
              </w:rPr>
              <w:t>1.99%</w:t>
            </w:r>
          </w:p>
        </w:tc>
        <w:tc>
          <w:tcPr>
            <w:tcW w:w="1139" w:type="dxa"/>
            <w:tcBorders>
              <w:top w:val="single" w:sz="4" w:space="0" w:color="auto"/>
              <w:left w:val="nil"/>
              <w:bottom w:val="single" w:sz="4" w:space="0" w:color="auto"/>
              <w:right w:val="single" w:sz="4" w:space="0" w:color="auto"/>
            </w:tcBorders>
            <w:shd w:val="clear" w:color="auto" w:fill="auto"/>
            <w:noWrap/>
            <w:vAlign w:val="bottom"/>
            <w:hideMark/>
          </w:tcPr>
          <w:p w:rsidR="00EB531B" w:rsidRPr="00EB531B" w:rsidRDefault="00EB531B" w:rsidP="00EB531B">
            <w:pPr>
              <w:spacing w:after="0" w:line="240" w:lineRule="auto"/>
              <w:jc w:val="right"/>
              <w:rPr>
                <w:rFonts w:ascii="Calibri" w:eastAsia="Times New Roman" w:hAnsi="Calibri" w:cs="Times New Roman"/>
                <w:color w:val="000000"/>
                <w:lang w:eastAsia="es-ES"/>
              </w:rPr>
            </w:pPr>
            <w:r w:rsidRPr="00EB531B">
              <w:rPr>
                <w:rFonts w:ascii="Calibri" w:eastAsia="Times New Roman" w:hAnsi="Calibri" w:cs="Times New Roman"/>
                <w:color w:val="000000"/>
                <w:lang w:eastAsia="es-ES"/>
              </w:rPr>
              <w:t>2.19%</w:t>
            </w:r>
          </w:p>
        </w:tc>
        <w:tc>
          <w:tcPr>
            <w:tcW w:w="1139" w:type="dxa"/>
            <w:tcBorders>
              <w:top w:val="single" w:sz="4" w:space="0" w:color="auto"/>
              <w:left w:val="nil"/>
              <w:bottom w:val="single" w:sz="4" w:space="0" w:color="auto"/>
              <w:right w:val="single" w:sz="4" w:space="0" w:color="auto"/>
            </w:tcBorders>
            <w:shd w:val="clear" w:color="auto" w:fill="auto"/>
            <w:noWrap/>
            <w:vAlign w:val="bottom"/>
            <w:hideMark/>
          </w:tcPr>
          <w:p w:rsidR="00EB531B" w:rsidRPr="00EB531B" w:rsidRDefault="00EB531B" w:rsidP="00EB531B">
            <w:pPr>
              <w:spacing w:after="0" w:line="240" w:lineRule="auto"/>
              <w:jc w:val="right"/>
              <w:rPr>
                <w:rFonts w:ascii="Calibri" w:eastAsia="Times New Roman" w:hAnsi="Calibri" w:cs="Times New Roman"/>
                <w:color w:val="000000"/>
                <w:lang w:eastAsia="es-ES"/>
              </w:rPr>
            </w:pPr>
            <w:r w:rsidRPr="00EB531B">
              <w:rPr>
                <w:rFonts w:ascii="Calibri" w:eastAsia="Times New Roman" w:hAnsi="Calibri" w:cs="Times New Roman"/>
                <w:color w:val="000000"/>
                <w:lang w:eastAsia="es-ES"/>
              </w:rPr>
              <w:t>1.77%</w:t>
            </w:r>
          </w:p>
        </w:tc>
        <w:tc>
          <w:tcPr>
            <w:tcW w:w="1139" w:type="dxa"/>
            <w:tcBorders>
              <w:top w:val="single" w:sz="4" w:space="0" w:color="auto"/>
              <w:left w:val="nil"/>
              <w:bottom w:val="single" w:sz="4" w:space="0" w:color="auto"/>
              <w:right w:val="single" w:sz="4" w:space="0" w:color="auto"/>
            </w:tcBorders>
            <w:shd w:val="clear" w:color="auto" w:fill="auto"/>
            <w:noWrap/>
            <w:vAlign w:val="bottom"/>
            <w:hideMark/>
          </w:tcPr>
          <w:p w:rsidR="00EB531B" w:rsidRPr="00EB531B" w:rsidRDefault="00EB531B" w:rsidP="00EB531B">
            <w:pPr>
              <w:spacing w:after="0" w:line="240" w:lineRule="auto"/>
              <w:jc w:val="right"/>
              <w:rPr>
                <w:rFonts w:ascii="Calibri" w:eastAsia="Times New Roman" w:hAnsi="Calibri" w:cs="Times New Roman"/>
                <w:color w:val="000000"/>
                <w:lang w:eastAsia="es-ES"/>
              </w:rPr>
            </w:pPr>
            <w:r w:rsidRPr="00EB531B">
              <w:rPr>
                <w:rFonts w:ascii="Calibri" w:eastAsia="Times New Roman" w:hAnsi="Calibri" w:cs="Times New Roman"/>
                <w:color w:val="000000"/>
                <w:lang w:eastAsia="es-ES"/>
              </w:rPr>
              <w:t>1.78%</w:t>
            </w:r>
          </w:p>
        </w:tc>
        <w:tc>
          <w:tcPr>
            <w:tcW w:w="1139" w:type="dxa"/>
            <w:tcBorders>
              <w:top w:val="single" w:sz="4" w:space="0" w:color="auto"/>
              <w:left w:val="nil"/>
              <w:bottom w:val="single" w:sz="4" w:space="0" w:color="auto"/>
              <w:right w:val="single" w:sz="4" w:space="0" w:color="auto"/>
            </w:tcBorders>
            <w:shd w:val="clear" w:color="auto" w:fill="auto"/>
            <w:noWrap/>
            <w:vAlign w:val="bottom"/>
            <w:hideMark/>
          </w:tcPr>
          <w:p w:rsidR="00EB531B" w:rsidRPr="00EB531B" w:rsidRDefault="00EB531B" w:rsidP="00EB531B">
            <w:pPr>
              <w:spacing w:after="0" w:line="240" w:lineRule="auto"/>
              <w:jc w:val="right"/>
              <w:rPr>
                <w:rFonts w:ascii="Calibri" w:eastAsia="Times New Roman" w:hAnsi="Calibri" w:cs="Times New Roman"/>
                <w:color w:val="000000"/>
                <w:lang w:eastAsia="es-ES"/>
              </w:rPr>
            </w:pPr>
            <w:r w:rsidRPr="00EB531B">
              <w:rPr>
                <w:rFonts w:ascii="Calibri" w:eastAsia="Times New Roman" w:hAnsi="Calibri" w:cs="Times New Roman"/>
                <w:color w:val="000000"/>
                <w:lang w:eastAsia="es-ES"/>
              </w:rPr>
              <w:t>1.86%</w:t>
            </w:r>
          </w:p>
        </w:tc>
        <w:tc>
          <w:tcPr>
            <w:tcW w:w="1324" w:type="dxa"/>
            <w:tcBorders>
              <w:top w:val="nil"/>
              <w:left w:val="nil"/>
              <w:bottom w:val="single" w:sz="4" w:space="0" w:color="auto"/>
              <w:right w:val="single" w:sz="4" w:space="0" w:color="auto"/>
            </w:tcBorders>
            <w:shd w:val="clear" w:color="auto" w:fill="auto"/>
            <w:noWrap/>
            <w:vAlign w:val="bottom"/>
            <w:hideMark/>
          </w:tcPr>
          <w:p w:rsidR="00EB531B" w:rsidRPr="00EB531B" w:rsidRDefault="00EB531B" w:rsidP="00EB531B">
            <w:pPr>
              <w:spacing w:after="0" w:line="240" w:lineRule="auto"/>
              <w:jc w:val="right"/>
              <w:rPr>
                <w:rFonts w:ascii="Calibri" w:eastAsia="Times New Roman" w:hAnsi="Calibri" w:cs="Times New Roman"/>
                <w:color w:val="000000"/>
                <w:lang w:eastAsia="es-ES"/>
              </w:rPr>
            </w:pPr>
            <w:r w:rsidRPr="00EB531B">
              <w:rPr>
                <w:rFonts w:ascii="Calibri" w:eastAsia="Times New Roman" w:hAnsi="Calibri" w:cs="Times New Roman"/>
                <w:color w:val="000000"/>
                <w:lang w:eastAsia="es-ES"/>
              </w:rPr>
              <w:t>9.59%</w:t>
            </w:r>
          </w:p>
        </w:tc>
      </w:tr>
      <w:tr w:rsidR="00EB531B" w:rsidRPr="00EB531B" w:rsidTr="00370C66">
        <w:trPr>
          <w:trHeight w:val="300"/>
          <w:jc w:val="center"/>
        </w:trPr>
        <w:tc>
          <w:tcPr>
            <w:tcW w:w="2142" w:type="dxa"/>
            <w:tcBorders>
              <w:top w:val="nil"/>
              <w:left w:val="single" w:sz="4" w:space="0" w:color="auto"/>
              <w:bottom w:val="single" w:sz="4" w:space="0" w:color="auto"/>
              <w:right w:val="single" w:sz="4" w:space="0" w:color="auto"/>
            </w:tcBorders>
            <w:shd w:val="clear" w:color="000000" w:fill="FFFFFF"/>
            <w:noWrap/>
            <w:vAlign w:val="bottom"/>
            <w:hideMark/>
          </w:tcPr>
          <w:p w:rsidR="00EB531B" w:rsidRPr="00EB531B" w:rsidRDefault="00EB531B" w:rsidP="00EB531B">
            <w:pPr>
              <w:spacing w:after="0" w:line="240" w:lineRule="auto"/>
              <w:ind w:firstLineChars="100" w:firstLine="221"/>
              <w:rPr>
                <w:rFonts w:ascii="Calibri" w:eastAsia="Times New Roman" w:hAnsi="Calibri" w:cs="Times New Roman"/>
                <w:b/>
                <w:bCs/>
                <w:color w:val="000000"/>
                <w:lang w:eastAsia="es-ES"/>
              </w:rPr>
            </w:pPr>
            <w:proofErr w:type="spellStart"/>
            <w:r w:rsidRPr="00EB531B">
              <w:rPr>
                <w:rFonts w:ascii="Calibri" w:eastAsia="Times New Roman" w:hAnsi="Calibri" w:cs="Times New Roman"/>
                <w:b/>
                <w:bCs/>
                <w:color w:val="000000"/>
                <w:lang w:eastAsia="es-ES"/>
              </w:rPr>
              <w:t>Primary</w:t>
            </w:r>
            <w:proofErr w:type="spellEnd"/>
          </w:p>
        </w:tc>
        <w:tc>
          <w:tcPr>
            <w:tcW w:w="882" w:type="dxa"/>
            <w:tcBorders>
              <w:top w:val="nil"/>
              <w:left w:val="nil"/>
              <w:bottom w:val="single" w:sz="4" w:space="0" w:color="auto"/>
              <w:right w:val="single" w:sz="4" w:space="0" w:color="auto"/>
            </w:tcBorders>
            <w:shd w:val="clear" w:color="auto" w:fill="auto"/>
            <w:noWrap/>
            <w:vAlign w:val="bottom"/>
            <w:hideMark/>
          </w:tcPr>
          <w:p w:rsidR="00EB531B" w:rsidRPr="00EB531B" w:rsidRDefault="00EB531B" w:rsidP="00EB531B">
            <w:pPr>
              <w:spacing w:after="0" w:line="240" w:lineRule="auto"/>
              <w:jc w:val="right"/>
              <w:rPr>
                <w:rFonts w:ascii="Calibri" w:eastAsia="Times New Roman" w:hAnsi="Calibri" w:cs="Times New Roman"/>
                <w:color w:val="000000"/>
                <w:lang w:eastAsia="es-ES"/>
              </w:rPr>
            </w:pPr>
            <w:r w:rsidRPr="00EB531B">
              <w:rPr>
                <w:rFonts w:ascii="Calibri" w:eastAsia="Times New Roman" w:hAnsi="Calibri" w:cs="Times New Roman"/>
                <w:color w:val="000000"/>
                <w:lang w:eastAsia="es-ES"/>
              </w:rPr>
              <w:t>6.12%</w:t>
            </w:r>
          </w:p>
        </w:tc>
        <w:tc>
          <w:tcPr>
            <w:tcW w:w="1139" w:type="dxa"/>
            <w:tcBorders>
              <w:top w:val="nil"/>
              <w:left w:val="nil"/>
              <w:bottom w:val="single" w:sz="4" w:space="0" w:color="auto"/>
              <w:right w:val="single" w:sz="4" w:space="0" w:color="auto"/>
            </w:tcBorders>
            <w:shd w:val="clear" w:color="auto" w:fill="auto"/>
            <w:noWrap/>
            <w:vAlign w:val="bottom"/>
            <w:hideMark/>
          </w:tcPr>
          <w:p w:rsidR="00EB531B" w:rsidRPr="00EB531B" w:rsidRDefault="00EB531B" w:rsidP="00EB531B">
            <w:pPr>
              <w:spacing w:after="0" w:line="240" w:lineRule="auto"/>
              <w:jc w:val="right"/>
              <w:rPr>
                <w:rFonts w:ascii="Calibri" w:eastAsia="Times New Roman" w:hAnsi="Calibri" w:cs="Times New Roman"/>
                <w:color w:val="000000"/>
                <w:lang w:eastAsia="es-ES"/>
              </w:rPr>
            </w:pPr>
            <w:r w:rsidRPr="00EB531B">
              <w:rPr>
                <w:rFonts w:ascii="Calibri" w:eastAsia="Times New Roman" w:hAnsi="Calibri" w:cs="Times New Roman"/>
                <w:color w:val="000000"/>
                <w:lang w:eastAsia="es-ES"/>
              </w:rPr>
              <w:t>6.73%</w:t>
            </w:r>
          </w:p>
        </w:tc>
        <w:tc>
          <w:tcPr>
            <w:tcW w:w="1139" w:type="dxa"/>
            <w:tcBorders>
              <w:top w:val="nil"/>
              <w:left w:val="nil"/>
              <w:bottom w:val="single" w:sz="4" w:space="0" w:color="auto"/>
              <w:right w:val="single" w:sz="4" w:space="0" w:color="auto"/>
            </w:tcBorders>
            <w:shd w:val="clear" w:color="auto" w:fill="auto"/>
            <w:noWrap/>
            <w:vAlign w:val="bottom"/>
            <w:hideMark/>
          </w:tcPr>
          <w:p w:rsidR="00EB531B" w:rsidRPr="00EB531B" w:rsidRDefault="00EB531B" w:rsidP="00EB531B">
            <w:pPr>
              <w:spacing w:after="0" w:line="240" w:lineRule="auto"/>
              <w:jc w:val="right"/>
              <w:rPr>
                <w:rFonts w:ascii="Calibri" w:eastAsia="Times New Roman" w:hAnsi="Calibri" w:cs="Times New Roman"/>
                <w:color w:val="000000"/>
                <w:lang w:eastAsia="es-ES"/>
              </w:rPr>
            </w:pPr>
            <w:r w:rsidRPr="00EB531B">
              <w:rPr>
                <w:rFonts w:ascii="Calibri" w:eastAsia="Times New Roman" w:hAnsi="Calibri" w:cs="Times New Roman"/>
                <w:color w:val="000000"/>
                <w:lang w:eastAsia="es-ES"/>
              </w:rPr>
              <w:t>6.29%</w:t>
            </w:r>
          </w:p>
        </w:tc>
        <w:tc>
          <w:tcPr>
            <w:tcW w:w="1139" w:type="dxa"/>
            <w:tcBorders>
              <w:top w:val="nil"/>
              <w:left w:val="nil"/>
              <w:bottom w:val="single" w:sz="4" w:space="0" w:color="auto"/>
              <w:right w:val="single" w:sz="4" w:space="0" w:color="auto"/>
            </w:tcBorders>
            <w:shd w:val="clear" w:color="auto" w:fill="auto"/>
            <w:noWrap/>
            <w:vAlign w:val="bottom"/>
            <w:hideMark/>
          </w:tcPr>
          <w:p w:rsidR="00EB531B" w:rsidRPr="00EB531B" w:rsidRDefault="00EB531B" w:rsidP="00EB531B">
            <w:pPr>
              <w:spacing w:after="0" w:line="240" w:lineRule="auto"/>
              <w:jc w:val="right"/>
              <w:rPr>
                <w:rFonts w:ascii="Calibri" w:eastAsia="Times New Roman" w:hAnsi="Calibri" w:cs="Times New Roman"/>
                <w:color w:val="000000"/>
                <w:lang w:eastAsia="es-ES"/>
              </w:rPr>
            </w:pPr>
            <w:r w:rsidRPr="00EB531B">
              <w:rPr>
                <w:rFonts w:ascii="Calibri" w:eastAsia="Times New Roman" w:hAnsi="Calibri" w:cs="Times New Roman"/>
                <w:color w:val="000000"/>
                <w:lang w:eastAsia="es-ES"/>
              </w:rPr>
              <w:t>7.68%</w:t>
            </w:r>
          </w:p>
        </w:tc>
        <w:tc>
          <w:tcPr>
            <w:tcW w:w="1139" w:type="dxa"/>
            <w:tcBorders>
              <w:top w:val="nil"/>
              <w:left w:val="nil"/>
              <w:bottom w:val="single" w:sz="4" w:space="0" w:color="auto"/>
              <w:right w:val="single" w:sz="4" w:space="0" w:color="auto"/>
            </w:tcBorders>
            <w:shd w:val="clear" w:color="auto" w:fill="auto"/>
            <w:noWrap/>
            <w:vAlign w:val="bottom"/>
            <w:hideMark/>
          </w:tcPr>
          <w:p w:rsidR="00EB531B" w:rsidRPr="00EB531B" w:rsidRDefault="00EB531B" w:rsidP="00EB531B">
            <w:pPr>
              <w:spacing w:after="0" w:line="240" w:lineRule="auto"/>
              <w:jc w:val="right"/>
              <w:rPr>
                <w:rFonts w:ascii="Calibri" w:eastAsia="Times New Roman" w:hAnsi="Calibri" w:cs="Times New Roman"/>
                <w:color w:val="000000"/>
                <w:lang w:eastAsia="es-ES"/>
              </w:rPr>
            </w:pPr>
            <w:r w:rsidRPr="00EB531B">
              <w:rPr>
                <w:rFonts w:ascii="Calibri" w:eastAsia="Times New Roman" w:hAnsi="Calibri" w:cs="Times New Roman"/>
                <w:color w:val="000000"/>
                <w:lang w:eastAsia="es-ES"/>
              </w:rPr>
              <w:t>6.39%</w:t>
            </w:r>
          </w:p>
        </w:tc>
        <w:tc>
          <w:tcPr>
            <w:tcW w:w="1324" w:type="dxa"/>
            <w:tcBorders>
              <w:top w:val="nil"/>
              <w:left w:val="nil"/>
              <w:bottom w:val="single" w:sz="4" w:space="0" w:color="auto"/>
              <w:right w:val="single" w:sz="4" w:space="0" w:color="auto"/>
            </w:tcBorders>
            <w:shd w:val="clear" w:color="auto" w:fill="auto"/>
            <w:noWrap/>
            <w:vAlign w:val="bottom"/>
            <w:hideMark/>
          </w:tcPr>
          <w:p w:rsidR="00EB531B" w:rsidRPr="00EB531B" w:rsidRDefault="00EB531B" w:rsidP="00EB531B">
            <w:pPr>
              <w:spacing w:after="0" w:line="240" w:lineRule="auto"/>
              <w:jc w:val="right"/>
              <w:rPr>
                <w:rFonts w:ascii="Calibri" w:eastAsia="Times New Roman" w:hAnsi="Calibri" w:cs="Times New Roman"/>
                <w:color w:val="000000"/>
                <w:lang w:eastAsia="es-ES"/>
              </w:rPr>
            </w:pPr>
            <w:r w:rsidRPr="00EB531B">
              <w:rPr>
                <w:rFonts w:ascii="Calibri" w:eastAsia="Times New Roman" w:hAnsi="Calibri" w:cs="Times New Roman"/>
                <w:color w:val="000000"/>
                <w:lang w:eastAsia="es-ES"/>
              </w:rPr>
              <w:t>33.21%</w:t>
            </w:r>
          </w:p>
        </w:tc>
      </w:tr>
      <w:tr w:rsidR="00EB531B" w:rsidRPr="00EB531B" w:rsidTr="00370C66">
        <w:trPr>
          <w:trHeight w:val="300"/>
          <w:jc w:val="center"/>
        </w:trPr>
        <w:tc>
          <w:tcPr>
            <w:tcW w:w="2142" w:type="dxa"/>
            <w:tcBorders>
              <w:top w:val="nil"/>
              <w:left w:val="single" w:sz="4" w:space="0" w:color="auto"/>
              <w:bottom w:val="single" w:sz="4" w:space="0" w:color="auto"/>
              <w:right w:val="single" w:sz="4" w:space="0" w:color="auto"/>
            </w:tcBorders>
            <w:shd w:val="clear" w:color="000000" w:fill="FFFFFF"/>
            <w:noWrap/>
            <w:vAlign w:val="bottom"/>
            <w:hideMark/>
          </w:tcPr>
          <w:p w:rsidR="00EB531B" w:rsidRPr="00EB531B" w:rsidRDefault="00EB531B" w:rsidP="00EB531B">
            <w:pPr>
              <w:spacing w:after="0" w:line="240" w:lineRule="auto"/>
              <w:ind w:firstLineChars="100" w:firstLine="221"/>
              <w:rPr>
                <w:rFonts w:ascii="Calibri" w:eastAsia="Times New Roman" w:hAnsi="Calibri" w:cs="Times New Roman"/>
                <w:b/>
                <w:bCs/>
                <w:color w:val="000000"/>
                <w:lang w:eastAsia="es-ES"/>
              </w:rPr>
            </w:pPr>
            <w:proofErr w:type="spellStart"/>
            <w:r w:rsidRPr="00EB531B">
              <w:rPr>
                <w:rFonts w:ascii="Calibri" w:eastAsia="Times New Roman" w:hAnsi="Calibri" w:cs="Times New Roman"/>
                <w:b/>
                <w:bCs/>
                <w:color w:val="000000"/>
                <w:lang w:eastAsia="es-ES"/>
              </w:rPr>
              <w:t>Secondary</w:t>
            </w:r>
            <w:proofErr w:type="spellEnd"/>
          </w:p>
        </w:tc>
        <w:tc>
          <w:tcPr>
            <w:tcW w:w="882" w:type="dxa"/>
            <w:tcBorders>
              <w:top w:val="nil"/>
              <w:left w:val="nil"/>
              <w:bottom w:val="single" w:sz="4" w:space="0" w:color="auto"/>
              <w:right w:val="single" w:sz="4" w:space="0" w:color="auto"/>
            </w:tcBorders>
            <w:shd w:val="clear" w:color="auto" w:fill="auto"/>
            <w:noWrap/>
            <w:vAlign w:val="bottom"/>
            <w:hideMark/>
          </w:tcPr>
          <w:p w:rsidR="00EB531B" w:rsidRPr="00EB531B" w:rsidRDefault="00EB531B" w:rsidP="00EB531B">
            <w:pPr>
              <w:spacing w:after="0" w:line="240" w:lineRule="auto"/>
              <w:jc w:val="right"/>
              <w:rPr>
                <w:rFonts w:ascii="Calibri" w:eastAsia="Times New Roman" w:hAnsi="Calibri" w:cs="Times New Roman"/>
                <w:color w:val="000000"/>
                <w:lang w:eastAsia="es-ES"/>
              </w:rPr>
            </w:pPr>
            <w:r w:rsidRPr="00EB531B">
              <w:rPr>
                <w:rFonts w:ascii="Calibri" w:eastAsia="Times New Roman" w:hAnsi="Calibri" w:cs="Times New Roman"/>
                <w:color w:val="000000"/>
                <w:lang w:eastAsia="es-ES"/>
              </w:rPr>
              <w:t>4.74%</w:t>
            </w:r>
          </w:p>
        </w:tc>
        <w:tc>
          <w:tcPr>
            <w:tcW w:w="1139" w:type="dxa"/>
            <w:tcBorders>
              <w:top w:val="nil"/>
              <w:left w:val="nil"/>
              <w:bottom w:val="single" w:sz="4" w:space="0" w:color="auto"/>
              <w:right w:val="single" w:sz="4" w:space="0" w:color="auto"/>
            </w:tcBorders>
            <w:shd w:val="clear" w:color="auto" w:fill="auto"/>
            <w:noWrap/>
            <w:vAlign w:val="bottom"/>
            <w:hideMark/>
          </w:tcPr>
          <w:p w:rsidR="00EB531B" w:rsidRPr="00EB531B" w:rsidRDefault="00EB531B" w:rsidP="00EB531B">
            <w:pPr>
              <w:spacing w:after="0" w:line="240" w:lineRule="auto"/>
              <w:jc w:val="right"/>
              <w:rPr>
                <w:rFonts w:ascii="Calibri" w:eastAsia="Times New Roman" w:hAnsi="Calibri" w:cs="Times New Roman"/>
                <w:color w:val="000000"/>
                <w:lang w:eastAsia="es-ES"/>
              </w:rPr>
            </w:pPr>
            <w:r w:rsidRPr="00EB531B">
              <w:rPr>
                <w:rFonts w:ascii="Calibri" w:eastAsia="Times New Roman" w:hAnsi="Calibri" w:cs="Times New Roman"/>
                <w:color w:val="000000"/>
                <w:lang w:eastAsia="es-ES"/>
              </w:rPr>
              <w:t>5.69%</w:t>
            </w:r>
          </w:p>
        </w:tc>
        <w:tc>
          <w:tcPr>
            <w:tcW w:w="1139" w:type="dxa"/>
            <w:tcBorders>
              <w:top w:val="nil"/>
              <w:left w:val="nil"/>
              <w:bottom w:val="single" w:sz="4" w:space="0" w:color="auto"/>
              <w:right w:val="single" w:sz="4" w:space="0" w:color="auto"/>
            </w:tcBorders>
            <w:shd w:val="clear" w:color="auto" w:fill="auto"/>
            <w:noWrap/>
            <w:vAlign w:val="bottom"/>
            <w:hideMark/>
          </w:tcPr>
          <w:p w:rsidR="00EB531B" w:rsidRPr="00EB531B" w:rsidRDefault="00EB531B" w:rsidP="00EB531B">
            <w:pPr>
              <w:spacing w:after="0" w:line="240" w:lineRule="auto"/>
              <w:jc w:val="right"/>
              <w:rPr>
                <w:rFonts w:ascii="Calibri" w:eastAsia="Times New Roman" w:hAnsi="Calibri" w:cs="Times New Roman"/>
                <w:color w:val="000000"/>
                <w:lang w:eastAsia="es-ES"/>
              </w:rPr>
            </w:pPr>
            <w:r w:rsidRPr="00EB531B">
              <w:rPr>
                <w:rFonts w:ascii="Calibri" w:eastAsia="Times New Roman" w:hAnsi="Calibri" w:cs="Times New Roman"/>
                <w:color w:val="000000"/>
                <w:lang w:eastAsia="es-ES"/>
              </w:rPr>
              <w:t>7.10%</w:t>
            </w:r>
          </w:p>
        </w:tc>
        <w:tc>
          <w:tcPr>
            <w:tcW w:w="1139" w:type="dxa"/>
            <w:tcBorders>
              <w:top w:val="nil"/>
              <w:left w:val="nil"/>
              <w:bottom w:val="single" w:sz="4" w:space="0" w:color="auto"/>
              <w:right w:val="single" w:sz="4" w:space="0" w:color="auto"/>
            </w:tcBorders>
            <w:shd w:val="clear" w:color="auto" w:fill="auto"/>
            <w:noWrap/>
            <w:vAlign w:val="bottom"/>
            <w:hideMark/>
          </w:tcPr>
          <w:p w:rsidR="00EB531B" w:rsidRPr="00EB531B" w:rsidRDefault="00EB531B" w:rsidP="00EB531B">
            <w:pPr>
              <w:spacing w:after="0" w:line="240" w:lineRule="auto"/>
              <w:jc w:val="right"/>
              <w:rPr>
                <w:rFonts w:ascii="Calibri" w:eastAsia="Times New Roman" w:hAnsi="Calibri" w:cs="Times New Roman"/>
                <w:color w:val="000000"/>
                <w:lang w:eastAsia="es-ES"/>
              </w:rPr>
            </w:pPr>
            <w:r w:rsidRPr="00EB531B">
              <w:rPr>
                <w:rFonts w:ascii="Calibri" w:eastAsia="Times New Roman" w:hAnsi="Calibri" w:cs="Times New Roman"/>
                <w:color w:val="000000"/>
                <w:lang w:eastAsia="es-ES"/>
              </w:rPr>
              <w:t>6.78%</w:t>
            </w:r>
          </w:p>
        </w:tc>
        <w:tc>
          <w:tcPr>
            <w:tcW w:w="1139" w:type="dxa"/>
            <w:tcBorders>
              <w:top w:val="nil"/>
              <w:left w:val="nil"/>
              <w:bottom w:val="single" w:sz="4" w:space="0" w:color="auto"/>
              <w:right w:val="single" w:sz="4" w:space="0" w:color="auto"/>
            </w:tcBorders>
            <w:shd w:val="clear" w:color="auto" w:fill="auto"/>
            <w:noWrap/>
            <w:vAlign w:val="bottom"/>
            <w:hideMark/>
          </w:tcPr>
          <w:p w:rsidR="00EB531B" w:rsidRPr="00EB531B" w:rsidRDefault="00EB531B" w:rsidP="00EB531B">
            <w:pPr>
              <w:spacing w:after="0" w:line="240" w:lineRule="auto"/>
              <w:jc w:val="right"/>
              <w:rPr>
                <w:rFonts w:ascii="Calibri" w:eastAsia="Times New Roman" w:hAnsi="Calibri" w:cs="Times New Roman"/>
                <w:color w:val="000000"/>
                <w:lang w:eastAsia="es-ES"/>
              </w:rPr>
            </w:pPr>
            <w:r w:rsidRPr="00EB531B">
              <w:rPr>
                <w:rFonts w:ascii="Calibri" w:eastAsia="Times New Roman" w:hAnsi="Calibri" w:cs="Times New Roman"/>
                <w:color w:val="000000"/>
                <w:lang w:eastAsia="es-ES"/>
              </w:rPr>
              <w:t>7.20%</w:t>
            </w:r>
          </w:p>
        </w:tc>
        <w:tc>
          <w:tcPr>
            <w:tcW w:w="1324" w:type="dxa"/>
            <w:tcBorders>
              <w:top w:val="nil"/>
              <w:left w:val="nil"/>
              <w:bottom w:val="single" w:sz="4" w:space="0" w:color="auto"/>
              <w:right w:val="single" w:sz="4" w:space="0" w:color="auto"/>
            </w:tcBorders>
            <w:shd w:val="clear" w:color="auto" w:fill="auto"/>
            <w:noWrap/>
            <w:vAlign w:val="bottom"/>
            <w:hideMark/>
          </w:tcPr>
          <w:p w:rsidR="00EB531B" w:rsidRPr="00EB531B" w:rsidRDefault="00EB531B" w:rsidP="00EB531B">
            <w:pPr>
              <w:spacing w:after="0" w:line="240" w:lineRule="auto"/>
              <w:jc w:val="right"/>
              <w:rPr>
                <w:rFonts w:ascii="Calibri" w:eastAsia="Times New Roman" w:hAnsi="Calibri" w:cs="Times New Roman"/>
                <w:color w:val="000000"/>
                <w:lang w:eastAsia="es-ES"/>
              </w:rPr>
            </w:pPr>
            <w:r w:rsidRPr="00EB531B">
              <w:rPr>
                <w:rFonts w:ascii="Calibri" w:eastAsia="Times New Roman" w:hAnsi="Calibri" w:cs="Times New Roman"/>
                <w:color w:val="000000"/>
                <w:lang w:eastAsia="es-ES"/>
              </w:rPr>
              <w:t>31.52%</w:t>
            </w:r>
          </w:p>
        </w:tc>
      </w:tr>
      <w:tr w:rsidR="00EB531B" w:rsidRPr="00EB531B" w:rsidTr="00370C66">
        <w:trPr>
          <w:trHeight w:val="315"/>
          <w:jc w:val="center"/>
        </w:trPr>
        <w:tc>
          <w:tcPr>
            <w:tcW w:w="2142" w:type="dxa"/>
            <w:tcBorders>
              <w:top w:val="nil"/>
              <w:left w:val="single" w:sz="4" w:space="0" w:color="auto"/>
              <w:bottom w:val="double" w:sz="6" w:space="0" w:color="auto"/>
              <w:right w:val="single" w:sz="4" w:space="0" w:color="auto"/>
            </w:tcBorders>
            <w:shd w:val="clear" w:color="000000" w:fill="FFFFFF"/>
            <w:noWrap/>
            <w:vAlign w:val="bottom"/>
            <w:hideMark/>
          </w:tcPr>
          <w:p w:rsidR="00EB531B" w:rsidRPr="00EB531B" w:rsidRDefault="00EB531B" w:rsidP="00EB531B">
            <w:pPr>
              <w:spacing w:after="0" w:line="240" w:lineRule="auto"/>
              <w:ind w:firstLineChars="100" w:firstLine="221"/>
              <w:rPr>
                <w:rFonts w:ascii="Calibri" w:eastAsia="Times New Roman" w:hAnsi="Calibri" w:cs="Times New Roman"/>
                <w:b/>
                <w:bCs/>
                <w:color w:val="000000"/>
                <w:lang w:eastAsia="es-ES"/>
              </w:rPr>
            </w:pPr>
            <w:proofErr w:type="spellStart"/>
            <w:r w:rsidRPr="00EB531B">
              <w:rPr>
                <w:rFonts w:ascii="Calibri" w:eastAsia="Times New Roman" w:hAnsi="Calibri" w:cs="Times New Roman"/>
                <w:b/>
                <w:bCs/>
                <w:color w:val="000000"/>
                <w:lang w:eastAsia="es-ES"/>
              </w:rPr>
              <w:t>Tertiary</w:t>
            </w:r>
            <w:proofErr w:type="spellEnd"/>
            <w:r w:rsidRPr="00EB531B">
              <w:rPr>
                <w:rFonts w:ascii="Calibri" w:eastAsia="Times New Roman" w:hAnsi="Calibri" w:cs="Times New Roman"/>
                <w:b/>
                <w:bCs/>
                <w:color w:val="000000"/>
                <w:lang w:eastAsia="es-ES"/>
              </w:rPr>
              <w:t>/</w:t>
            </w:r>
            <w:proofErr w:type="spellStart"/>
            <w:r w:rsidRPr="00EB531B">
              <w:rPr>
                <w:rFonts w:ascii="Calibri" w:eastAsia="Times New Roman" w:hAnsi="Calibri" w:cs="Times New Roman"/>
                <w:b/>
                <w:bCs/>
                <w:color w:val="000000"/>
                <w:lang w:eastAsia="es-ES"/>
              </w:rPr>
              <w:t>University</w:t>
            </w:r>
            <w:proofErr w:type="spellEnd"/>
          </w:p>
        </w:tc>
        <w:tc>
          <w:tcPr>
            <w:tcW w:w="882" w:type="dxa"/>
            <w:tcBorders>
              <w:top w:val="nil"/>
              <w:left w:val="nil"/>
              <w:bottom w:val="single" w:sz="4" w:space="0" w:color="auto"/>
              <w:right w:val="single" w:sz="4" w:space="0" w:color="auto"/>
            </w:tcBorders>
            <w:shd w:val="clear" w:color="auto" w:fill="auto"/>
            <w:noWrap/>
            <w:vAlign w:val="bottom"/>
            <w:hideMark/>
          </w:tcPr>
          <w:p w:rsidR="00EB531B" w:rsidRPr="00EB531B" w:rsidRDefault="00EB531B" w:rsidP="00EB531B">
            <w:pPr>
              <w:spacing w:after="0" w:line="240" w:lineRule="auto"/>
              <w:jc w:val="right"/>
              <w:rPr>
                <w:rFonts w:ascii="Calibri" w:eastAsia="Times New Roman" w:hAnsi="Calibri" w:cs="Times New Roman"/>
                <w:color w:val="000000"/>
                <w:lang w:eastAsia="es-ES"/>
              </w:rPr>
            </w:pPr>
            <w:r w:rsidRPr="00EB531B">
              <w:rPr>
                <w:rFonts w:ascii="Calibri" w:eastAsia="Times New Roman" w:hAnsi="Calibri" w:cs="Times New Roman"/>
                <w:color w:val="000000"/>
                <w:lang w:eastAsia="es-ES"/>
              </w:rPr>
              <w:t>1.59%</w:t>
            </w:r>
          </w:p>
        </w:tc>
        <w:tc>
          <w:tcPr>
            <w:tcW w:w="1139" w:type="dxa"/>
            <w:tcBorders>
              <w:top w:val="nil"/>
              <w:left w:val="nil"/>
              <w:bottom w:val="single" w:sz="4" w:space="0" w:color="auto"/>
              <w:right w:val="single" w:sz="4" w:space="0" w:color="auto"/>
            </w:tcBorders>
            <w:shd w:val="clear" w:color="auto" w:fill="auto"/>
            <w:noWrap/>
            <w:vAlign w:val="bottom"/>
            <w:hideMark/>
          </w:tcPr>
          <w:p w:rsidR="00EB531B" w:rsidRPr="00EB531B" w:rsidRDefault="00EB531B" w:rsidP="00EB531B">
            <w:pPr>
              <w:spacing w:after="0" w:line="240" w:lineRule="auto"/>
              <w:jc w:val="right"/>
              <w:rPr>
                <w:rFonts w:ascii="Calibri" w:eastAsia="Times New Roman" w:hAnsi="Calibri" w:cs="Times New Roman"/>
                <w:color w:val="000000"/>
                <w:lang w:eastAsia="es-ES"/>
              </w:rPr>
            </w:pPr>
            <w:r w:rsidRPr="00EB531B">
              <w:rPr>
                <w:rFonts w:ascii="Calibri" w:eastAsia="Times New Roman" w:hAnsi="Calibri" w:cs="Times New Roman"/>
                <w:color w:val="000000"/>
                <w:lang w:eastAsia="es-ES"/>
              </w:rPr>
              <w:t>2.88%</w:t>
            </w:r>
          </w:p>
        </w:tc>
        <w:tc>
          <w:tcPr>
            <w:tcW w:w="1139" w:type="dxa"/>
            <w:tcBorders>
              <w:top w:val="nil"/>
              <w:left w:val="nil"/>
              <w:bottom w:val="single" w:sz="4" w:space="0" w:color="auto"/>
              <w:right w:val="single" w:sz="4" w:space="0" w:color="auto"/>
            </w:tcBorders>
            <w:shd w:val="clear" w:color="auto" w:fill="auto"/>
            <w:noWrap/>
            <w:vAlign w:val="bottom"/>
            <w:hideMark/>
          </w:tcPr>
          <w:p w:rsidR="00EB531B" w:rsidRPr="00EB531B" w:rsidRDefault="00EB531B" w:rsidP="00EB531B">
            <w:pPr>
              <w:spacing w:after="0" w:line="240" w:lineRule="auto"/>
              <w:jc w:val="right"/>
              <w:rPr>
                <w:rFonts w:ascii="Calibri" w:eastAsia="Times New Roman" w:hAnsi="Calibri" w:cs="Times New Roman"/>
                <w:color w:val="000000"/>
                <w:lang w:eastAsia="es-ES"/>
              </w:rPr>
            </w:pPr>
            <w:r w:rsidRPr="00EB531B">
              <w:rPr>
                <w:rFonts w:ascii="Calibri" w:eastAsia="Times New Roman" w:hAnsi="Calibri" w:cs="Times New Roman"/>
                <w:color w:val="000000"/>
                <w:lang w:eastAsia="es-ES"/>
              </w:rPr>
              <w:t>3.01%</w:t>
            </w:r>
          </w:p>
        </w:tc>
        <w:tc>
          <w:tcPr>
            <w:tcW w:w="1139" w:type="dxa"/>
            <w:tcBorders>
              <w:top w:val="nil"/>
              <w:left w:val="nil"/>
              <w:bottom w:val="single" w:sz="4" w:space="0" w:color="auto"/>
              <w:right w:val="single" w:sz="4" w:space="0" w:color="auto"/>
            </w:tcBorders>
            <w:shd w:val="clear" w:color="auto" w:fill="auto"/>
            <w:noWrap/>
            <w:vAlign w:val="bottom"/>
            <w:hideMark/>
          </w:tcPr>
          <w:p w:rsidR="00EB531B" w:rsidRPr="00EB531B" w:rsidRDefault="00EB531B" w:rsidP="00EB531B">
            <w:pPr>
              <w:spacing w:after="0" w:line="240" w:lineRule="auto"/>
              <w:jc w:val="right"/>
              <w:rPr>
                <w:rFonts w:ascii="Calibri" w:eastAsia="Times New Roman" w:hAnsi="Calibri" w:cs="Times New Roman"/>
                <w:color w:val="000000"/>
                <w:lang w:eastAsia="es-ES"/>
              </w:rPr>
            </w:pPr>
            <w:r w:rsidRPr="00EB531B">
              <w:rPr>
                <w:rFonts w:ascii="Calibri" w:eastAsia="Times New Roman" w:hAnsi="Calibri" w:cs="Times New Roman"/>
                <w:color w:val="000000"/>
                <w:lang w:eastAsia="es-ES"/>
              </w:rPr>
              <w:t>5.59%</w:t>
            </w:r>
          </w:p>
        </w:tc>
        <w:tc>
          <w:tcPr>
            <w:tcW w:w="1139" w:type="dxa"/>
            <w:tcBorders>
              <w:top w:val="nil"/>
              <w:left w:val="nil"/>
              <w:bottom w:val="single" w:sz="4" w:space="0" w:color="auto"/>
              <w:right w:val="single" w:sz="4" w:space="0" w:color="auto"/>
            </w:tcBorders>
            <w:shd w:val="clear" w:color="auto" w:fill="auto"/>
            <w:noWrap/>
            <w:vAlign w:val="bottom"/>
            <w:hideMark/>
          </w:tcPr>
          <w:p w:rsidR="00EB531B" w:rsidRPr="00EB531B" w:rsidRDefault="00EB531B" w:rsidP="00EB531B">
            <w:pPr>
              <w:spacing w:after="0" w:line="240" w:lineRule="auto"/>
              <w:jc w:val="right"/>
              <w:rPr>
                <w:rFonts w:ascii="Calibri" w:eastAsia="Times New Roman" w:hAnsi="Calibri" w:cs="Times New Roman"/>
                <w:color w:val="000000"/>
                <w:lang w:eastAsia="es-ES"/>
              </w:rPr>
            </w:pPr>
            <w:r w:rsidRPr="00EB531B">
              <w:rPr>
                <w:rFonts w:ascii="Calibri" w:eastAsia="Times New Roman" w:hAnsi="Calibri" w:cs="Times New Roman"/>
                <w:color w:val="000000"/>
                <w:lang w:eastAsia="es-ES"/>
              </w:rPr>
              <w:t>12.61%</w:t>
            </w:r>
          </w:p>
        </w:tc>
        <w:tc>
          <w:tcPr>
            <w:tcW w:w="1324" w:type="dxa"/>
            <w:tcBorders>
              <w:top w:val="nil"/>
              <w:left w:val="nil"/>
              <w:bottom w:val="single" w:sz="4" w:space="0" w:color="auto"/>
              <w:right w:val="single" w:sz="4" w:space="0" w:color="auto"/>
            </w:tcBorders>
            <w:shd w:val="clear" w:color="auto" w:fill="auto"/>
            <w:noWrap/>
            <w:vAlign w:val="bottom"/>
            <w:hideMark/>
          </w:tcPr>
          <w:p w:rsidR="00EB531B" w:rsidRPr="00EB531B" w:rsidRDefault="00EB531B" w:rsidP="00EB531B">
            <w:pPr>
              <w:spacing w:after="0" w:line="240" w:lineRule="auto"/>
              <w:jc w:val="right"/>
              <w:rPr>
                <w:rFonts w:ascii="Calibri" w:eastAsia="Times New Roman" w:hAnsi="Calibri" w:cs="Times New Roman"/>
                <w:color w:val="000000"/>
                <w:lang w:eastAsia="es-ES"/>
              </w:rPr>
            </w:pPr>
            <w:r w:rsidRPr="00EB531B">
              <w:rPr>
                <w:rFonts w:ascii="Calibri" w:eastAsia="Times New Roman" w:hAnsi="Calibri" w:cs="Times New Roman"/>
                <w:color w:val="000000"/>
                <w:lang w:eastAsia="es-ES"/>
              </w:rPr>
              <w:t>25.68%</w:t>
            </w:r>
          </w:p>
        </w:tc>
      </w:tr>
      <w:tr w:rsidR="00EB531B" w:rsidRPr="00EB531B" w:rsidTr="00370C66">
        <w:trPr>
          <w:trHeight w:val="315"/>
          <w:jc w:val="center"/>
        </w:trPr>
        <w:tc>
          <w:tcPr>
            <w:tcW w:w="2142" w:type="dxa"/>
            <w:tcBorders>
              <w:top w:val="nil"/>
              <w:left w:val="single" w:sz="4" w:space="0" w:color="auto"/>
              <w:bottom w:val="single" w:sz="4" w:space="0" w:color="auto"/>
              <w:right w:val="single" w:sz="4" w:space="0" w:color="auto"/>
            </w:tcBorders>
            <w:shd w:val="clear" w:color="000000" w:fill="FFFFFF"/>
            <w:noWrap/>
            <w:vAlign w:val="bottom"/>
            <w:hideMark/>
          </w:tcPr>
          <w:p w:rsidR="00EB531B" w:rsidRPr="00EB531B" w:rsidRDefault="00EB531B" w:rsidP="00EB531B">
            <w:pPr>
              <w:spacing w:after="0" w:line="240" w:lineRule="auto"/>
              <w:ind w:firstLineChars="100" w:firstLine="221"/>
              <w:rPr>
                <w:rFonts w:ascii="Calibri" w:eastAsia="Times New Roman" w:hAnsi="Calibri" w:cs="Times New Roman"/>
                <w:b/>
                <w:bCs/>
                <w:color w:val="000000"/>
                <w:lang w:eastAsia="es-ES"/>
              </w:rPr>
            </w:pPr>
            <w:r w:rsidRPr="00EB531B">
              <w:rPr>
                <w:rFonts w:ascii="Calibri" w:eastAsia="Times New Roman" w:hAnsi="Calibri" w:cs="Times New Roman"/>
                <w:b/>
                <w:bCs/>
                <w:color w:val="000000"/>
                <w:lang w:eastAsia="es-ES"/>
              </w:rPr>
              <w:t>Total</w:t>
            </w:r>
          </w:p>
        </w:tc>
        <w:tc>
          <w:tcPr>
            <w:tcW w:w="882" w:type="dxa"/>
            <w:tcBorders>
              <w:top w:val="nil"/>
              <w:left w:val="nil"/>
              <w:bottom w:val="single" w:sz="4" w:space="0" w:color="auto"/>
              <w:right w:val="single" w:sz="4" w:space="0" w:color="auto"/>
            </w:tcBorders>
            <w:shd w:val="clear" w:color="auto" w:fill="auto"/>
            <w:noWrap/>
            <w:vAlign w:val="bottom"/>
            <w:hideMark/>
          </w:tcPr>
          <w:p w:rsidR="00EB531B" w:rsidRPr="00EB531B" w:rsidRDefault="00EB531B" w:rsidP="00EB531B">
            <w:pPr>
              <w:spacing w:after="0" w:line="240" w:lineRule="auto"/>
              <w:jc w:val="right"/>
              <w:rPr>
                <w:rFonts w:ascii="Calibri" w:eastAsia="Times New Roman" w:hAnsi="Calibri" w:cs="Times New Roman"/>
                <w:color w:val="000000"/>
                <w:lang w:eastAsia="es-ES"/>
              </w:rPr>
            </w:pPr>
            <w:r w:rsidRPr="00EB531B">
              <w:rPr>
                <w:rFonts w:ascii="Calibri" w:eastAsia="Times New Roman" w:hAnsi="Calibri" w:cs="Times New Roman"/>
                <w:color w:val="000000"/>
                <w:lang w:eastAsia="es-ES"/>
              </w:rPr>
              <w:t>14.44%</w:t>
            </w:r>
          </w:p>
        </w:tc>
        <w:tc>
          <w:tcPr>
            <w:tcW w:w="1139" w:type="dxa"/>
            <w:tcBorders>
              <w:top w:val="nil"/>
              <w:left w:val="nil"/>
              <w:bottom w:val="single" w:sz="4" w:space="0" w:color="auto"/>
              <w:right w:val="single" w:sz="4" w:space="0" w:color="auto"/>
            </w:tcBorders>
            <w:shd w:val="clear" w:color="auto" w:fill="auto"/>
            <w:noWrap/>
            <w:vAlign w:val="bottom"/>
            <w:hideMark/>
          </w:tcPr>
          <w:p w:rsidR="00EB531B" w:rsidRPr="00EB531B" w:rsidRDefault="00EB531B" w:rsidP="00EB531B">
            <w:pPr>
              <w:spacing w:after="0" w:line="240" w:lineRule="auto"/>
              <w:jc w:val="right"/>
              <w:rPr>
                <w:rFonts w:ascii="Calibri" w:eastAsia="Times New Roman" w:hAnsi="Calibri" w:cs="Times New Roman"/>
                <w:color w:val="000000"/>
                <w:lang w:eastAsia="es-ES"/>
              </w:rPr>
            </w:pPr>
            <w:r w:rsidRPr="00EB531B">
              <w:rPr>
                <w:rFonts w:ascii="Calibri" w:eastAsia="Times New Roman" w:hAnsi="Calibri" w:cs="Times New Roman"/>
                <w:color w:val="000000"/>
                <w:lang w:eastAsia="es-ES"/>
              </w:rPr>
              <w:t>17.50%</w:t>
            </w:r>
          </w:p>
        </w:tc>
        <w:tc>
          <w:tcPr>
            <w:tcW w:w="1139" w:type="dxa"/>
            <w:tcBorders>
              <w:top w:val="nil"/>
              <w:left w:val="nil"/>
              <w:bottom w:val="single" w:sz="4" w:space="0" w:color="auto"/>
              <w:right w:val="single" w:sz="4" w:space="0" w:color="auto"/>
            </w:tcBorders>
            <w:shd w:val="clear" w:color="auto" w:fill="auto"/>
            <w:noWrap/>
            <w:vAlign w:val="bottom"/>
            <w:hideMark/>
          </w:tcPr>
          <w:p w:rsidR="00EB531B" w:rsidRPr="00EB531B" w:rsidRDefault="00EB531B" w:rsidP="00EB531B">
            <w:pPr>
              <w:spacing w:after="0" w:line="240" w:lineRule="auto"/>
              <w:jc w:val="right"/>
              <w:rPr>
                <w:rFonts w:ascii="Calibri" w:eastAsia="Times New Roman" w:hAnsi="Calibri" w:cs="Times New Roman"/>
                <w:color w:val="000000"/>
                <w:lang w:eastAsia="es-ES"/>
              </w:rPr>
            </w:pPr>
            <w:r w:rsidRPr="00EB531B">
              <w:rPr>
                <w:rFonts w:ascii="Calibri" w:eastAsia="Times New Roman" w:hAnsi="Calibri" w:cs="Times New Roman"/>
                <w:color w:val="000000"/>
                <w:lang w:eastAsia="es-ES"/>
              </w:rPr>
              <w:t>18.17%</w:t>
            </w:r>
          </w:p>
        </w:tc>
        <w:tc>
          <w:tcPr>
            <w:tcW w:w="1139" w:type="dxa"/>
            <w:tcBorders>
              <w:top w:val="nil"/>
              <w:left w:val="nil"/>
              <w:bottom w:val="single" w:sz="4" w:space="0" w:color="auto"/>
              <w:right w:val="single" w:sz="4" w:space="0" w:color="auto"/>
            </w:tcBorders>
            <w:shd w:val="clear" w:color="auto" w:fill="auto"/>
            <w:noWrap/>
            <w:vAlign w:val="bottom"/>
            <w:hideMark/>
          </w:tcPr>
          <w:p w:rsidR="00EB531B" w:rsidRPr="00EB531B" w:rsidRDefault="00EB531B" w:rsidP="00EB531B">
            <w:pPr>
              <w:spacing w:after="0" w:line="240" w:lineRule="auto"/>
              <w:jc w:val="right"/>
              <w:rPr>
                <w:rFonts w:ascii="Calibri" w:eastAsia="Times New Roman" w:hAnsi="Calibri" w:cs="Times New Roman"/>
                <w:color w:val="000000"/>
                <w:lang w:eastAsia="es-ES"/>
              </w:rPr>
            </w:pPr>
            <w:r w:rsidRPr="00EB531B">
              <w:rPr>
                <w:rFonts w:ascii="Calibri" w:eastAsia="Times New Roman" w:hAnsi="Calibri" w:cs="Times New Roman"/>
                <w:color w:val="000000"/>
                <w:lang w:eastAsia="es-ES"/>
              </w:rPr>
              <w:t>21.84%</w:t>
            </w:r>
          </w:p>
        </w:tc>
        <w:tc>
          <w:tcPr>
            <w:tcW w:w="1139" w:type="dxa"/>
            <w:tcBorders>
              <w:top w:val="nil"/>
              <w:left w:val="nil"/>
              <w:bottom w:val="single" w:sz="4" w:space="0" w:color="auto"/>
              <w:right w:val="single" w:sz="4" w:space="0" w:color="auto"/>
            </w:tcBorders>
            <w:shd w:val="clear" w:color="auto" w:fill="auto"/>
            <w:noWrap/>
            <w:vAlign w:val="bottom"/>
            <w:hideMark/>
          </w:tcPr>
          <w:p w:rsidR="00EB531B" w:rsidRPr="00EB531B" w:rsidRDefault="00EB531B" w:rsidP="00EB531B">
            <w:pPr>
              <w:spacing w:after="0" w:line="240" w:lineRule="auto"/>
              <w:jc w:val="right"/>
              <w:rPr>
                <w:rFonts w:ascii="Calibri" w:eastAsia="Times New Roman" w:hAnsi="Calibri" w:cs="Times New Roman"/>
                <w:color w:val="000000"/>
                <w:lang w:eastAsia="es-ES"/>
              </w:rPr>
            </w:pPr>
            <w:r w:rsidRPr="00EB531B">
              <w:rPr>
                <w:rFonts w:ascii="Calibri" w:eastAsia="Times New Roman" w:hAnsi="Calibri" w:cs="Times New Roman"/>
                <w:color w:val="000000"/>
                <w:lang w:eastAsia="es-ES"/>
              </w:rPr>
              <w:t>28.06%</w:t>
            </w:r>
          </w:p>
        </w:tc>
        <w:tc>
          <w:tcPr>
            <w:tcW w:w="1324" w:type="dxa"/>
            <w:tcBorders>
              <w:top w:val="nil"/>
              <w:left w:val="nil"/>
              <w:bottom w:val="single" w:sz="4" w:space="0" w:color="auto"/>
              <w:right w:val="single" w:sz="4" w:space="0" w:color="auto"/>
            </w:tcBorders>
            <w:shd w:val="clear" w:color="auto" w:fill="auto"/>
            <w:noWrap/>
            <w:vAlign w:val="bottom"/>
            <w:hideMark/>
          </w:tcPr>
          <w:p w:rsidR="00EB531B" w:rsidRPr="00EB531B" w:rsidRDefault="00EB531B" w:rsidP="00EB531B">
            <w:pPr>
              <w:spacing w:after="0" w:line="240" w:lineRule="auto"/>
              <w:jc w:val="right"/>
              <w:rPr>
                <w:rFonts w:ascii="Calibri" w:eastAsia="Times New Roman" w:hAnsi="Calibri" w:cs="Times New Roman"/>
                <w:color w:val="000000"/>
                <w:lang w:eastAsia="es-ES"/>
              </w:rPr>
            </w:pPr>
            <w:r w:rsidRPr="00EB531B">
              <w:rPr>
                <w:rFonts w:ascii="Calibri" w:eastAsia="Times New Roman" w:hAnsi="Calibri" w:cs="Times New Roman"/>
                <w:color w:val="000000"/>
                <w:lang w:eastAsia="es-ES"/>
              </w:rPr>
              <w:t>100.00%</w:t>
            </w:r>
          </w:p>
        </w:tc>
      </w:tr>
    </w:tbl>
    <w:p w:rsidR="0006682B" w:rsidRPr="00505444" w:rsidRDefault="0006682B" w:rsidP="0006682B">
      <w:pPr>
        <w:pStyle w:val="NoSpacing"/>
        <w:spacing w:line="276" w:lineRule="auto"/>
        <w:rPr>
          <w:sz w:val="16"/>
          <w:szCs w:val="16"/>
        </w:rPr>
      </w:pPr>
      <w:proofErr w:type="spellStart"/>
      <w:r w:rsidRPr="00505444">
        <w:rPr>
          <w:sz w:val="16"/>
          <w:szCs w:val="16"/>
        </w:rPr>
        <w:t>Source</w:t>
      </w:r>
      <w:proofErr w:type="spellEnd"/>
      <w:r w:rsidRPr="00505444">
        <w:rPr>
          <w:sz w:val="16"/>
          <w:szCs w:val="16"/>
        </w:rPr>
        <w:t xml:space="preserve">: </w:t>
      </w:r>
      <w:r>
        <w:rPr>
          <w:sz w:val="16"/>
          <w:szCs w:val="16"/>
        </w:rPr>
        <w:t>MEF. INEI.</w:t>
      </w:r>
      <w:r w:rsidRPr="00505444">
        <w:rPr>
          <w:sz w:val="16"/>
          <w:szCs w:val="16"/>
        </w:rPr>
        <w:t xml:space="preserve"> </w:t>
      </w:r>
    </w:p>
    <w:p w:rsidR="00125733" w:rsidRDefault="00125733" w:rsidP="00B10E41">
      <w:pPr>
        <w:pStyle w:val="Heading1"/>
        <w:rPr>
          <w:lang w:val="en-US"/>
        </w:rPr>
      </w:pPr>
      <w:bookmarkStart w:id="26" w:name="_Toc255446173"/>
      <w:r>
        <w:rPr>
          <w:lang w:val="en-US"/>
        </w:rPr>
        <w:t>V. Conclusions and Policy Implications</w:t>
      </w:r>
      <w:bookmarkEnd w:id="26"/>
    </w:p>
    <w:p w:rsidR="00125733" w:rsidRDefault="00125733" w:rsidP="00125733">
      <w:pPr>
        <w:rPr>
          <w:lang w:val="en-US"/>
        </w:rPr>
      </w:pPr>
    </w:p>
    <w:p w:rsidR="006F7A00" w:rsidRPr="006F7A00" w:rsidRDefault="006F7A00" w:rsidP="00DA686B">
      <w:pPr>
        <w:jc w:val="both"/>
        <w:rPr>
          <w:lang w:val="en-US"/>
        </w:rPr>
      </w:pPr>
      <w:r w:rsidRPr="006F7A00">
        <w:rPr>
          <w:lang w:val="en-US"/>
        </w:rPr>
        <w:t xml:space="preserve">The relationship between sector results and budget is a difficult task.  In Peru, there is a pilot in one primary subprogram to link learning performance and financial levels.  One of the facts that </w:t>
      </w:r>
      <w:r w:rsidR="009A5712">
        <w:rPr>
          <w:lang w:val="en-US"/>
        </w:rPr>
        <w:t>appear</w:t>
      </w:r>
      <w:r w:rsidRPr="006F7A00">
        <w:rPr>
          <w:lang w:val="en-US"/>
        </w:rPr>
        <w:t xml:space="preserve"> in this paper is that we still need in Peru a general framework of the budget organized by programs</w:t>
      </w:r>
      <w:r w:rsidR="009A5712">
        <w:rPr>
          <w:lang w:val="en-US"/>
        </w:rPr>
        <w:t>, and actually a better one</w:t>
      </w:r>
      <w:r w:rsidRPr="006F7A00">
        <w:rPr>
          <w:lang w:val="en-US"/>
        </w:rPr>
        <w:t xml:space="preserve">.  </w:t>
      </w:r>
      <w:r w:rsidR="00FB25E5">
        <w:rPr>
          <w:lang w:val="en-US"/>
        </w:rPr>
        <w:t>The program structure will allow</w:t>
      </w:r>
      <w:r w:rsidRPr="006F7A00">
        <w:rPr>
          <w:lang w:val="en-US"/>
        </w:rPr>
        <w:t xml:space="preserve"> us to measure the degree of commitment that the State has with education and the priorities set inside the sector.  </w:t>
      </w:r>
      <w:r w:rsidR="009A5712">
        <w:rPr>
          <w:lang w:val="en-US"/>
        </w:rPr>
        <w:t>In terms of instruments, a good definition of Budget Programs can lead to an easier way to work with Resu</w:t>
      </w:r>
      <w:r w:rsidR="00D53CAC">
        <w:rPr>
          <w:lang w:val="en-US"/>
        </w:rPr>
        <w:t>l</w:t>
      </w:r>
      <w:r w:rsidR="009A5712">
        <w:rPr>
          <w:lang w:val="en-US"/>
        </w:rPr>
        <w:t>t Based Bud</w:t>
      </w:r>
      <w:r w:rsidR="00D53CAC">
        <w:rPr>
          <w:lang w:val="en-US"/>
        </w:rPr>
        <w:t>ge</w:t>
      </w:r>
      <w:r w:rsidR="009A5712">
        <w:rPr>
          <w:lang w:val="en-US"/>
        </w:rPr>
        <w:t>t inside each program</w:t>
      </w:r>
      <w:r w:rsidR="004B4821">
        <w:rPr>
          <w:lang w:val="en-US"/>
        </w:rPr>
        <w:t>,</w:t>
      </w:r>
      <w:r w:rsidR="009A5712">
        <w:rPr>
          <w:lang w:val="en-US"/>
        </w:rPr>
        <w:t xml:space="preserve"> instead of single interventions with no </w:t>
      </w:r>
      <w:r w:rsidR="00D53CAC">
        <w:rPr>
          <w:lang w:val="en-US"/>
        </w:rPr>
        <w:t>clear impact.</w:t>
      </w:r>
    </w:p>
    <w:p w:rsidR="00FB25E5" w:rsidRDefault="006F7A00" w:rsidP="00DA686B">
      <w:pPr>
        <w:jc w:val="both"/>
        <w:rPr>
          <w:lang w:val="en-US"/>
        </w:rPr>
      </w:pPr>
      <w:r w:rsidRPr="006F7A00">
        <w:rPr>
          <w:lang w:val="en-US"/>
        </w:rPr>
        <w:t xml:space="preserve">Education in the last years has been representing between 16 and 18 percent of the public budget, and less than 3 per cent of the GDP.  This  low level of investment in comparison to other countries, even in Latin America, does not tell us much if one does not research  the causality of such low investment,  but with relative high coverage/registration in primary and secondary.  </w:t>
      </w:r>
      <w:r w:rsidR="00FB25E5">
        <w:rPr>
          <w:lang w:val="en-US"/>
        </w:rPr>
        <w:t xml:space="preserve">This measurement can also lead us to the wrong conclusion if one does no manage the standard amount of cost per student. </w:t>
      </w:r>
    </w:p>
    <w:p w:rsidR="006F7A00" w:rsidRPr="006F7A00" w:rsidRDefault="00247549" w:rsidP="00DA686B">
      <w:pPr>
        <w:jc w:val="both"/>
        <w:rPr>
          <w:lang w:val="en-US"/>
        </w:rPr>
      </w:pPr>
      <w:r>
        <w:rPr>
          <w:lang w:val="en-US"/>
        </w:rPr>
        <w:t>Many years we have</w:t>
      </w:r>
      <w:r w:rsidR="006F7A00" w:rsidRPr="006F7A00">
        <w:rPr>
          <w:lang w:val="en-US"/>
        </w:rPr>
        <w:t xml:space="preserve"> observed how preschool education is under financed and how ter</w:t>
      </w:r>
      <w:r w:rsidR="008F363C">
        <w:rPr>
          <w:lang w:val="en-US"/>
        </w:rPr>
        <w:t>t</w:t>
      </w:r>
      <w:r w:rsidR="006F7A00" w:rsidRPr="006F7A00">
        <w:rPr>
          <w:lang w:val="en-US"/>
        </w:rPr>
        <w:t>iary education is favoring the less poor and still gets a big chunk of the budget.</w:t>
      </w:r>
      <w:r w:rsidR="00C14361">
        <w:rPr>
          <w:lang w:val="en-US"/>
        </w:rPr>
        <w:t xml:space="preserve"> However, all the levels of education are important; as somebody indicated “education is like a table, its four legs are important, favoring one over the other ones, can cause that the table will be unstable”</w:t>
      </w:r>
      <w:r>
        <w:rPr>
          <w:lang w:val="en-US"/>
        </w:rPr>
        <w:t xml:space="preserve">.  For that purposes, education specialists are recommending credit schemes to facilitate tertiary education for the poor, but, it is also important to reduce dropout rates of the same poor in the secondary level. </w:t>
      </w:r>
    </w:p>
    <w:p w:rsidR="006F7A00" w:rsidRPr="006F7A00" w:rsidRDefault="006F7A00" w:rsidP="00DA686B">
      <w:pPr>
        <w:jc w:val="both"/>
        <w:rPr>
          <w:lang w:val="en-US"/>
        </w:rPr>
      </w:pPr>
      <w:r w:rsidRPr="006F7A00">
        <w:rPr>
          <w:lang w:val="en-US"/>
        </w:rPr>
        <w:t>Another interesting fact in Peru is the relative budgetary power of the regional governments, with high levels of expenditure but with little or none autonomy to spend. National government still pays 37% of the budget, while regions</w:t>
      </w:r>
      <w:r w:rsidR="00E564D4">
        <w:rPr>
          <w:lang w:val="en-US"/>
        </w:rPr>
        <w:t xml:space="preserve"> represent</w:t>
      </w:r>
      <w:r w:rsidRPr="006F7A00">
        <w:rPr>
          <w:lang w:val="en-US"/>
        </w:rPr>
        <w:t xml:space="preserve"> 57 </w:t>
      </w:r>
      <w:r w:rsidR="00E564D4" w:rsidRPr="006F7A00">
        <w:rPr>
          <w:lang w:val="en-US"/>
        </w:rPr>
        <w:t>percent</w:t>
      </w:r>
      <w:r w:rsidRPr="006F7A00">
        <w:rPr>
          <w:lang w:val="en-US"/>
        </w:rPr>
        <w:t xml:space="preserve"> and municipalities a little bit less.   Paradoxical, not even in the decentralization process, regions </w:t>
      </w:r>
      <w:r w:rsidRPr="006F7A00">
        <w:rPr>
          <w:lang w:val="en-US"/>
        </w:rPr>
        <w:lastRenderedPageBreak/>
        <w:t xml:space="preserve">have freedom to decide </w:t>
      </w:r>
      <w:r w:rsidR="00247549">
        <w:rPr>
          <w:lang w:val="en-US"/>
        </w:rPr>
        <w:t>the majority of their expenditures because they pay the payrolls; however, the national government dominates the regulation of human resources.</w:t>
      </w:r>
    </w:p>
    <w:p w:rsidR="006F7A00" w:rsidRPr="006F7A00" w:rsidRDefault="006F7A00" w:rsidP="00DA686B">
      <w:pPr>
        <w:jc w:val="both"/>
        <w:rPr>
          <w:lang w:val="en-US"/>
        </w:rPr>
      </w:pPr>
      <w:r w:rsidRPr="006F7A00">
        <w:rPr>
          <w:lang w:val="en-US"/>
        </w:rPr>
        <w:t xml:space="preserve">Peruvian budget is paying </w:t>
      </w:r>
      <w:r w:rsidR="00E428E6">
        <w:rPr>
          <w:lang w:val="en-US"/>
        </w:rPr>
        <w:t xml:space="preserve">basically </w:t>
      </w:r>
      <w:r w:rsidRPr="006F7A00">
        <w:rPr>
          <w:lang w:val="en-US"/>
        </w:rPr>
        <w:t>for coverage</w:t>
      </w:r>
      <w:r w:rsidR="00E428E6">
        <w:rPr>
          <w:lang w:val="en-US"/>
        </w:rPr>
        <w:t xml:space="preserve"> and is beginning to move </w:t>
      </w:r>
      <w:r w:rsidR="00247549">
        <w:rPr>
          <w:lang w:val="en-US"/>
        </w:rPr>
        <w:t xml:space="preserve">towards </w:t>
      </w:r>
      <w:r w:rsidR="00247549" w:rsidRPr="006F7A00">
        <w:rPr>
          <w:lang w:val="en-US"/>
        </w:rPr>
        <w:t>quality</w:t>
      </w:r>
      <w:r w:rsidR="00247549">
        <w:rPr>
          <w:lang w:val="en-US"/>
        </w:rPr>
        <w:t xml:space="preserve"> impro</w:t>
      </w:r>
      <w:r w:rsidR="00E428E6">
        <w:rPr>
          <w:lang w:val="en-US"/>
        </w:rPr>
        <w:t>vement</w:t>
      </w:r>
      <w:r w:rsidRPr="006F7A00">
        <w:rPr>
          <w:lang w:val="en-US"/>
        </w:rPr>
        <w:t>.  Coverage is relative high in primary and less in secondary level.  One of the pending tasks is to increase the coverage of preschool, concentrate efforts to reduce dropouts at the secondary level in the poorest quintiles and improve the spending quality in universities</w:t>
      </w:r>
      <w:r w:rsidR="00D53CAC">
        <w:rPr>
          <w:lang w:val="en-US"/>
        </w:rPr>
        <w:t>.</w:t>
      </w:r>
      <w:r w:rsidRPr="006F7A00">
        <w:rPr>
          <w:lang w:val="en-US"/>
        </w:rPr>
        <w:t xml:space="preserve">  </w:t>
      </w:r>
    </w:p>
    <w:p w:rsidR="006F7A00" w:rsidRPr="006F7A00" w:rsidRDefault="006F7A00" w:rsidP="00DA686B">
      <w:pPr>
        <w:jc w:val="both"/>
        <w:rPr>
          <w:lang w:val="en-US"/>
        </w:rPr>
      </w:pPr>
      <w:r w:rsidRPr="006F7A00">
        <w:rPr>
          <w:lang w:val="en-US"/>
        </w:rPr>
        <w:t xml:space="preserve">No budget policy will be successful if it does not pay, it is, attack the main problem of low quality.  Policy makers will have to invest in strategies that take into </w:t>
      </w:r>
      <w:r w:rsidR="00D53CAC">
        <w:rPr>
          <w:lang w:val="en-US"/>
        </w:rPr>
        <w:t xml:space="preserve">account the </w:t>
      </w:r>
      <w:r w:rsidRPr="006F7A00">
        <w:rPr>
          <w:lang w:val="en-US"/>
        </w:rPr>
        <w:t>teaching and learning improvements and focus in cost effective strategies.</w:t>
      </w:r>
    </w:p>
    <w:p w:rsidR="006F7A00" w:rsidRPr="006F7A00" w:rsidRDefault="006F7A00" w:rsidP="00DA686B">
      <w:pPr>
        <w:jc w:val="both"/>
        <w:rPr>
          <w:lang w:val="en-US"/>
        </w:rPr>
      </w:pPr>
      <w:r w:rsidRPr="006F7A00">
        <w:rPr>
          <w:lang w:val="en-US"/>
        </w:rPr>
        <w:t xml:space="preserve">If quality has deserved a lot of attention, little of it has been given to equity.  In equity, gender </w:t>
      </w:r>
      <w:r w:rsidR="00D53CAC">
        <w:rPr>
          <w:lang w:val="en-US"/>
        </w:rPr>
        <w:t>gaps</w:t>
      </w:r>
      <w:r w:rsidRPr="006F7A00">
        <w:rPr>
          <w:lang w:val="en-US"/>
        </w:rPr>
        <w:t xml:space="preserve"> have n</w:t>
      </w:r>
      <w:r w:rsidR="00D53CAC">
        <w:rPr>
          <w:lang w:val="en-US"/>
        </w:rPr>
        <w:t>ot been statistical important</w:t>
      </w:r>
      <w:r w:rsidRPr="006F7A00">
        <w:rPr>
          <w:lang w:val="en-US"/>
        </w:rPr>
        <w:t>;</w:t>
      </w:r>
      <w:r w:rsidR="00D53CAC">
        <w:rPr>
          <w:lang w:val="en-US"/>
        </w:rPr>
        <w:t xml:space="preserve"> </w:t>
      </w:r>
      <w:r w:rsidRPr="006F7A00">
        <w:rPr>
          <w:lang w:val="en-US"/>
        </w:rPr>
        <w:t>the actual gaps have been found in learning performance between public and private schools and between rural and urban schools.</w:t>
      </w:r>
    </w:p>
    <w:p w:rsidR="00F040E4" w:rsidRDefault="006F7A00" w:rsidP="00DA686B">
      <w:pPr>
        <w:jc w:val="both"/>
        <w:rPr>
          <w:lang w:val="en-US"/>
        </w:rPr>
      </w:pPr>
      <w:r w:rsidRPr="006F7A00">
        <w:rPr>
          <w:lang w:val="en-US"/>
        </w:rPr>
        <w:t>The chosen path in Peru has been to migrate to a Result Based Budge (RBB).  Migration to RBB would be less costly if the country has a more organized program budget. The later would allow to organized a RBB inside each program and allow each regional government to decide their own strategies to reach their regional and national goals.</w:t>
      </w:r>
    </w:p>
    <w:p w:rsidR="00125733" w:rsidRDefault="00F040E4" w:rsidP="00DA686B">
      <w:pPr>
        <w:jc w:val="both"/>
        <w:rPr>
          <w:rFonts w:asciiTheme="majorHAnsi" w:eastAsiaTheme="majorEastAsia" w:hAnsiTheme="majorHAnsi" w:cstheme="majorBidi"/>
          <w:b/>
          <w:bCs/>
          <w:color w:val="365F91" w:themeColor="accent1" w:themeShade="BF"/>
          <w:sz w:val="28"/>
          <w:szCs w:val="28"/>
          <w:lang w:val="en-US"/>
        </w:rPr>
      </w:pPr>
      <w:r>
        <w:rPr>
          <w:lang w:val="en-US"/>
        </w:rPr>
        <w:t>As it was mentioned at the beginning of this paper, the results obtained in the analysis confirms what other NGO and academicians have found, and emphasizes the message already passed to political decisions makers: relative good coverage, bad quality, little money spend at the macro level, and not clear targeting strategies in the distributions of funds.  The solutions will come when there is a stronger political decision to improve education.</w:t>
      </w:r>
      <w:r w:rsidR="00125733">
        <w:rPr>
          <w:lang w:val="en-US"/>
        </w:rPr>
        <w:br w:type="page"/>
      </w:r>
    </w:p>
    <w:p w:rsidR="005C4C92" w:rsidRDefault="009038CC" w:rsidP="00B10E41">
      <w:pPr>
        <w:pStyle w:val="Heading1"/>
        <w:rPr>
          <w:lang w:val="en-US"/>
        </w:rPr>
      </w:pPr>
      <w:bookmarkStart w:id="27" w:name="_Toc255446174"/>
      <w:r>
        <w:rPr>
          <w:lang w:val="en-US"/>
        </w:rPr>
        <w:lastRenderedPageBreak/>
        <w:t>V</w:t>
      </w:r>
      <w:r w:rsidR="000C7E1C">
        <w:rPr>
          <w:lang w:val="en-US"/>
        </w:rPr>
        <w:t>I</w:t>
      </w:r>
      <w:r>
        <w:rPr>
          <w:lang w:val="en-US"/>
        </w:rPr>
        <w:t xml:space="preserve">. </w:t>
      </w:r>
      <w:r w:rsidR="005C4C92">
        <w:rPr>
          <w:lang w:val="en-US"/>
        </w:rPr>
        <w:t>Assumptions Made</w:t>
      </w:r>
      <w:bookmarkEnd w:id="27"/>
    </w:p>
    <w:p w:rsidR="00B10E41" w:rsidRPr="00B10E41" w:rsidRDefault="00B10E41" w:rsidP="00B10E41">
      <w:pPr>
        <w:spacing w:after="0"/>
        <w:rPr>
          <w:lang w:val="en-US"/>
        </w:rPr>
      </w:pPr>
    </w:p>
    <w:p w:rsidR="005C4C92" w:rsidRDefault="005C4C92" w:rsidP="00B10E41">
      <w:pPr>
        <w:pStyle w:val="Heading2"/>
        <w:numPr>
          <w:ilvl w:val="0"/>
          <w:numId w:val="17"/>
        </w:numPr>
        <w:spacing w:before="0"/>
        <w:rPr>
          <w:lang w:val="en-US"/>
        </w:rPr>
      </w:pPr>
      <w:bookmarkStart w:id="28" w:name="_Toc255446175"/>
      <w:r>
        <w:rPr>
          <w:lang w:val="en-US"/>
        </w:rPr>
        <w:t>For P</w:t>
      </w:r>
      <w:r w:rsidR="00C16403">
        <w:rPr>
          <w:lang w:val="en-US"/>
        </w:rPr>
        <w:t xml:space="preserve">rogram </w:t>
      </w:r>
      <w:r>
        <w:rPr>
          <w:lang w:val="en-US"/>
        </w:rPr>
        <w:t>B</w:t>
      </w:r>
      <w:r w:rsidR="00C16403">
        <w:rPr>
          <w:lang w:val="en-US"/>
        </w:rPr>
        <w:t xml:space="preserve">udget </w:t>
      </w:r>
      <w:r>
        <w:rPr>
          <w:lang w:val="en-US"/>
        </w:rPr>
        <w:t>A</w:t>
      </w:r>
      <w:r w:rsidR="00C16403">
        <w:rPr>
          <w:lang w:val="en-US"/>
        </w:rPr>
        <w:t>nalysis</w:t>
      </w:r>
      <w:bookmarkEnd w:id="28"/>
    </w:p>
    <w:p w:rsidR="00B10E41" w:rsidRDefault="00B10E41" w:rsidP="00B10E41">
      <w:pPr>
        <w:spacing w:after="0"/>
        <w:jc w:val="both"/>
        <w:rPr>
          <w:lang w:val="en-US" w:eastAsia="es-ES"/>
        </w:rPr>
      </w:pPr>
    </w:p>
    <w:p w:rsidR="005C4C92" w:rsidRDefault="005C4C92" w:rsidP="00B10E41">
      <w:pPr>
        <w:spacing w:after="0"/>
        <w:jc w:val="both"/>
        <w:rPr>
          <w:lang w:val="en-US" w:eastAsia="es-ES"/>
        </w:rPr>
      </w:pPr>
      <w:r w:rsidRPr="005C4C92">
        <w:rPr>
          <w:lang w:val="en-US" w:eastAsia="es-ES"/>
        </w:rPr>
        <w:t>The SIAF data set includes information on the Institutional Opening Budget (PIA, for its Spanish acronym), Institutional Adjusted Planning Budget (PIM) and on the accrued expenditure. This study has considered this last information for years 2006, 2007 and 2008. Nevertheless, considering that during the analysis the accrued expenses in 2009 were still in course, for this specific year it was taken into account the PIA information. That is to mean: it was assumed that at the end of the year, the PIA and the accrued expenditure will match up (or at least will be nearly close).</w:t>
      </w:r>
    </w:p>
    <w:p w:rsidR="00C16403" w:rsidRPr="005C4C92" w:rsidRDefault="00C16403" w:rsidP="00B10E41">
      <w:pPr>
        <w:spacing w:after="0"/>
        <w:jc w:val="both"/>
        <w:rPr>
          <w:lang w:val="en-US" w:eastAsia="es-ES"/>
        </w:rPr>
      </w:pPr>
    </w:p>
    <w:p w:rsidR="005C4C92" w:rsidRPr="005C4C92" w:rsidRDefault="005C4C92" w:rsidP="005C4C92">
      <w:pPr>
        <w:jc w:val="both"/>
        <w:rPr>
          <w:lang w:val="en-US" w:eastAsia="es-ES"/>
        </w:rPr>
      </w:pPr>
      <w:r w:rsidRPr="005C4C92">
        <w:rPr>
          <w:lang w:val="en-US" w:eastAsia="es-ES"/>
        </w:rPr>
        <w:t>Furthermore, It was excluded from this analysis those programs that, even when are quite important as part of the comprehensive training system, they certainly might be regarded as complementary educational programs. Hence, the following programs were not taken into account for the analysis: Science and Technology, Gymnastic and Sports, Culture, Preparedness for Natural Disasters and, at last, Training and Improvement (aimed at teachers). In order to bring consistent results off, it was also excluded from the administration spending those institutional entities intimately related to the programs mentioned above: the National Institute of Culture, the Peruvian Institute of Sports, the National Council for Science and Technology, etcetera.</w:t>
      </w:r>
    </w:p>
    <w:p w:rsidR="005C4C92" w:rsidRPr="005C4C92" w:rsidRDefault="005C4C92" w:rsidP="005C4C92">
      <w:pPr>
        <w:jc w:val="both"/>
        <w:rPr>
          <w:lang w:val="en-US" w:eastAsia="es-ES"/>
        </w:rPr>
      </w:pPr>
      <w:r w:rsidRPr="005C4C92">
        <w:rPr>
          <w:lang w:val="en-US" w:eastAsia="es-ES"/>
        </w:rPr>
        <w:t xml:space="preserve">One of the main obstacles to the progress of this research was the change made in 2009 about the content and definitions used in the SIAF data set. This change represented an impediment for a proper year-to-year comparison of the educational spending for each program or subprogram. For example, the expenses aimed at literacy and adult education were included as part of the Primary Education budget until 2008. However, that was not the best procedure, considering that the primary education program refers essentially to regular basic education. As a result, in 2009 the SIAF delimited this category and created a new program: Alternative Education. This study was particularly careful to sort those subprograms out just as the same way that it was done for the year 2009. For the purpose of this research, these subprograms (Adult Education and Literacy) were included in the Other Education analysis. In the same way it was treated the Work Education program and the Adult Education program, considered as Secondary Education’s subprograms until 2008. This study analyzed them as part of the Other Education budget. </w:t>
      </w:r>
    </w:p>
    <w:p w:rsidR="005C4C92" w:rsidRPr="005C4C92" w:rsidRDefault="005C4C92" w:rsidP="005C4C92">
      <w:pPr>
        <w:jc w:val="both"/>
        <w:rPr>
          <w:lang w:val="en-US" w:eastAsia="es-ES"/>
        </w:rPr>
      </w:pPr>
      <w:r w:rsidRPr="005C4C92">
        <w:rPr>
          <w:lang w:val="en-US" w:eastAsia="es-ES"/>
        </w:rPr>
        <w:t xml:space="preserve">A similar procedure was used for the case of the Student Grant program. The most of this spending was aimed at college students. Consequently, it was reasonable to think that this expenditure should be considered as part of the Tertiary Education budget’s analysis. Nevertheless, Student Grant spending was treated by SIAF as a detached program. This analysis includes the Student Grant in the Tertiary Education budget. </w:t>
      </w:r>
    </w:p>
    <w:p w:rsidR="005C4C92" w:rsidRPr="005C4C92" w:rsidRDefault="005C4C92" w:rsidP="005C4C92">
      <w:pPr>
        <w:jc w:val="both"/>
        <w:rPr>
          <w:lang w:val="en-US" w:eastAsia="es-ES"/>
        </w:rPr>
      </w:pPr>
      <w:r w:rsidRPr="005C4C92">
        <w:rPr>
          <w:lang w:val="en-US" w:eastAsia="es-ES"/>
        </w:rPr>
        <w:t xml:space="preserve">About the education infrastructure, it is clear for the purpose of this research that the infrastructure spending should be regarded as an investment, either as part of the Primary Education budget or as part of the Secondary Education budget (it must be taken into account that this program budget refers basically to the construction and maintenance of </w:t>
      </w:r>
      <w:r w:rsidRPr="005C4C92">
        <w:rPr>
          <w:lang w:val="en-US" w:eastAsia="es-ES"/>
        </w:rPr>
        <w:lastRenderedPageBreak/>
        <w:t xml:space="preserve">the education buildings). The SIAF data set did not allow us to discern the exact allocation of the infrastructure expenses as part of regular basic education’s investment. For this reason, this study has assumed that the infrastructure spending must be distributed both the Primary and the Secondary Education expenditure. This study prorates this investment mount based on the percentage of Primary and Secondary enrollments.   </w:t>
      </w:r>
    </w:p>
    <w:p w:rsidR="005C4C92" w:rsidRPr="005C4C92" w:rsidRDefault="005C4C92" w:rsidP="005C4C92">
      <w:pPr>
        <w:jc w:val="both"/>
        <w:rPr>
          <w:lang w:val="en-US" w:eastAsia="es-ES"/>
        </w:rPr>
      </w:pPr>
      <w:r w:rsidRPr="005C4C92">
        <w:rPr>
          <w:lang w:val="en-US" w:eastAsia="es-ES"/>
        </w:rPr>
        <w:t xml:space="preserve">About the budget’s categories, it was found that the SIAF the Consultancy Services Hiring (CAS, for its Spanish acronym) as part of the spending related to the Goods and Services category. However, for the purpose of this analysis, it has been assumed that CAS must be considered as part of the Wages expenses. Otherwise, this category could be underestimated and the analysis could lead us to mistaken conclusions. </w:t>
      </w:r>
    </w:p>
    <w:p w:rsidR="005C4C92" w:rsidRPr="005C4C92" w:rsidRDefault="005C4C92" w:rsidP="005C4C92">
      <w:pPr>
        <w:jc w:val="both"/>
        <w:rPr>
          <w:lang w:val="en-US" w:eastAsia="es-ES"/>
        </w:rPr>
      </w:pPr>
      <w:r w:rsidRPr="005C4C92">
        <w:rPr>
          <w:lang w:val="en-US" w:eastAsia="es-ES"/>
        </w:rPr>
        <w:t>Finally, in relation to the sources of spending, this study assumed that the mount of expenditure which comes from households is what the SIAF defines as Direct Collection Sources (RDR, for its Spanish acronym). This category refers to the income generated by the institutions directly involved. In the case of the Education sector, these institutions are on the whole schools and campus universities. Since the sources that they collect are basically based on enrollment payment and APAFA</w:t>
      </w:r>
      <w:r>
        <w:rPr>
          <w:rStyle w:val="FootnoteReference"/>
          <w:lang w:val="en-US" w:eastAsia="es-ES"/>
        </w:rPr>
        <w:footnoteReference w:id="10"/>
      </w:r>
      <w:r w:rsidRPr="005C4C92">
        <w:rPr>
          <w:lang w:val="en-US" w:eastAsia="es-ES"/>
        </w:rPr>
        <w:t>, the assumption made is quite valid.</w:t>
      </w:r>
    </w:p>
    <w:p w:rsidR="005C4C92" w:rsidRDefault="00291E56" w:rsidP="00291E56">
      <w:pPr>
        <w:pStyle w:val="Heading2"/>
        <w:numPr>
          <w:ilvl w:val="0"/>
          <w:numId w:val="17"/>
        </w:numPr>
        <w:rPr>
          <w:lang w:val="en-US"/>
        </w:rPr>
      </w:pPr>
      <w:bookmarkStart w:id="29" w:name="_Toc255446176"/>
      <w:r>
        <w:rPr>
          <w:lang w:val="en-US"/>
        </w:rPr>
        <w:t>For B</w:t>
      </w:r>
      <w:r w:rsidR="00C16403">
        <w:rPr>
          <w:lang w:val="en-US"/>
        </w:rPr>
        <w:t xml:space="preserve">enefit </w:t>
      </w:r>
      <w:r>
        <w:rPr>
          <w:lang w:val="en-US"/>
        </w:rPr>
        <w:t>I</w:t>
      </w:r>
      <w:r w:rsidR="00C16403">
        <w:rPr>
          <w:lang w:val="en-US"/>
        </w:rPr>
        <w:t xml:space="preserve">ncidence </w:t>
      </w:r>
      <w:r>
        <w:rPr>
          <w:lang w:val="en-US"/>
        </w:rPr>
        <w:t>A</w:t>
      </w:r>
      <w:r w:rsidR="00C16403">
        <w:rPr>
          <w:lang w:val="en-US"/>
        </w:rPr>
        <w:t>nalysis</w:t>
      </w:r>
      <w:bookmarkEnd w:id="29"/>
    </w:p>
    <w:p w:rsidR="00291E56" w:rsidRDefault="00291E56" w:rsidP="00291E56">
      <w:pPr>
        <w:spacing w:after="0"/>
        <w:rPr>
          <w:lang w:val="en-US"/>
        </w:rPr>
      </w:pPr>
    </w:p>
    <w:p w:rsidR="00291E56" w:rsidRDefault="00291E56" w:rsidP="00291E56">
      <w:pPr>
        <w:spacing w:after="0"/>
        <w:jc w:val="both"/>
        <w:rPr>
          <w:lang w:val="en-US"/>
        </w:rPr>
      </w:pPr>
      <w:r w:rsidRPr="00291E56">
        <w:rPr>
          <w:lang w:val="en-US"/>
        </w:rPr>
        <w:t>The strongest assumption made is about the government subsidy estimation. It would not be possible to discern the socioeconomic status of each student in their schools. Moreover, it would be even more difficult for the government to accurately distinguish the expenditure quintile that benefits from its subsidy, inside each one of the public schools. As a consequence, the estimation of the per-student government spending was made assuming that the government spends equitably on every student of a public school, without considering their socioeconomic status.</w:t>
      </w:r>
    </w:p>
    <w:p w:rsidR="00291E56" w:rsidRPr="00291E56" w:rsidRDefault="00291E56" w:rsidP="00291E56">
      <w:pPr>
        <w:spacing w:after="0"/>
        <w:jc w:val="both"/>
        <w:rPr>
          <w:lang w:val="en-US"/>
        </w:rPr>
      </w:pPr>
    </w:p>
    <w:p w:rsidR="00291E56" w:rsidRDefault="00291E56" w:rsidP="00291E56">
      <w:pPr>
        <w:jc w:val="both"/>
        <w:rPr>
          <w:lang w:val="en-US"/>
        </w:rPr>
      </w:pPr>
      <w:r w:rsidRPr="00291E56">
        <w:rPr>
          <w:lang w:val="en-US"/>
        </w:rPr>
        <w:t>On the other hand, to bring the per-student government subsidy off, it must be taken into account that the SIAF data includes information about the Direct Collection Sources (RDR, for its Spanish acronym). This category refers to the income generated by the institutions directly involved. In the case of the Education sector, these institutions are on the whole schools and campus universities. Since the sources that this category collects is based on enrollment payment and APAFA, the government subsidy was calculated without it, in order to estimate just the government subsidy and keep the household expenses out of the analysis.</w:t>
      </w:r>
    </w:p>
    <w:p w:rsidR="00570224" w:rsidRDefault="00570224">
      <w:pPr>
        <w:rPr>
          <w:lang w:val="en-US"/>
        </w:rPr>
      </w:pPr>
      <w:r>
        <w:rPr>
          <w:lang w:val="en-US"/>
        </w:rPr>
        <w:br w:type="page"/>
      </w:r>
    </w:p>
    <w:p w:rsidR="00570224" w:rsidRPr="002727CA" w:rsidRDefault="009038CC" w:rsidP="00570224">
      <w:pPr>
        <w:pStyle w:val="Heading1"/>
        <w:rPr>
          <w:rFonts w:eastAsia="Times New Roman"/>
          <w:lang w:val="en-US" w:eastAsia="es-ES"/>
        </w:rPr>
      </w:pPr>
      <w:bookmarkStart w:id="30" w:name="_Toc255446177"/>
      <w:r>
        <w:rPr>
          <w:rFonts w:eastAsia="Times New Roman"/>
          <w:lang w:val="en-US" w:eastAsia="es-ES"/>
        </w:rPr>
        <w:lastRenderedPageBreak/>
        <w:t>V</w:t>
      </w:r>
      <w:r w:rsidR="000C7E1C">
        <w:rPr>
          <w:rFonts w:eastAsia="Times New Roman"/>
          <w:lang w:val="en-US" w:eastAsia="es-ES"/>
        </w:rPr>
        <w:t>I</w:t>
      </w:r>
      <w:r w:rsidR="00DD2E1C">
        <w:rPr>
          <w:rFonts w:eastAsia="Times New Roman"/>
          <w:lang w:val="en-US" w:eastAsia="es-ES"/>
        </w:rPr>
        <w:t>I</w:t>
      </w:r>
      <w:r>
        <w:rPr>
          <w:rFonts w:eastAsia="Times New Roman"/>
          <w:lang w:val="en-US" w:eastAsia="es-ES"/>
        </w:rPr>
        <w:t xml:space="preserve">. </w:t>
      </w:r>
      <w:r w:rsidR="00570224" w:rsidRPr="002727CA">
        <w:rPr>
          <w:rFonts w:eastAsia="Times New Roman"/>
          <w:lang w:val="en-US" w:eastAsia="es-ES"/>
        </w:rPr>
        <w:t xml:space="preserve">Challenges to </w:t>
      </w:r>
      <w:r w:rsidR="00570224">
        <w:rPr>
          <w:rFonts w:eastAsia="Times New Roman"/>
          <w:lang w:val="en-US" w:eastAsia="es-ES"/>
        </w:rPr>
        <w:t>C</w:t>
      </w:r>
      <w:r w:rsidR="00570224" w:rsidRPr="002727CA">
        <w:rPr>
          <w:rFonts w:eastAsia="Times New Roman"/>
          <w:lang w:val="en-US" w:eastAsia="es-ES"/>
        </w:rPr>
        <w:t xml:space="preserve">onducting this </w:t>
      </w:r>
      <w:r w:rsidR="00570224">
        <w:rPr>
          <w:rFonts w:eastAsia="Times New Roman"/>
          <w:lang w:val="en-US" w:eastAsia="es-ES"/>
        </w:rPr>
        <w:t>Work</w:t>
      </w:r>
      <w:bookmarkEnd w:id="30"/>
    </w:p>
    <w:p w:rsidR="00570224" w:rsidRDefault="00570224" w:rsidP="008C075A">
      <w:pPr>
        <w:spacing w:after="0"/>
        <w:jc w:val="both"/>
        <w:rPr>
          <w:lang w:val="en-US"/>
        </w:rPr>
      </w:pPr>
    </w:p>
    <w:p w:rsidR="008C075A" w:rsidRPr="000F5140" w:rsidRDefault="008C075A" w:rsidP="008C075A">
      <w:pPr>
        <w:spacing w:after="0"/>
        <w:jc w:val="both"/>
        <w:rPr>
          <w:rFonts w:eastAsia="Times New Roman"/>
          <w:lang w:val="en-US" w:eastAsia="es-ES"/>
        </w:rPr>
      </w:pPr>
      <w:r>
        <w:rPr>
          <w:rFonts w:eastAsia="Times New Roman"/>
          <w:lang w:val="en-US" w:eastAsia="es-ES"/>
        </w:rPr>
        <w:t xml:space="preserve">The main challenges to this research were basically linked to the data set. On the one hand, this data was entirely available and updated on the website. That was a great advantage as much as let the analysis find out consistent results. Nevertheless, there were some obstacles that hindered this research. For example, the redefinition of the entries in the budget that the SIAF did for the year 2009, demanded to be particularly careful about the reclassification and the </w:t>
      </w:r>
      <w:proofErr w:type="spellStart"/>
      <w:r>
        <w:rPr>
          <w:rFonts w:eastAsia="Times New Roman"/>
          <w:lang w:val="en-US" w:eastAsia="es-ES"/>
        </w:rPr>
        <w:t>interannual</w:t>
      </w:r>
      <w:proofErr w:type="spellEnd"/>
      <w:r>
        <w:rPr>
          <w:rFonts w:eastAsia="Times New Roman"/>
          <w:lang w:val="en-US" w:eastAsia="es-ES"/>
        </w:rPr>
        <w:t xml:space="preserve"> analysis. </w:t>
      </w:r>
      <w:r w:rsidRPr="000F5140">
        <w:rPr>
          <w:rFonts w:eastAsia="Times New Roman"/>
          <w:lang w:val="en-US" w:eastAsia="es-ES"/>
        </w:rPr>
        <w:t xml:space="preserve">Moreover, it must be pointed out that the </w:t>
      </w:r>
      <w:r>
        <w:rPr>
          <w:rFonts w:eastAsia="Times New Roman"/>
          <w:lang w:val="en-US" w:eastAsia="es-ES"/>
        </w:rPr>
        <w:t xml:space="preserve">data set has been organized in such a way that turns difficult to get any kind of detailed information. That was a big challenge to obtaining the specific information requested by this </w:t>
      </w:r>
      <w:proofErr w:type="gramStart"/>
      <w:r>
        <w:rPr>
          <w:rFonts w:eastAsia="Times New Roman"/>
          <w:lang w:val="en-US" w:eastAsia="es-ES"/>
        </w:rPr>
        <w:t>project</w:t>
      </w:r>
      <w:r w:rsidR="00D7416F">
        <w:rPr>
          <w:rFonts w:eastAsia="Times New Roman"/>
          <w:lang w:val="en-US" w:eastAsia="es-ES"/>
        </w:rPr>
        <w:t xml:space="preserve">  to</w:t>
      </w:r>
      <w:proofErr w:type="gramEnd"/>
      <w:r w:rsidR="00D7416F">
        <w:rPr>
          <w:rFonts w:eastAsia="Times New Roman"/>
          <w:lang w:val="en-US" w:eastAsia="es-ES"/>
        </w:rPr>
        <w:t xml:space="preserve"> make</w:t>
      </w:r>
      <w:r>
        <w:rPr>
          <w:rFonts w:eastAsia="Times New Roman"/>
          <w:lang w:val="en-US" w:eastAsia="es-ES"/>
        </w:rPr>
        <w:t xml:space="preserve"> a correct year-to-year comparison.</w:t>
      </w:r>
    </w:p>
    <w:p w:rsidR="009038CC" w:rsidRDefault="009038CC" w:rsidP="005030C3">
      <w:pPr>
        <w:spacing w:after="0"/>
        <w:jc w:val="both"/>
        <w:rPr>
          <w:rFonts w:eastAsia="Times New Roman"/>
          <w:lang w:val="en-US" w:eastAsia="es-ES"/>
        </w:rPr>
      </w:pPr>
    </w:p>
    <w:p w:rsidR="008C075A" w:rsidRDefault="008C075A" w:rsidP="005030C3">
      <w:pPr>
        <w:spacing w:after="0"/>
        <w:jc w:val="both"/>
        <w:rPr>
          <w:rFonts w:eastAsia="Times New Roman"/>
          <w:lang w:val="en-US" w:eastAsia="es-ES"/>
        </w:rPr>
      </w:pPr>
      <w:r w:rsidRPr="008A6FA5">
        <w:rPr>
          <w:rFonts w:eastAsia="Times New Roman"/>
          <w:lang w:val="en-US" w:eastAsia="es-ES"/>
        </w:rPr>
        <w:t>Furthermore, the fact that</w:t>
      </w:r>
      <w:r>
        <w:rPr>
          <w:rFonts w:eastAsia="Times New Roman"/>
          <w:lang w:val="en-US" w:eastAsia="es-ES"/>
        </w:rPr>
        <w:t xml:space="preserve"> the data set does not allowed </w:t>
      </w:r>
      <w:r w:rsidR="00D7416F">
        <w:rPr>
          <w:rFonts w:eastAsia="Times New Roman"/>
          <w:lang w:val="en-US" w:eastAsia="es-ES"/>
        </w:rPr>
        <w:t>identifying</w:t>
      </w:r>
      <w:r>
        <w:rPr>
          <w:rFonts w:eastAsia="Times New Roman"/>
          <w:lang w:val="en-US" w:eastAsia="es-ES"/>
        </w:rPr>
        <w:t xml:space="preserve"> how much spending is assigned both to rural and urban </w:t>
      </w:r>
      <w:r w:rsidR="00D7416F">
        <w:rPr>
          <w:rFonts w:eastAsia="Times New Roman"/>
          <w:lang w:val="en-US" w:eastAsia="es-ES"/>
        </w:rPr>
        <w:t>areas</w:t>
      </w:r>
      <w:r>
        <w:rPr>
          <w:rFonts w:eastAsia="Times New Roman"/>
          <w:lang w:val="en-US" w:eastAsia="es-ES"/>
        </w:rPr>
        <w:t xml:space="preserve"> hindered this key analysis. </w:t>
      </w:r>
      <w:r w:rsidR="00C07400">
        <w:rPr>
          <w:rFonts w:eastAsia="Times New Roman"/>
          <w:lang w:val="en-US" w:eastAsia="es-ES"/>
        </w:rPr>
        <w:t xml:space="preserve">Even when it was possible to complete a </w:t>
      </w:r>
      <w:proofErr w:type="spellStart"/>
      <w:r w:rsidR="00C07400">
        <w:rPr>
          <w:rFonts w:eastAsia="Times New Roman"/>
          <w:lang w:val="en-US" w:eastAsia="es-ES"/>
        </w:rPr>
        <w:t>rurality</w:t>
      </w:r>
      <w:proofErr w:type="spellEnd"/>
      <w:r w:rsidR="00C07400">
        <w:rPr>
          <w:rFonts w:eastAsia="Times New Roman"/>
          <w:lang w:val="en-US" w:eastAsia="es-ES"/>
        </w:rPr>
        <w:t xml:space="preserve"> index in the ENAHO by region (</w:t>
      </w:r>
      <w:r>
        <w:rPr>
          <w:rFonts w:eastAsia="Times New Roman"/>
          <w:lang w:val="en-US" w:eastAsia="es-ES"/>
        </w:rPr>
        <w:t>taking the percentage of rural population as a reference to examine the budget assigned to rural are</w:t>
      </w:r>
      <w:r w:rsidRPr="00E831F0">
        <w:rPr>
          <w:rFonts w:eastAsia="Times New Roman"/>
          <w:lang w:val="en-US" w:eastAsia="es-ES"/>
        </w:rPr>
        <w:t>as</w:t>
      </w:r>
      <w:r w:rsidR="00C07400" w:rsidRPr="00E831F0">
        <w:rPr>
          <w:rFonts w:eastAsia="Times New Roman"/>
          <w:lang w:val="en-US" w:eastAsia="es-ES"/>
        </w:rPr>
        <w:t xml:space="preserve">), problem was that </w:t>
      </w:r>
      <w:r w:rsidR="00B237EF" w:rsidRPr="00E831F0">
        <w:rPr>
          <w:rFonts w:eastAsia="Times New Roman"/>
          <w:lang w:val="en-US" w:eastAsia="es-ES"/>
        </w:rPr>
        <w:t xml:space="preserve">for the SIAF data set the disaggregated information can only be evaluated at a regional level, not by rural area. As a consequence, </w:t>
      </w:r>
      <w:r w:rsidR="00582184" w:rsidRPr="00E831F0">
        <w:rPr>
          <w:rFonts w:eastAsia="Times New Roman"/>
          <w:lang w:val="en-US" w:eastAsia="es-ES"/>
        </w:rPr>
        <w:t>regions were reclassified to macro-regions (that is, regions that share some important geographical and socio-economic characteristics were regrouped).</w:t>
      </w:r>
      <w:r w:rsidR="003C42FC" w:rsidRPr="00E831F0">
        <w:rPr>
          <w:rFonts w:eastAsia="Times New Roman"/>
          <w:lang w:val="en-US" w:eastAsia="es-ES"/>
        </w:rPr>
        <w:t xml:space="preserve"> To see the list of what regions regrouped to what macro-region, see Appendix C.1.</w:t>
      </w:r>
    </w:p>
    <w:p w:rsidR="009038CC" w:rsidRDefault="009038CC">
      <w:pPr>
        <w:rPr>
          <w:rFonts w:eastAsia="Times New Roman"/>
          <w:lang w:val="en-US" w:eastAsia="es-ES"/>
        </w:rPr>
      </w:pPr>
      <w:r>
        <w:rPr>
          <w:rFonts w:eastAsia="Times New Roman"/>
          <w:lang w:val="en-US" w:eastAsia="es-ES"/>
        </w:rPr>
        <w:br w:type="page"/>
      </w:r>
    </w:p>
    <w:p w:rsidR="008B3C4F" w:rsidRDefault="008B3C4F" w:rsidP="008B3C4F">
      <w:pPr>
        <w:pStyle w:val="Heading1"/>
        <w:spacing w:before="0"/>
      </w:pPr>
      <w:bookmarkStart w:id="31" w:name="_Toc255446179"/>
      <w:r>
        <w:lastRenderedPageBreak/>
        <w:t xml:space="preserve">IX. </w:t>
      </w:r>
      <w:proofErr w:type="spellStart"/>
      <w:r>
        <w:t>Bibliography</w:t>
      </w:r>
      <w:bookmarkEnd w:id="31"/>
      <w:proofErr w:type="spellEnd"/>
    </w:p>
    <w:p w:rsidR="0087247B" w:rsidRDefault="0087247B" w:rsidP="0087247B">
      <w:pPr>
        <w:rPr>
          <w:lang w:val="en-US"/>
        </w:rPr>
      </w:pPr>
    </w:p>
    <w:p w:rsidR="0087247B" w:rsidRDefault="0087247B" w:rsidP="0087247B">
      <w:pPr>
        <w:spacing w:after="0"/>
        <w:rPr>
          <w:lang w:val="en-US"/>
        </w:rPr>
      </w:pPr>
      <w:proofErr w:type="gramStart"/>
      <w:r w:rsidRPr="00DB0397">
        <w:rPr>
          <w:lang w:val="en-US"/>
        </w:rPr>
        <w:t>Ministry of Economy and Finance.</w:t>
      </w:r>
      <w:proofErr w:type="gramEnd"/>
      <w:r w:rsidRPr="00DB0397">
        <w:rPr>
          <w:lang w:val="en-US"/>
        </w:rPr>
        <w:t xml:space="preserve"> </w:t>
      </w:r>
      <w:proofErr w:type="gramStart"/>
      <w:r w:rsidRPr="00DB0397">
        <w:rPr>
          <w:lang w:val="en-US"/>
        </w:rPr>
        <w:t>SIAF system</w:t>
      </w:r>
      <w:r>
        <w:rPr>
          <w:lang w:val="en-US"/>
        </w:rPr>
        <w:t>.</w:t>
      </w:r>
      <w:proofErr w:type="gramEnd"/>
      <w:r>
        <w:rPr>
          <w:lang w:val="en-US"/>
        </w:rPr>
        <w:t xml:space="preserve"> </w:t>
      </w:r>
    </w:p>
    <w:p w:rsidR="0087247B" w:rsidRDefault="0019273C" w:rsidP="0087247B">
      <w:pPr>
        <w:spacing w:after="0"/>
        <w:rPr>
          <w:lang w:val="en-US"/>
        </w:rPr>
      </w:pPr>
      <w:hyperlink r:id="rId19" w:history="1">
        <w:r w:rsidR="0087247B" w:rsidRPr="0087247B">
          <w:rPr>
            <w:rStyle w:val="Hyperlink"/>
            <w:lang w:val="en-US"/>
          </w:rPr>
          <w:t>http://transparencia-economica.mef.gob.pe/</w:t>
        </w:r>
      </w:hyperlink>
    </w:p>
    <w:p w:rsidR="0087247B" w:rsidRPr="00DB0397" w:rsidRDefault="0087247B" w:rsidP="0087247B">
      <w:pPr>
        <w:rPr>
          <w:lang w:val="en-US"/>
        </w:rPr>
      </w:pPr>
      <w:r>
        <w:rPr>
          <w:lang w:val="en-US"/>
        </w:rPr>
        <w:t xml:space="preserve"> </w:t>
      </w:r>
    </w:p>
    <w:p w:rsidR="0087247B" w:rsidRDefault="0087247B" w:rsidP="0087247B">
      <w:pPr>
        <w:spacing w:after="0"/>
        <w:rPr>
          <w:lang w:val="en-US"/>
        </w:rPr>
      </w:pPr>
      <w:proofErr w:type="gramStart"/>
      <w:r w:rsidRPr="00DB0397">
        <w:rPr>
          <w:lang w:val="en-US"/>
        </w:rPr>
        <w:t xml:space="preserve">Ministry </w:t>
      </w:r>
      <w:r>
        <w:rPr>
          <w:lang w:val="en-US"/>
        </w:rPr>
        <w:t>of Education.</w:t>
      </w:r>
      <w:proofErr w:type="gramEnd"/>
      <w:r>
        <w:rPr>
          <w:lang w:val="en-US"/>
        </w:rPr>
        <w:t xml:space="preserve"> </w:t>
      </w:r>
      <w:proofErr w:type="gramStart"/>
      <w:r>
        <w:rPr>
          <w:lang w:val="en-US"/>
        </w:rPr>
        <w:t>ESCALE and UMC unit data base.</w:t>
      </w:r>
      <w:proofErr w:type="gramEnd"/>
    </w:p>
    <w:p w:rsidR="0087247B" w:rsidRDefault="0019273C" w:rsidP="0087247B">
      <w:pPr>
        <w:spacing w:after="0"/>
        <w:rPr>
          <w:lang w:val="en-US"/>
        </w:rPr>
      </w:pPr>
      <w:hyperlink r:id="rId20" w:history="1">
        <w:r w:rsidR="0087247B" w:rsidRPr="0087247B">
          <w:rPr>
            <w:rStyle w:val="Hyperlink"/>
            <w:lang w:val="en-US"/>
          </w:rPr>
          <w:t>http://www.minedu.gob.pe/</w:t>
        </w:r>
      </w:hyperlink>
    </w:p>
    <w:p w:rsidR="0087247B" w:rsidRDefault="0087247B" w:rsidP="0087247B">
      <w:pPr>
        <w:rPr>
          <w:lang w:val="en-US"/>
        </w:rPr>
      </w:pPr>
    </w:p>
    <w:p w:rsidR="0087247B" w:rsidRDefault="0087247B" w:rsidP="0087247B">
      <w:pPr>
        <w:spacing w:after="0"/>
        <w:rPr>
          <w:lang w:val="en-US"/>
        </w:rPr>
      </w:pPr>
      <w:r>
        <w:rPr>
          <w:lang w:val="en-US"/>
        </w:rPr>
        <w:t xml:space="preserve">National Statistics Institute.  </w:t>
      </w:r>
      <w:proofErr w:type="gramStart"/>
      <w:r>
        <w:rPr>
          <w:lang w:val="en-US"/>
        </w:rPr>
        <w:t>Household survey database.</w:t>
      </w:r>
      <w:proofErr w:type="gramEnd"/>
      <w:r>
        <w:rPr>
          <w:lang w:val="en-US"/>
        </w:rPr>
        <w:t xml:space="preserve"> </w:t>
      </w:r>
    </w:p>
    <w:p w:rsidR="0087247B" w:rsidRDefault="0019273C" w:rsidP="0087247B">
      <w:pPr>
        <w:spacing w:after="0"/>
        <w:rPr>
          <w:lang w:val="en-US"/>
        </w:rPr>
      </w:pPr>
      <w:hyperlink r:id="rId21" w:history="1">
        <w:r w:rsidR="0087247B" w:rsidRPr="0087247B">
          <w:rPr>
            <w:rStyle w:val="Hyperlink"/>
            <w:lang w:val="en-US"/>
          </w:rPr>
          <w:t>http://www.inei.gob.pe/</w:t>
        </w:r>
      </w:hyperlink>
    </w:p>
    <w:p w:rsidR="0087247B" w:rsidRDefault="0087247B" w:rsidP="0087247B">
      <w:pPr>
        <w:rPr>
          <w:b/>
          <w:lang w:val="en-US"/>
        </w:rPr>
      </w:pPr>
    </w:p>
    <w:p w:rsidR="0087247B" w:rsidRPr="00DB0397" w:rsidRDefault="0087247B" w:rsidP="0087247B">
      <w:pPr>
        <w:rPr>
          <w:b/>
          <w:lang w:val="en-US"/>
        </w:rPr>
      </w:pPr>
      <w:r w:rsidRPr="00DB0397">
        <w:rPr>
          <w:b/>
          <w:lang w:val="en-US"/>
        </w:rPr>
        <w:t>Secondary sources</w:t>
      </w:r>
    </w:p>
    <w:p w:rsidR="0087247B" w:rsidRPr="00B57979" w:rsidRDefault="0087247B" w:rsidP="00914969">
      <w:pPr>
        <w:jc w:val="both"/>
      </w:pPr>
      <w:r>
        <w:rPr>
          <w:lang w:val="en-US"/>
        </w:rPr>
        <w:t xml:space="preserve">Alvarado, Betty, Eduardo Moron (2008). </w:t>
      </w:r>
      <w:r w:rsidR="00D13505">
        <w:rPr>
          <w:lang w:val="en-US"/>
        </w:rPr>
        <w:t>“</w:t>
      </w:r>
      <w:r w:rsidRPr="00AC6A82">
        <w:rPr>
          <w:lang w:val="en-US"/>
        </w:rPr>
        <w:t xml:space="preserve">Peru: Towards a Result Based Budget, </w:t>
      </w:r>
      <w:r>
        <w:rPr>
          <w:lang w:val="en-US"/>
        </w:rPr>
        <w:t>S</w:t>
      </w:r>
      <w:r w:rsidRPr="00AC6A82">
        <w:rPr>
          <w:lang w:val="en-US"/>
        </w:rPr>
        <w:t xml:space="preserve">trengthening </w:t>
      </w:r>
      <w:r>
        <w:rPr>
          <w:lang w:val="en-US"/>
        </w:rPr>
        <w:t>T</w:t>
      </w:r>
      <w:r w:rsidRPr="00AC6A82">
        <w:rPr>
          <w:lang w:val="en-US"/>
        </w:rPr>
        <w:t xml:space="preserve">ransparency and </w:t>
      </w:r>
      <w:r>
        <w:rPr>
          <w:lang w:val="en-US"/>
        </w:rPr>
        <w:t>A</w:t>
      </w:r>
      <w:r w:rsidRPr="00AC6A82">
        <w:rPr>
          <w:lang w:val="en-US"/>
        </w:rPr>
        <w:t>ccountability</w:t>
      </w:r>
      <w:r w:rsidR="00D13505">
        <w:rPr>
          <w:lang w:val="en-US"/>
        </w:rPr>
        <w:t>”</w:t>
      </w:r>
      <w:r w:rsidRPr="00AC6A82">
        <w:rPr>
          <w:lang w:val="en-US"/>
        </w:rPr>
        <w:t>.</w:t>
      </w:r>
      <w:r>
        <w:rPr>
          <w:lang w:val="en-US"/>
        </w:rPr>
        <w:t xml:space="preserve"> </w:t>
      </w:r>
      <w:r w:rsidRPr="00B57979">
        <w:t xml:space="preserve">Universidad del Pacífico, </w:t>
      </w:r>
      <w:proofErr w:type="spellStart"/>
      <w:r w:rsidRPr="00B57979">
        <w:t>Results</w:t>
      </w:r>
      <w:proofErr w:type="spellEnd"/>
      <w:r w:rsidRPr="00B57979">
        <w:t xml:space="preserve"> </w:t>
      </w:r>
      <w:proofErr w:type="spellStart"/>
      <w:r w:rsidRPr="00B57979">
        <w:t>for</w:t>
      </w:r>
      <w:proofErr w:type="spellEnd"/>
      <w:r w:rsidRPr="00B57979">
        <w:t xml:space="preserve"> </w:t>
      </w:r>
      <w:proofErr w:type="spellStart"/>
      <w:r w:rsidRPr="00B57979">
        <w:t>Development</w:t>
      </w:r>
      <w:proofErr w:type="spellEnd"/>
      <w:r w:rsidRPr="00B57979">
        <w:t>.</w:t>
      </w:r>
    </w:p>
    <w:p w:rsidR="0087247B" w:rsidRDefault="0087247B" w:rsidP="00914969">
      <w:pPr>
        <w:jc w:val="both"/>
        <w:rPr>
          <w:lang w:val="es-PE"/>
        </w:rPr>
      </w:pPr>
      <w:proofErr w:type="spellStart"/>
      <w:r>
        <w:rPr>
          <w:lang w:val="es-PE"/>
        </w:rPr>
        <w:t>Crouch</w:t>
      </w:r>
      <w:proofErr w:type="spellEnd"/>
      <w:r>
        <w:rPr>
          <w:lang w:val="es-PE"/>
        </w:rPr>
        <w:t xml:space="preserve">, Luis (2006). </w:t>
      </w:r>
      <w:r w:rsidR="00D13505">
        <w:rPr>
          <w:lang w:val="es-PE"/>
        </w:rPr>
        <w:t>“Por una educación de calidad en el Perú</w:t>
      </w:r>
      <w:r w:rsidR="001A0C9B">
        <w:rPr>
          <w:lang w:val="es-PE"/>
        </w:rPr>
        <w:t>: Estándares, rendición de cuentas y fortalecimiento de capacidades</w:t>
      </w:r>
      <w:r w:rsidR="00D13505">
        <w:rPr>
          <w:lang w:val="es-PE"/>
        </w:rPr>
        <w:t xml:space="preserve">”. </w:t>
      </w:r>
      <w:r>
        <w:rPr>
          <w:lang w:val="es-PE"/>
        </w:rPr>
        <w:t xml:space="preserve">En: Un nuevo contrato social para el Perú. Banco Mundial. </w:t>
      </w:r>
      <w:r w:rsidRPr="00862174">
        <w:t>Lima</w:t>
      </w:r>
      <w:r>
        <w:rPr>
          <w:lang w:val="es-PE"/>
        </w:rPr>
        <w:t>.</w:t>
      </w:r>
    </w:p>
    <w:p w:rsidR="0087247B" w:rsidRDefault="00D13505" w:rsidP="00914969">
      <w:pPr>
        <w:jc w:val="both"/>
        <w:rPr>
          <w:lang w:val="es-PE"/>
        </w:rPr>
      </w:pPr>
      <w:proofErr w:type="spellStart"/>
      <w:r>
        <w:rPr>
          <w:lang w:val="es-PE"/>
        </w:rPr>
        <w:t>Larios</w:t>
      </w:r>
      <w:proofErr w:type="spellEnd"/>
      <w:r>
        <w:rPr>
          <w:lang w:val="es-PE"/>
        </w:rPr>
        <w:t xml:space="preserve">, </w:t>
      </w:r>
      <w:proofErr w:type="spellStart"/>
      <w:r>
        <w:rPr>
          <w:lang w:val="es-PE"/>
        </w:rPr>
        <w:t>Jose</w:t>
      </w:r>
      <w:proofErr w:type="spellEnd"/>
      <w:r>
        <w:rPr>
          <w:lang w:val="es-PE"/>
        </w:rPr>
        <w:t>;</w:t>
      </w:r>
      <w:r w:rsidR="0087247B">
        <w:rPr>
          <w:lang w:val="es-PE"/>
        </w:rPr>
        <w:t xml:space="preserve"> Betty Alvarado (2004). </w:t>
      </w:r>
      <w:r>
        <w:rPr>
          <w:lang w:val="es-PE"/>
        </w:rPr>
        <w:t>“</w:t>
      </w:r>
      <w:r w:rsidR="0087247B">
        <w:rPr>
          <w:lang w:val="es-PE"/>
        </w:rPr>
        <w:t>Descentralización Fiscal Comparada. Pro Descentraliza</w:t>
      </w:r>
      <w:r w:rsidR="001A0C9B">
        <w:rPr>
          <w:lang w:val="es-PE"/>
        </w:rPr>
        <w:t>c</w:t>
      </w:r>
      <w:r w:rsidR="0087247B">
        <w:rPr>
          <w:lang w:val="es-PE"/>
        </w:rPr>
        <w:t>ión</w:t>
      </w:r>
      <w:r>
        <w:rPr>
          <w:lang w:val="es-PE"/>
        </w:rPr>
        <w:t>”</w:t>
      </w:r>
      <w:r w:rsidR="0087247B">
        <w:rPr>
          <w:lang w:val="es-PE"/>
        </w:rPr>
        <w:t>. ARD Contratista.</w:t>
      </w:r>
    </w:p>
    <w:p w:rsidR="0087247B" w:rsidRPr="00862174" w:rsidRDefault="0087247B" w:rsidP="00914969">
      <w:pPr>
        <w:jc w:val="both"/>
        <w:rPr>
          <w:lang w:val="en-US"/>
        </w:rPr>
      </w:pPr>
      <w:r>
        <w:rPr>
          <w:lang w:val="es-PE"/>
        </w:rPr>
        <w:t xml:space="preserve">INDE Consultores (2007). </w:t>
      </w:r>
      <w:r w:rsidR="00D13505">
        <w:rPr>
          <w:lang w:val="es-PE"/>
        </w:rPr>
        <w:t>“</w:t>
      </w:r>
      <w:r>
        <w:rPr>
          <w:lang w:val="es-PE"/>
        </w:rPr>
        <w:t>La Descentralización Fiscal en el Perú</w:t>
      </w:r>
      <w:r w:rsidR="00D13505">
        <w:rPr>
          <w:lang w:val="es-PE"/>
        </w:rPr>
        <w:t>”</w:t>
      </w:r>
      <w:r>
        <w:rPr>
          <w:lang w:val="es-PE"/>
        </w:rPr>
        <w:t xml:space="preserve">. </w:t>
      </w:r>
      <w:proofErr w:type="spellStart"/>
      <w:r w:rsidRPr="00862174">
        <w:rPr>
          <w:lang w:val="en-US"/>
        </w:rPr>
        <w:t>Asociación</w:t>
      </w:r>
      <w:proofErr w:type="spellEnd"/>
      <w:r w:rsidRPr="00862174">
        <w:rPr>
          <w:lang w:val="en-US"/>
        </w:rPr>
        <w:t xml:space="preserve"> </w:t>
      </w:r>
      <w:proofErr w:type="spellStart"/>
      <w:r w:rsidRPr="00862174">
        <w:rPr>
          <w:lang w:val="en-US"/>
        </w:rPr>
        <w:t>Nacional</w:t>
      </w:r>
      <w:proofErr w:type="spellEnd"/>
      <w:r w:rsidRPr="00862174">
        <w:rPr>
          <w:lang w:val="en-US"/>
        </w:rPr>
        <w:t xml:space="preserve"> de </w:t>
      </w:r>
      <w:proofErr w:type="spellStart"/>
      <w:r w:rsidRPr="00862174">
        <w:rPr>
          <w:lang w:val="en-US"/>
        </w:rPr>
        <w:t>Rectores</w:t>
      </w:r>
      <w:proofErr w:type="spellEnd"/>
      <w:r w:rsidRPr="00862174">
        <w:rPr>
          <w:lang w:val="en-US"/>
        </w:rPr>
        <w:t>.</w:t>
      </w:r>
    </w:p>
    <w:p w:rsidR="008B3C4F" w:rsidRPr="00862174" w:rsidRDefault="008B3C4F">
      <w:pPr>
        <w:rPr>
          <w:rFonts w:asciiTheme="majorHAnsi" w:eastAsiaTheme="majorEastAsia" w:hAnsiTheme="majorHAnsi" w:cstheme="majorBidi"/>
          <w:b/>
          <w:bCs/>
          <w:color w:val="365F91" w:themeColor="accent1" w:themeShade="BF"/>
          <w:sz w:val="28"/>
          <w:szCs w:val="28"/>
          <w:lang w:val="en-US"/>
        </w:rPr>
      </w:pPr>
    </w:p>
    <w:p w:rsidR="0087247B" w:rsidRPr="00862174" w:rsidRDefault="0087247B">
      <w:pPr>
        <w:rPr>
          <w:rFonts w:asciiTheme="majorHAnsi" w:eastAsiaTheme="majorEastAsia" w:hAnsiTheme="majorHAnsi" w:cstheme="majorBidi"/>
          <w:b/>
          <w:bCs/>
          <w:color w:val="365F91" w:themeColor="accent1" w:themeShade="BF"/>
          <w:sz w:val="28"/>
          <w:szCs w:val="28"/>
          <w:lang w:val="en-US"/>
        </w:rPr>
      </w:pPr>
      <w:r w:rsidRPr="00862174">
        <w:rPr>
          <w:lang w:val="en-US"/>
        </w:rPr>
        <w:br w:type="page"/>
      </w:r>
    </w:p>
    <w:p w:rsidR="00DD2E1C" w:rsidRPr="00862174" w:rsidRDefault="00DD2E1C" w:rsidP="00767C34">
      <w:pPr>
        <w:pStyle w:val="Heading1"/>
        <w:rPr>
          <w:lang w:val="en-US"/>
        </w:rPr>
      </w:pPr>
      <w:bookmarkStart w:id="32" w:name="_Toc255446180"/>
      <w:r w:rsidRPr="00862174">
        <w:rPr>
          <w:lang w:val="en-US"/>
        </w:rPr>
        <w:lastRenderedPageBreak/>
        <w:t>X. Appendix</w:t>
      </w:r>
      <w:r w:rsidR="00767C34" w:rsidRPr="00862174">
        <w:rPr>
          <w:lang w:val="en-US"/>
        </w:rPr>
        <w:t>es</w:t>
      </w:r>
      <w:bookmarkEnd w:id="32"/>
    </w:p>
    <w:p w:rsidR="005030C3" w:rsidRDefault="005030C3" w:rsidP="005030C3">
      <w:pPr>
        <w:pStyle w:val="Heading2"/>
        <w:spacing w:before="0"/>
        <w:rPr>
          <w:lang w:val="en-US"/>
        </w:rPr>
      </w:pPr>
    </w:p>
    <w:p w:rsidR="005030C3" w:rsidRDefault="005030C3" w:rsidP="005030C3">
      <w:pPr>
        <w:pStyle w:val="Heading2"/>
        <w:spacing w:before="0"/>
        <w:rPr>
          <w:lang w:val="en-US"/>
        </w:rPr>
      </w:pPr>
      <w:bookmarkStart w:id="33" w:name="_Toc255446181"/>
      <w:r w:rsidRPr="005030C3">
        <w:rPr>
          <w:lang w:val="en-US"/>
        </w:rPr>
        <w:t xml:space="preserve">Appendix A: </w:t>
      </w:r>
      <w:r>
        <w:rPr>
          <w:lang w:val="en-US"/>
        </w:rPr>
        <w:t>Budget growth rate</w:t>
      </w:r>
      <w:bookmarkEnd w:id="33"/>
    </w:p>
    <w:p w:rsidR="005030C3" w:rsidRDefault="005030C3" w:rsidP="005030C3">
      <w:pPr>
        <w:pStyle w:val="Caption"/>
        <w:spacing w:after="0"/>
        <w:jc w:val="center"/>
        <w:rPr>
          <w:sz w:val="22"/>
          <w:szCs w:val="22"/>
          <w:lang w:val="en-US"/>
        </w:rPr>
      </w:pPr>
    </w:p>
    <w:p w:rsidR="00427F68" w:rsidRDefault="005030C3" w:rsidP="005030C3">
      <w:pPr>
        <w:pStyle w:val="Caption"/>
        <w:spacing w:after="0"/>
        <w:jc w:val="center"/>
        <w:rPr>
          <w:sz w:val="22"/>
          <w:szCs w:val="22"/>
          <w:lang w:val="en-US"/>
        </w:rPr>
      </w:pPr>
      <w:r>
        <w:rPr>
          <w:sz w:val="22"/>
          <w:szCs w:val="22"/>
          <w:lang w:val="en-US"/>
        </w:rPr>
        <w:t xml:space="preserve">Figure </w:t>
      </w:r>
      <w:r w:rsidR="00840555">
        <w:rPr>
          <w:sz w:val="22"/>
          <w:szCs w:val="22"/>
          <w:lang w:val="en-US"/>
        </w:rPr>
        <w:t>A.1</w:t>
      </w:r>
      <w:r>
        <w:rPr>
          <w:sz w:val="22"/>
          <w:szCs w:val="22"/>
          <w:lang w:val="en-US"/>
        </w:rPr>
        <w:t xml:space="preserve">: </w:t>
      </w:r>
      <w:r w:rsidRPr="005030C3">
        <w:rPr>
          <w:sz w:val="22"/>
          <w:szCs w:val="22"/>
          <w:lang w:val="en-US"/>
        </w:rPr>
        <w:t>Budget annual growth over the year 2006, by facility level and budget items</w:t>
      </w:r>
    </w:p>
    <w:p w:rsidR="005030C3" w:rsidRPr="005030C3" w:rsidRDefault="005030C3" w:rsidP="005030C3">
      <w:pPr>
        <w:spacing w:after="0"/>
        <w:rPr>
          <w:lang w:val="en-US"/>
        </w:rPr>
      </w:pPr>
    </w:p>
    <w:tbl>
      <w:tblPr>
        <w:tblW w:w="7636" w:type="dxa"/>
        <w:jc w:val="center"/>
        <w:tblInd w:w="70" w:type="dxa"/>
        <w:tblCellMar>
          <w:left w:w="70" w:type="dxa"/>
          <w:right w:w="70" w:type="dxa"/>
        </w:tblCellMar>
        <w:tblLook w:val="04A0"/>
      </w:tblPr>
      <w:tblGrid>
        <w:gridCol w:w="1216"/>
        <w:gridCol w:w="1195"/>
        <w:gridCol w:w="21"/>
        <w:gridCol w:w="1177"/>
        <w:gridCol w:w="39"/>
        <w:gridCol w:w="1158"/>
        <w:gridCol w:w="58"/>
        <w:gridCol w:w="1139"/>
        <w:gridCol w:w="77"/>
        <w:gridCol w:w="1460"/>
        <w:gridCol w:w="96"/>
      </w:tblGrid>
      <w:tr w:rsidR="007E4BAA" w:rsidRPr="007E4BAA" w:rsidTr="005030C3">
        <w:trPr>
          <w:trHeight w:val="315"/>
          <w:jc w:val="center"/>
        </w:trPr>
        <w:tc>
          <w:tcPr>
            <w:tcW w:w="1216" w:type="dxa"/>
            <w:tcBorders>
              <w:top w:val="nil"/>
              <w:left w:val="nil"/>
              <w:bottom w:val="nil"/>
              <w:right w:val="nil"/>
            </w:tcBorders>
            <w:shd w:val="clear" w:color="000000" w:fill="B2A1C7" w:themeFill="accent4" w:themeFillTint="99"/>
            <w:noWrap/>
            <w:vAlign w:val="bottom"/>
            <w:hideMark/>
          </w:tcPr>
          <w:p w:rsidR="007E4BAA" w:rsidRPr="005030C3" w:rsidRDefault="007E4BAA" w:rsidP="005030C3">
            <w:pPr>
              <w:spacing w:after="0" w:line="240" w:lineRule="auto"/>
              <w:jc w:val="center"/>
              <w:rPr>
                <w:rFonts w:ascii="Calibri" w:eastAsia="Times New Roman" w:hAnsi="Calibri" w:cs="Times New Roman"/>
                <w:b/>
                <w:bCs/>
                <w:color w:val="000000"/>
                <w:sz w:val="24"/>
                <w:szCs w:val="24"/>
                <w:lang w:val="en-US" w:eastAsia="es-ES"/>
              </w:rPr>
            </w:pPr>
          </w:p>
        </w:tc>
        <w:tc>
          <w:tcPr>
            <w:tcW w:w="1216" w:type="dxa"/>
            <w:gridSpan w:val="2"/>
            <w:tcBorders>
              <w:top w:val="nil"/>
              <w:left w:val="nil"/>
              <w:bottom w:val="nil"/>
              <w:right w:val="nil"/>
            </w:tcBorders>
            <w:shd w:val="clear" w:color="000000" w:fill="B2A1C7" w:themeFill="accent4" w:themeFillTint="99"/>
            <w:noWrap/>
            <w:vAlign w:val="bottom"/>
            <w:hideMark/>
          </w:tcPr>
          <w:p w:rsidR="007E4BAA" w:rsidRPr="007E4BAA" w:rsidRDefault="007E4BAA" w:rsidP="007E4BAA">
            <w:pPr>
              <w:spacing w:after="0" w:line="240" w:lineRule="auto"/>
              <w:jc w:val="center"/>
              <w:rPr>
                <w:rFonts w:ascii="Calibri" w:eastAsia="Times New Roman" w:hAnsi="Calibri" w:cs="Times New Roman"/>
                <w:b/>
                <w:color w:val="000000"/>
                <w:lang w:eastAsia="es-ES"/>
              </w:rPr>
            </w:pPr>
            <w:r w:rsidRPr="007E4BAA">
              <w:rPr>
                <w:rFonts w:ascii="Calibri" w:eastAsia="Times New Roman" w:hAnsi="Calibri" w:cs="Times New Roman"/>
                <w:b/>
                <w:color w:val="000000"/>
                <w:lang w:eastAsia="es-ES"/>
              </w:rPr>
              <w:t>2006</w:t>
            </w:r>
          </w:p>
        </w:tc>
        <w:tc>
          <w:tcPr>
            <w:tcW w:w="1216" w:type="dxa"/>
            <w:gridSpan w:val="2"/>
            <w:tcBorders>
              <w:top w:val="nil"/>
              <w:left w:val="nil"/>
              <w:bottom w:val="nil"/>
              <w:right w:val="nil"/>
            </w:tcBorders>
            <w:shd w:val="clear" w:color="000000" w:fill="B2A1C7" w:themeFill="accent4" w:themeFillTint="99"/>
            <w:noWrap/>
            <w:vAlign w:val="bottom"/>
            <w:hideMark/>
          </w:tcPr>
          <w:p w:rsidR="007E4BAA" w:rsidRPr="007E4BAA" w:rsidRDefault="007E4BAA" w:rsidP="007E4BAA">
            <w:pPr>
              <w:spacing w:after="0" w:line="240" w:lineRule="auto"/>
              <w:jc w:val="center"/>
              <w:rPr>
                <w:rFonts w:ascii="Calibri" w:eastAsia="Times New Roman" w:hAnsi="Calibri" w:cs="Times New Roman"/>
                <w:b/>
                <w:color w:val="000000"/>
                <w:lang w:eastAsia="es-ES"/>
              </w:rPr>
            </w:pPr>
            <w:r w:rsidRPr="007E4BAA">
              <w:rPr>
                <w:rFonts w:ascii="Calibri" w:eastAsia="Times New Roman" w:hAnsi="Calibri" w:cs="Times New Roman"/>
                <w:b/>
                <w:color w:val="000000"/>
                <w:lang w:eastAsia="es-ES"/>
              </w:rPr>
              <w:t>2007</w:t>
            </w:r>
          </w:p>
        </w:tc>
        <w:tc>
          <w:tcPr>
            <w:tcW w:w="1216" w:type="dxa"/>
            <w:gridSpan w:val="2"/>
            <w:tcBorders>
              <w:top w:val="nil"/>
              <w:left w:val="nil"/>
              <w:bottom w:val="nil"/>
              <w:right w:val="nil"/>
            </w:tcBorders>
            <w:shd w:val="clear" w:color="000000" w:fill="B2A1C7" w:themeFill="accent4" w:themeFillTint="99"/>
            <w:noWrap/>
            <w:vAlign w:val="bottom"/>
            <w:hideMark/>
          </w:tcPr>
          <w:p w:rsidR="007E4BAA" w:rsidRPr="007E4BAA" w:rsidRDefault="007E4BAA" w:rsidP="007E4BAA">
            <w:pPr>
              <w:spacing w:after="0" w:line="240" w:lineRule="auto"/>
              <w:jc w:val="center"/>
              <w:rPr>
                <w:rFonts w:ascii="Calibri" w:eastAsia="Times New Roman" w:hAnsi="Calibri" w:cs="Times New Roman"/>
                <w:b/>
                <w:color w:val="000000"/>
                <w:lang w:eastAsia="es-ES"/>
              </w:rPr>
            </w:pPr>
            <w:r w:rsidRPr="007E4BAA">
              <w:rPr>
                <w:rFonts w:ascii="Calibri" w:eastAsia="Times New Roman" w:hAnsi="Calibri" w:cs="Times New Roman"/>
                <w:b/>
                <w:color w:val="000000"/>
                <w:lang w:eastAsia="es-ES"/>
              </w:rPr>
              <w:t>2008</w:t>
            </w:r>
          </w:p>
        </w:tc>
        <w:tc>
          <w:tcPr>
            <w:tcW w:w="1216" w:type="dxa"/>
            <w:gridSpan w:val="2"/>
            <w:tcBorders>
              <w:top w:val="nil"/>
              <w:left w:val="nil"/>
              <w:bottom w:val="nil"/>
              <w:right w:val="nil"/>
            </w:tcBorders>
            <w:shd w:val="clear" w:color="000000" w:fill="B2A1C7" w:themeFill="accent4" w:themeFillTint="99"/>
            <w:noWrap/>
            <w:vAlign w:val="bottom"/>
            <w:hideMark/>
          </w:tcPr>
          <w:p w:rsidR="007E4BAA" w:rsidRPr="007E4BAA" w:rsidRDefault="007E4BAA" w:rsidP="007E4BAA">
            <w:pPr>
              <w:spacing w:after="0" w:line="240" w:lineRule="auto"/>
              <w:jc w:val="center"/>
              <w:rPr>
                <w:rFonts w:ascii="Calibri" w:eastAsia="Times New Roman" w:hAnsi="Calibri" w:cs="Times New Roman"/>
                <w:b/>
                <w:color w:val="000000"/>
                <w:lang w:eastAsia="es-ES"/>
              </w:rPr>
            </w:pPr>
            <w:r w:rsidRPr="007E4BAA">
              <w:rPr>
                <w:rFonts w:ascii="Calibri" w:eastAsia="Times New Roman" w:hAnsi="Calibri" w:cs="Times New Roman"/>
                <w:b/>
                <w:color w:val="000000"/>
                <w:lang w:eastAsia="es-ES"/>
              </w:rPr>
              <w:t>2009</w:t>
            </w:r>
          </w:p>
        </w:tc>
        <w:tc>
          <w:tcPr>
            <w:tcW w:w="1556" w:type="dxa"/>
            <w:gridSpan w:val="2"/>
            <w:tcBorders>
              <w:top w:val="nil"/>
              <w:left w:val="nil"/>
              <w:bottom w:val="nil"/>
              <w:right w:val="nil"/>
            </w:tcBorders>
            <w:shd w:val="clear" w:color="000000" w:fill="B2A1C7" w:themeFill="accent4" w:themeFillTint="99"/>
            <w:noWrap/>
            <w:vAlign w:val="bottom"/>
            <w:hideMark/>
          </w:tcPr>
          <w:p w:rsidR="007E4BAA" w:rsidRPr="007E4BAA" w:rsidRDefault="007E4BAA" w:rsidP="007E4BAA">
            <w:pPr>
              <w:spacing w:after="0" w:line="240" w:lineRule="auto"/>
              <w:jc w:val="center"/>
              <w:rPr>
                <w:rFonts w:ascii="Calibri" w:eastAsia="Times New Roman" w:hAnsi="Calibri" w:cs="Times New Roman"/>
                <w:b/>
                <w:color w:val="000000"/>
                <w:lang w:eastAsia="es-ES"/>
              </w:rPr>
            </w:pPr>
            <w:r w:rsidRPr="007E4BAA">
              <w:rPr>
                <w:rFonts w:ascii="Calibri" w:eastAsia="Times New Roman" w:hAnsi="Calibri" w:cs="Times New Roman"/>
                <w:b/>
                <w:color w:val="000000"/>
                <w:lang w:eastAsia="es-ES"/>
              </w:rPr>
              <w:t>2010 (</w:t>
            </w:r>
            <w:proofErr w:type="spellStart"/>
            <w:r w:rsidRPr="007E4BAA">
              <w:rPr>
                <w:rFonts w:ascii="Calibri" w:eastAsia="Times New Roman" w:hAnsi="Calibri" w:cs="Times New Roman"/>
                <w:b/>
                <w:color w:val="000000"/>
                <w:lang w:eastAsia="es-ES"/>
              </w:rPr>
              <w:t>Budgeted</w:t>
            </w:r>
            <w:proofErr w:type="spellEnd"/>
            <w:r w:rsidRPr="007E4BAA">
              <w:rPr>
                <w:rFonts w:ascii="Calibri" w:eastAsia="Times New Roman" w:hAnsi="Calibri" w:cs="Times New Roman"/>
                <w:b/>
                <w:color w:val="000000"/>
                <w:lang w:eastAsia="es-ES"/>
              </w:rPr>
              <w:t>)</w:t>
            </w:r>
          </w:p>
        </w:tc>
      </w:tr>
      <w:tr w:rsidR="007E4BAA" w:rsidRPr="007E4BAA" w:rsidTr="005030C3">
        <w:trPr>
          <w:trHeight w:val="315"/>
          <w:jc w:val="center"/>
        </w:trPr>
        <w:tc>
          <w:tcPr>
            <w:tcW w:w="1216" w:type="dxa"/>
            <w:tcBorders>
              <w:top w:val="nil"/>
              <w:left w:val="nil"/>
              <w:right w:val="nil"/>
            </w:tcBorders>
            <w:shd w:val="clear" w:color="000000" w:fill="CCCCFF"/>
            <w:noWrap/>
            <w:vAlign w:val="bottom"/>
            <w:hideMark/>
          </w:tcPr>
          <w:p w:rsidR="007E4BAA" w:rsidRPr="007E4BAA" w:rsidRDefault="007E4BAA" w:rsidP="007E4BAA">
            <w:pPr>
              <w:spacing w:after="0" w:line="240" w:lineRule="auto"/>
              <w:rPr>
                <w:rFonts w:ascii="Calibri" w:eastAsia="Times New Roman" w:hAnsi="Calibri" w:cs="Times New Roman"/>
                <w:b/>
                <w:bCs/>
                <w:color w:val="000000"/>
                <w:sz w:val="24"/>
                <w:szCs w:val="24"/>
                <w:lang w:eastAsia="es-ES"/>
              </w:rPr>
            </w:pPr>
            <w:proofErr w:type="spellStart"/>
            <w:r w:rsidRPr="007E4BAA">
              <w:rPr>
                <w:rFonts w:ascii="Calibri" w:eastAsia="Times New Roman" w:hAnsi="Calibri" w:cs="Times New Roman"/>
                <w:b/>
                <w:bCs/>
                <w:color w:val="000000"/>
                <w:sz w:val="24"/>
                <w:szCs w:val="24"/>
                <w:lang w:eastAsia="es-ES"/>
              </w:rPr>
              <w:t>Preschool</w:t>
            </w:r>
            <w:proofErr w:type="spellEnd"/>
          </w:p>
        </w:tc>
        <w:tc>
          <w:tcPr>
            <w:tcW w:w="1216" w:type="dxa"/>
            <w:gridSpan w:val="2"/>
            <w:tcBorders>
              <w:top w:val="nil"/>
              <w:left w:val="nil"/>
              <w:right w:val="nil"/>
            </w:tcBorders>
            <w:shd w:val="clear" w:color="000000" w:fill="CCCCFF"/>
            <w:noWrap/>
            <w:vAlign w:val="bottom"/>
            <w:hideMark/>
          </w:tcPr>
          <w:p w:rsidR="007E4BAA" w:rsidRPr="007E4BAA" w:rsidRDefault="007E4BAA" w:rsidP="007E4BAA">
            <w:pPr>
              <w:spacing w:after="0" w:line="240" w:lineRule="auto"/>
              <w:rPr>
                <w:rFonts w:ascii="Calibri" w:eastAsia="Times New Roman" w:hAnsi="Calibri" w:cs="Times New Roman"/>
                <w:color w:val="000000"/>
                <w:lang w:eastAsia="es-ES"/>
              </w:rPr>
            </w:pPr>
            <w:r w:rsidRPr="007E4BAA">
              <w:rPr>
                <w:rFonts w:ascii="Calibri" w:eastAsia="Times New Roman" w:hAnsi="Calibri" w:cs="Times New Roman"/>
                <w:color w:val="000000"/>
                <w:lang w:eastAsia="es-ES"/>
              </w:rPr>
              <w:t> </w:t>
            </w:r>
          </w:p>
        </w:tc>
        <w:tc>
          <w:tcPr>
            <w:tcW w:w="1216" w:type="dxa"/>
            <w:gridSpan w:val="2"/>
            <w:tcBorders>
              <w:top w:val="nil"/>
              <w:left w:val="nil"/>
              <w:right w:val="nil"/>
            </w:tcBorders>
            <w:shd w:val="clear" w:color="000000" w:fill="CCCCFF"/>
            <w:noWrap/>
            <w:vAlign w:val="bottom"/>
            <w:hideMark/>
          </w:tcPr>
          <w:p w:rsidR="007E4BAA" w:rsidRPr="007E4BAA" w:rsidRDefault="007E4BAA" w:rsidP="007E4BAA">
            <w:pPr>
              <w:spacing w:after="0" w:line="240" w:lineRule="auto"/>
              <w:rPr>
                <w:rFonts w:ascii="Calibri" w:eastAsia="Times New Roman" w:hAnsi="Calibri" w:cs="Times New Roman"/>
                <w:color w:val="000000"/>
                <w:lang w:eastAsia="es-ES"/>
              </w:rPr>
            </w:pPr>
            <w:r w:rsidRPr="007E4BAA">
              <w:rPr>
                <w:rFonts w:ascii="Calibri" w:eastAsia="Times New Roman" w:hAnsi="Calibri" w:cs="Times New Roman"/>
                <w:color w:val="000000"/>
                <w:lang w:eastAsia="es-ES"/>
              </w:rPr>
              <w:t> </w:t>
            </w:r>
          </w:p>
        </w:tc>
        <w:tc>
          <w:tcPr>
            <w:tcW w:w="1216" w:type="dxa"/>
            <w:gridSpan w:val="2"/>
            <w:tcBorders>
              <w:top w:val="nil"/>
              <w:left w:val="nil"/>
              <w:right w:val="nil"/>
            </w:tcBorders>
            <w:shd w:val="clear" w:color="000000" w:fill="CCCCFF"/>
            <w:noWrap/>
            <w:vAlign w:val="bottom"/>
            <w:hideMark/>
          </w:tcPr>
          <w:p w:rsidR="007E4BAA" w:rsidRPr="007E4BAA" w:rsidRDefault="007E4BAA" w:rsidP="007E4BAA">
            <w:pPr>
              <w:spacing w:after="0" w:line="240" w:lineRule="auto"/>
              <w:rPr>
                <w:rFonts w:ascii="Calibri" w:eastAsia="Times New Roman" w:hAnsi="Calibri" w:cs="Times New Roman"/>
                <w:color w:val="000000"/>
                <w:lang w:eastAsia="es-ES"/>
              </w:rPr>
            </w:pPr>
            <w:r w:rsidRPr="007E4BAA">
              <w:rPr>
                <w:rFonts w:ascii="Calibri" w:eastAsia="Times New Roman" w:hAnsi="Calibri" w:cs="Times New Roman"/>
                <w:color w:val="000000"/>
                <w:lang w:eastAsia="es-ES"/>
              </w:rPr>
              <w:t> </w:t>
            </w:r>
          </w:p>
        </w:tc>
        <w:tc>
          <w:tcPr>
            <w:tcW w:w="1216" w:type="dxa"/>
            <w:gridSpan w:val="2"/>
            <w:tcBorders>
              <w:top w:val="nil"/>
              <w:left w:val="nil"/>
              <w:right w:val="nil"/>
            </w:tcBorders>
            <w:shd w:val="clear" w:color="000000" w:fill="CCCCFF"/>
            <w:noWrap/>
            <w:vAlign w:val="bottom"/>
            <w:hideMark/>
          </w:tcPr>
          <w:p w:rsidR="007E4BAA" w:rsidRPr="007E4BAA" w:rsidRDefault="007E4BAA" w:rsidP="007E4BAA">
            <w:pPr>
              <w:spacing w:after="0" w:line="240" w:lineRule="auto"/>
              <w:rPr>
                <w:rFonts w:ascii="Calibri" w:eastAsia="Times New Roman" w:hAnsi="Calibri" w:cs="Times New Roman"/>
                <w:color w:val="000000"/>
                <w:lang w:eastAsia="es-ES"/>
              </w:rPr>
            </w:pPr>
            <w:r w:rsidRPr="007E4BAA">
              <w:rPr>
                <w:rFonts w:ascii="Calibri" w:eastAsia="Times New Roman" w:hAnsi="Calibri" w:cs="Times New Roman"/>
                <w:color w:val="000000"/>
                <w:lang w:eastAsia="es-ES"/>
              </w:rPr>
              <w:t> </w:t>
            </w:r>
          </w:p>
        </w:tc>
        <w:tc>
          <w:tcPr>
            <w:tcW w:w="1556" w:type="dxa"/>
            <w:gridSpan w:val="2"/>
            <w:tcBorders>
              <w:top w:val="nil"/>
              <w:left w:val="nil"/>
              <w:right w:val="nil"/>
            </w:tcBorders>
            <w:shd w:val="clear" w:color="000000" w:fill="CCCCFF"/>
            <w:noWrap/>
            <w:vAlign w:val="bottom"/>
            <w:hideMark/>
          </w:tcPr>
          <w:p w:rsidR="007E4BAA" w:rsidRPr="007E4BAA" w:rsidRDefault="007E4BAA" w:rsidP="007E4BAA">
            <w:pPr>
              <w:spacing w:after="0" w:line="240" w:lineRule="auto"/>
              <w:rPr>
                <w:rFonts w:ascii="Calibri" w:eastAsia="Times New Roman" w:hAnsi="Calibri" w:cs="Times New Roman"/>
                <w:color w:val="000000"/>
                <w:lang w:eastAsia="es-ES"/>
              </w:rPr>
            </w:pPr>
            <w:r w:rsidRPr="007E4BAA">
              <w:rPr>
                <w:rFonts w:ascii="Calibri" w:eastAsia="Times New Roman" w:hAnsi="Calibri" w:cs="Times New Roman"/>
                <w:color w:val="000000"/>
                <w:lang w:eastAsia="es-ES"/>
              </w:rPr>
              <w:t> </w:t>
            </w:r>
          </w:p>
        </w:tc>
      </w:tr>
      <w:tr w:rsidR="007E4BAA" w:rsidRPr="007E4BAA" w:rsidTr="005030C3">
        <w:trPr>
          <w:trHeight w:val="315"/>
          <w:jc w:val="center"/>
        </w:trPr>
        <w:tc>
          <w:tcPr>
            <w:tcW w:w="1216" w:type="dxa"/>
            <w:tcBorders>
              <w:top w:val="nil"/>
              <w:left w:val="nil"/>
              <w:bottom w:val="nil"/>
              <w:right w:val="nil"/>
            </w:tcBorders>
            <w:shd w:val="clear" w:color="000000" w:fill="auto"/>
            <w:noWrap/>
            <w:vAlign w:val="bottom"/>
            <w:hideMark/>
          </w:tcPr>
          <w:p w:rsidR="007E4BAA" w:rsidRPr="007E4BAA" w:rsidRDefault="007E4BAA" w:rsidP="007E4BAA">
            <w:pPr>
              <w:spacing w:after="0" w:line="240" w:lineRule="auto"/>
              <w:rPr>
                <w:rFonts w:ascii="Calibri" w:eastAsia="Times New Roman" w:hAnsi="Calibri" w:cs="Times New Roman"/>
                <w:color w:val="000000"/>
                <w:lang w:eastAsia="es-ES"/>
              </w:rPr>
            </w:pPr>
            <w:r w:rsidRPr="007E4BAA">
              <w:rPr>
                <w:rFonts w:ascii="Calibri" w:eastAsia="Times New Roman" w:hAnsi="Calibri" w:cs="Times New Roman"/>
                <w:color w:val="000000"/>
                <w:lang w:eastAsia="es-ES"/>
              </w:rPr>
              <w:t>TOTAL</w:t>
            </w:r>
          </w:p>
        </w:tc>
        <w:tc>
          <w:tcPr>
            <w:tcW w:w="1216" w:type="dxa"/>
            <w:gridSpan w:val="2"/>
            <w:tcBorders>
              <w:top w:val="nil"/>
              <w:left w:val="nil"/>
              <w:bottom w:val="nil"/>
              <w:right w:val="nil"/>
            </w:tcBorders>
            <w:shd w:val="clear" w:color="000000" w:fill="auto"/>
            <w:noWrap/>
            <w:vAlign w:val="bottom"/>
            <w:hideMark/>
          </w:tcPr>
          <w:p w:rsidR="007E4BAA" w:rsidRPr="007E4BAA" w:rsidRDefault="007E4BAA" w:rsidP="007E4BAA">
            <w:pPr>
              <w:spacing w:after="0" w:line="240" w:lineRule="auto"/>
              <w:rPr>
                <w:rFonts w:ascii="Calibri" w:eastAsia="Times New Roman" w:hAnsi="Calibri" w:cs="Times New Roman"/>
                <w:color w:val="000000"/>
                <w:lang w:eastAsia="es-ES"/>
              </w:rPr>
            </w:pPr>
          </w:p>
        </w:tc>
        <w:tc>
          <w:tcPr>
            <w:tcW w:w="1216" w:type="dxa"/>
            <w:gridSpan w:val="2"/>
            <w:tcBorders>
              <w:top w:val="nil"/>
              <w:left w:val="nil"/>
              <w:bottom w:val="nil"/>
              <w:right w:val="nil"/>
            </w:tcBorders>
            <w:shd w:val="clear" w:color="000000" w:fill="auto"/>
            <w:noWrap/>
            <w:vAlign w:val="bottom"/>
            <w:hideMark/>
          </w:tcPr>
          <w:p w:rsidR="007E4BAA" w:rsidRPr="007E4BAA" w:rsidRDefault="007E4BAA" w:rsidP="007E4BAA">
            <w:pPr>
              <w:spacing w:after="0" w:line="240" w:lineRule="auto"/>
              <w:jc w:val="right"/>
              <w:rPr>
                <w:rFonts w:ascii="Calibri" w:eastAsia="Times New Roman" w:hAnsi="Calibri" w:cs="Times New Roman"/>
                <w:color w:val="000000"/>
                <w:lang w:eastAsia="es-ES"/>
              </w:rPr>
            </w:pPr>
            <w:r w:rsidRPr="007E4BAA">
              <w:rPr>
                <w:rFonts w:ascii="Calibri" w:eastAsia="Times New Roman" w:hAnsi="Calibri" w:cs="Times New Roman"/>
                <w:color w:val="000000"/>
                <w:lang w:eastAsia="es-ES"/>
              </w:rPr>
              <w:t>4.67%</w:t>
            </w:r>
          </w:p>
        </w:tc>
        <w:tc>
          <w:tcPr>
            <w:tcW w:w="1216" w:type="dxa"/>
            <w:gridSpan w:val="2"/>
            <w:tcBorders>
              <w:top w:val="nil"/>
              <w:left w:val="nil"/>
              <w:bottom w:val="nil"/>
              <w:right w:val="nil"/>
            </w:tcBorders>
            <w:shd w:val="clear" w:color="000000" w:fill="auto"/>
            <w:noWrap/>
            <w:vAlign w:val="bottom"/>
            <w:hideMark/>
          </w:tcPr>
          <w:p w:rsidR="007E4BAA" w:rsidRPr="007E4BAA" w:rsidRDefault="007E4BAA" w:rsidP="007E4BAA">
            <w:pPr>
              <w:spacing w:after="0" w:line="240" w:lineRule="auto"/>
              <w:jc w:val="right"/>
              <w:rPr>
                <w:rFonts w:ascii="Calibri" w:eastAsia="Times New Roman" w:hAnsi="Calibri" w:cs="Times New Roman"/>
                <w:color w:val="000000"/>
                <w:lang w:eastAsia="es-ES"/>
              </w:rPr>
            </w:pPr>
            <w:r w:rsidRPr="007E4BAA">
              <w:rPr>
                <w:rFonts w:ascii="Calibri" w:eastAsia="Times New Roman" w:hAnsi="Calibri" w:cs="Times New Roman"/>
                <w:color w:val="000000"/>
                <w:lang w:eastAsia="es-ES"/>
              </w:rPr>
              <w:t>4.64%</w:t>
            </w:r>
          </w:p>
        </w:tc>
        <w:tc>
          <w:tcPr>
            <w:tcW w:w="1216" w:type="dxa"/>
            <w:gridSpan w:val="2"/>
            <w:tcBorders>
              <w:top w:val="nil"/>
              <w:left w:val="nil"/>
              <w:bottom w:val="nil"/>
              <w:right w:val="nil"/>
            </w:tcBorders>
            <w:shd w:val="clear" w:color="000000" w:fill="auto"/>
            <w:noWrap/>
            <w:vAlign w:val="bottom"/>
            <w:hideMark/>
          </w:tcPr>
          <w:p w:rsidR="007E4BAA" w:rsidRPr="007E4BAA" w:rsidRDefault="007E4BAA" w:rsidP="007E4BAA">
            <w:pPr>
              <w:spacing w:after="0" w:line="240" w:lineRule="auto"/>
              <w:jc w:val="right"/>
              <w:rPr>
                <w:rFonts w:ascii="Calibri" w:eastAsia="Times New Roman" w:hAnsi="Calibri" w:cs="Times New Roman"/>
                <w:color w:val="000000"/>
                <w:lang w:eastAsia="es-ES"/>
              </w:rPr>
            </w:pPr>
            <w:r w:rsidRPr="007E4BAA">
              <w:rPr>
                <w:rFonts w:ascii="Calibri" w:eastAsia="Times New Roman" w:hAnsi="Calibri" w:cs="Times New Roman"/>
                <w:color w:val="000000"/>
                <w:lang w:eastAsia="es-ES"/>
              </w:rPr>
              <w:t>20.56%</w:t>
            </w:r>
          </w:p>
        </w:tc>
        <w:tc>
          <w:tcPr>
            <w:tcW w:w="1556" w:type="dxa"/>
            <w:gridSpan w:val="2"/>
            <w:tcBorders>
              <w:top w:val="nil"/>
              <w:left w:val="nil"/>
              <w:bottom w:val="nil"/>
              <w:right w:val="nil"/>
            </w:tcBorders>
            <w:shd w:val="clear" w:color="000000" w:fill="auto"/>
            <w:noWrap/>
            <w:vAlign w:val="bottom"/>
            <w:hideMark/>
          </w:tcPr>
          <w:p w:rsidR="007E4BAA" w:rsidRPr="007E4BAA" w:rsidRDefault="007E4BAA" w:rsidP="007E4BAA">
            <w:pPr>
              <w:spacing w:after="0" w:line="240" w:lineRule="auto"/>
              <w:jc w:val="right"/>
              <w:rPr>
                <w:rFonts w:ascii="Calibri" w:eastAsia="Times New Roman" w:hAnsi="Calibri" w:cs="Times New Roman"/>
                <w:color w:val="000000"/>
                <w:lang w:eastAsia="es-ES"/>
              </w:rPr>
            </w:pPr>
            <w:r w:rsidRPr="007E4BAA">
              <w:rPr>
                <w:rFonts w:ascii="Calibri" w:eastAsia="Times New Roman" w:hAnsi="Calibri" w:cs="Times New Roman"/>
                <w:color w:val="000000"/>
                <w:lang w:eastAsia="es-ES"/>
              </w:rPr>
              <w:t>19.87%</w:t>
            </w:r>
          </w:p>
        </w:tc>
      </w:tr>
      <w:tr w:rsidR="007E4BAA" w:rsidRPr="007E4BAA" w:rsidTr="005030C3">
        <w:trPr>
          <w:trHeight w:val="315"/>
          <w:jc w:val="center"/>
        </w:trPr>
        <w:tc>
          <w:tcPr>
            <w:tcW w:w="1216" w:type="dxa"/>
            <w:tcBorders>
              <w:top w:val="nil"/>
              <w:left w:val="nil"/>
              <w:bottom w:val="nil"/>
              <w:right w:val="nil"/>
            </w:tcBorders>
            <w:shd w:val="clear" w:color="000000" w:fill="auto"/>
            <w:noWrap/>
            <w:vAlign w:val="bottom"/>
            <w:hideMark/>
          </w:tcPr>
          <w:p w:rsidR="007E4BAA" w:rsidRPr="007E4BAA" w:rsidRDefault="007E4BAA" w:rsidP="007E4BAA">
            <w:pPr>
              <w:spacing w:after="0" w:line="240" w:lineRule="auto"/>
              <w:rPr>
                <w:rFonts w:ascii="Calibri" w:eastAsia="Times New Roman" w:hAnsi="Calibri" w:cs="Times New Roman"/>
                <w:color w:val="000000"/>
                <w:lang w:eastAsia="es-ES"/>
              </w:rPr>
            </w:pPr>
            <w:r w:rsidRPr="007E4BAA">
              <w:rPr>
                <w:rFonts w:ascii="Calibri" w:eastAsia="Times New Roman" w:hAnsi="Calibri" w:cs="Times New Roman"/>
                <w:color w:val="000000"/>
                <w:lang w:eastAsia="es-ES"/>
              </w:rPr>
              <w:t xml:space="preserve">   </w:t>
            </w:r>
            <w:proofErr w:type="spellStart"/>
            <w:r w:rsidRPr="007E4BAA">
              <w:rPr>
                <w:rFonts w:ascii="Calibri" w:eastAsia="Times New Roman" w:hAnsi="Calibri" w:cs="Times New Roman"/>
                <w:color w:val="000000"/>
                <w:lang w:eastAsia="es-ES"/>
              </w:rPr>
              <w:t>Wages</w:t>
            </w:r>
            <w:proofErr w:type="spellEnd"/>
          </w:p>
        </w:tc>
        <w:tc>
          <w:tcPr>
            <w:tcW w:w="1216" w:type="dxa"/>
            <w:gridSpan w:val="2"/>
            <w:tcBorders>
              <w:top w:val="nil"/>
              <w:left w:val="nil"/>
              <w:bottom w:val="nil"/>
              <w:right w:val="nil"/>
            </w:tcBorders>
            <w:shd w:val="clear" w:color="000000" w:fill="auto"/>
            <w:noWrap/>
            <w:vAlign w:val="bottom"/>
            <w:hideMark/>
          </w:tcPr>
          <w:p w:rsidR="007E4BAA" w:rsidRPr="007E4BAA" w:rsidRDefault="007E4BAA" w:rsidP="007E4BAA">
            <w:pPr>
              <w:spacing w:after="0" w:line="240" w:lineRule="auto"/>
              <w:rPr>
                <w:rFonts w:ascii="Calibri" w:eastAsia="Times New Roman" w:hAnsi="Calibri" w:cs="Times New Roman"/>
                <w:color w:val="000000"/>
                <w:lang w:eastAsia="es-ES"/>
              </w:rPr>
            </w:pPr>
          </w:p>
        </w:tc>
        <w:tc>
          <w:tcPr>
            <w:tcW w:w="1216" w:type="dxa"/>
            <w:gridSpan w:val="2"/>
            <w:tcBorders>
              <w:top w:val="nil"/>
              <w:left w:val="nil"/>
              <w:bottom w:val="nil"/>
              <w:right w:val="nil"/>
            </w:tcBorders>
            <w:shd w:val="clear" w:color="000000" w:fill="auto"/>
            <w:noWrap/>
            <w:vAlign w:val="bottom"/>
            <w:hideMark/>
          </w:tcPr>
          <w:p w:rsidR="007E4BAA" w:rsidRPr="007E4BAA" w:rsidRDefault="007E4BAA" w:rsidP="007E4BAA">
            <w:pPr>
              <w:spacing w:after="0" w:line="240" w:lineRule="auto"/>
              <w:jc w:val="right"/>
              <w:rPr>
                <w:rFonts w:ascii="Calibri" w:eastAsia="Times New Roman" w:hAnsi="Calibri" w:cs="Times New Roman"/>
                <w:color w:val="000000"/>
                <w:lang w:eastAsia="es-ES"/>
              </w:rPr>
            </w:pPr>
            <w:r w:rsidRPr="007E4BAA">
              <w:rPr>
                <w:rFonts w:ascii="Calibri" w:eastAsia="Times New Roman" w:hAnsi="Calibri" w:cs="Times New Roman"/>
                <w:color w:val="000000"/>
                <w:lang w:eastAsia="es-ES"/>
              </w:rPr>
              <w:t>3.62%</w:t>
            </w:r>
          </w:p>
        </w:tc>
        <w:tc>
          <w:tcPr>
            <w:tcW w:w="1216" w:type="dxa"/>
            <w:gridSpan w:val="2"/>
            <w:tcBorders>
              <w:top w:val="nil"/>
              <w:left w:val="nil"/>
              <w:bottom w:val="nil"/>
              <w:right w:val="nil"/>
            </w:tcBorders>
            <w:shd w:val="clear" w:color="000000" w:fill="auto"/>
            <w:noWrap/>
            <w:vAlign w:val="bottom"/>
            <w:hideMark/>
          </w:tcPr>
          <w:p w:rsidR="007E4BAA" w:rsidRPr="007E4BAA" w:rsidRDefault="007E4BAA" w:rsidP="007E4BAA">
            <w:pPr>
              <w:spacing w:after="0" w:line="240" w:lineRule="auto"/>
              <w:jc w:val="right"/>
              <w:rPr>
                <w:rFonts w:ascii="Calibri" w:eastAsia="Times New Roman" w:hAnsi="Calibri" w:cs="Times New Roman"/>
                <w:color w:val="000000"/>
                <w:lang w:eastAsia="es-ES"/>
              </w:rPr>
            </w:pPr>
            <w:r w:rsidRPr="007E4BAA">
              <w:rPr>
                <w:rFonts w:ascii="Calibri" w:eastAsia="Times New Roman" w:hAnsi="Calibri" w:cs="Times New Roman"/>
                <w:color w:val="000000"/>
                <w:lang w:eastAsia="es-ES"/>
              </w:rPr>
              <w:t>3.61%</w:t>
            </w:r>
          </w:p>
        </w:tc>
        <w:tc>
          <w:tcPr>
            <w:tcW w:w="1216" w:type="dxa"/>
            <w:gridSpan w:val="2"/>
            <w:tcBorders>
              <w:top w:val="nil"/>
              <w:left w:val="nil"/>
              <w:bottom w:val="nil"/>
              <w:right w:val="nil"/>
            </w:tcBorders>
            <w:shd w:val="clear" w:color="000000" w:fill="auto"/>
            <w:noWrap/>
            <w:vAlign w:val="bottom"/>
            <w:hideMark/>
          </w:tcPr>
          <w:p w:rsidR="007E4BAA" w:rsidRPr="007E4BAA" w:rsidRDefault="007E4BAA" w:rsidP="007E4BAA">
            <w:pPr>
              <w:spacing w:after="0" w:line="240" w:lineRule="auto"/>
              <w:jc w:val="right"/>
              <w:rPr>
                <w:rFonts w:ascii="Calibri" w:eastAsia="Times New Roman" w:hAnsi="Calibri" w:cs="Times New Roman"/>
                <w:color w:val="000000"/>
                <w:lang w:eastAsia="es-ES"/>
              </w:rPr>
            </w:pPr>
            <w:r w:rsidRPr="007E4BAA">
              <w:rPr>
                <w:rFonts w:ascii="Calibri" w:eastAsia="Times New Roman" w:hAnsi="Calibri" w:cs="Times New Roman"/>
                <w:color w:val="000000"/>
                <w:lang w:eastAsia="es-ES"/>
              </w:rPr>
              <w:t>21.91%</w:t>
            </w:r>
          </w:p>
        </w:tc>
        <w:tc>
          <w:tcPr>
            <w:tcW w:w="1556" w:type="dxa"/>
            <w:gridSpan w:val="2"/>
            <w:tcBorders>
              <w:top w:val="nil"/>
              <w:left w:val="nil"/>
              <w:bottom w:val="nil"/>
              <w:right w:val="nil"/>
            </w:tcBorders>
            <w:shd w:val="clear" w:color="000000" w:fill="auto"/>
            <w:noWrap/>
            <w:vAlign w:val="bottom"/>
            <w:hideMark/>
          </w:tcPr>
          <w:p w:rsidR="007E4BAA" w:rsidRPr="007E4BAA" w:rsidRDefault="007E4BAA" w:rsidP="007E4BAA">
            <w:pPr>
              <w:spacing w:after="0" w:line="240" w:lineRule="auto"/>
              <w:jc w:val="right"/>
              <w:rPr>
                <w:rFonts w:ascii="Calibri" w:eastAsia="Times New Roman" w:hAnsi="Calibri" w:cs="Times New Roman"/>
                <w:color w:val="000000"/>
                <w:lang w:eastAsia="es-ES"/>
              </w:rPr>
            </w:pPr>
            <w:r w:rsidRPr="007E4BAA">
              <w:rPr>
                <w:rFonts w:ascii="Calibri" w:eastAsia="Times New Roman" w:hAnsi="Calibri" w:cs="Times New Roman"/>
                <w:color w:val="000000"/>
                <w:lang w:eastAsia="es-ES"/>
              </w:rPr>
              <w:t>15.97%</w:t>
            </w:r>
          </w:p>
        </w:tc>
      </w:tr>
      <w:tr w:rsidR="007E4BAA" w:rsidRPr="007E4BAA" w:rsidTr="005030C3">
        <w:trPr>
          <w:gridAfter w:val="1"/>
          <w:wAfter w:w="96" w:type="dxa"/>
          <w:trHeight w:val="300"/>
          <w:jc w:val="center"/>
        </w:trPr>
        <w:tc>
          <w:tcPr>
            <w:tcW w:w="2411" w:type="dxa"/>
            <w:gridSpan w:val="2"/>
            <w:tcBorders>
              <w:top w:val="nil"/>
              <w:left w:val="nil"/>
              <w:bottom w:val="nil"/>
              <w:right w:val="nil"/>
            </w:tcBorders>
            <w:shd w:val="clear" w:color="auto" w:fill="auto"/>
            <w:noWrap/>
            <w:vAlign w:val="bottom"/>
            <w:hideMark/>
          </w:tcPr>
          <w:p w:rsidR="007E4BAA" w:rsidRPr="007E4BAA" w:rsidRDefault="007E4BAA" w:rsidP="007E4BAA">
            <w:pPr>
              <w:spacing w:after="0" w:line="240" w:lineRule="auto"/>
              <w:rPr>
                <w:rFonts w:ascii="Calibri" w:eastAsia="Times New Roman" w:hAnsi="Calibri" w:cs="Times New Roman"/>
                <w:color w:val="000000"/>
                <w:lang w:eastAsia="es-ES"/>
              </w:rPr>
            </w:pPr>
            <w:r w:rsidRPr="007E4BAA">
              <w:rPr>
                <w:rFonts w:ascii="Calibri" w:eastAsia="Times New Roman" w:hAnsi="Calibri" w:cs="Times New Roman"/>
                <w:color w:val="000000"/>
                <w:lang w:eastAsia="es-ES"/>
              </w:rPr>
              <w:t xml:space="preserve">   Non-</w:t>
            </w:r>
            <w:proofErr w:type="spellStart"/>
            <w:r w:rsidRPr="007E4BAA">
              <w:rPr>
                <w:rFonts w:ascii="Calibri" w:eastAsia="Times New Roman" w:hAnsi="Calibri" w:cs="Times New Roman"/>
                <w:color w:val="000000"/>
                <w:lang w:eastAsia="es-ES"/>
              </w:rPr>
              <w:t>Wages</w:t>
            </w:r>
            <w:proofErr w:type="spellEnd"/>
          </w:p>
        </w:tc>
        <w:tc>
          <w:tcPr>
            <w:tcW w:w="1198" w:type="dxa"/>
            <w:gridSpan w:val="2"/>
            <w:tcBorders>
              <w:top w:val="nil"/>
              <w:left w:val="nil"/>
              <w:bottom w:val="nil"/>
              <w:right w:val="nil"/>
            </w:tcBorders>
            <w:shd w:val="clear" w:color="auto" w:fill="auto"/>
            <w:noWrap/>
            <w:vAlign w:val="bottom"/>
            <w:hideMark/>
          </w:tcPr>
          <w:p w:rsidR="007E4BAA" w:rsidRPr="007E4BAA" w:rsidRDefault="007E4BAA" w:rsidP="007E4BAA">
            <w:pPr>
              <w:spacing w:after="0" w:line="240" w:lineRule="auto"/>
              <w:jc w:val="right"/>
              <w:rPr>
                <w:rFonts w:ascii="Calibri" w:eastAsia="Times New Roman" w:hAnsi="Calibri" w:cs="Times New Roman"/>
                <w:color w:val="000000"/>
                <w:lang w:eastAsia="es-ES"/>
              </w:rPr>
            </w:pPr>
            <w:r w:rsidRPr="007E4BAA">
              <w:rPr>
                <w:rFonts w:ascii="Calibri" w:eastAsia="Times New Roman" w:hAnsi="Calibri" w:cs="Times New Roman"/>
                <w:color w:val="000000"/>
                <w:lang w:eastAsia="es-ES"/>
              </w:rPr>
              <w:t>8.42%</w:t>
            </w:r>
          </w:p>
        </w:tc>
        <w:tc>
          <w:tcPr>
            <w:tcW w:w="1197" w:type="dxa"/>
            <w:gridSpan w:val="2"/>
            <w:tcBorders>
              <w:top w:val="nil"/>
              <w:left w:val="nil"/>
              <w:bottom w:val="nil"/>
              <w:right w:val="nil"/>
            </w:tcBorders>
            <w:shd w:val="clear" w:color="auto" w:fill="auto"/>
            <w:noWrap/>
            <w:vAlign w:val="bottom"/>
            <w:hideMark/>
          </w:tcPr>
          <w:p w:rsidR="007E4BAA" w:rsidRPr="007E4BAA" w:rsidRDefault="007E4BAA" w:rsidP="007E4BAA">
            <w:pPr>
              <w:spacing w:after="0" w:line="240" w:lineRule="auto"/>
              <w:jc w:val="right"/>
              <w:rPr>
                <w:rFonts w:ascii="Calibri" w:eastAsia="Times New Roman" w:hAnsi="Calibri" w:cs="Times New Roman"/>
                <w:color w:val="000000"/>
                <w:lang w:eastAsia="es-ES"/>
              </w:rPr>
            </w:pPr>
            <w:r w:rsidRPr="007E4BAA">
              <w:rPr>
                <w:rFonts w:ascii="Calibri" w:eastAsia="Times New Roman" w:hAnsi="Calibri" w:cs="Times New Roman"/>
                <w:color w:val="000000"/>
                <w:lang w:eastAsia="es-ES"/>
              </w:rPr>
              <w:t>11.50%</w:t>
            </w:r>
          </w:p>
        </w:tc>
        <w:tc>
          <w:tcPr>
            <w:tcW w:w="1197" w:type="dxa"/>
            <w:gridSpan w:val="2"/>
            <w:tcBorders>
              <w:top w:val="nil"/>
              <w:left w:val="nil"/>
              <w:bottom w:val="nil"/>
              <w:right w:val="nil"/>
            </w:tcBorders>
            <w:shd w:val="clear" w:color="auto" w:fill="auto"/>
            <w:noWrap/>
            <w:vAlign w:val="bottom"/>
            <w:hideMark/>
          </w:tcPr>
          <w:p w:rsidR="007E4BAA" w:rsidRPr="007E4BAA" w:rsidRDefault="007E4BAA" w:rsidP="007E4BAA">
            <w:pPr>
              <w:spacing w:after="0" w:line="240" w:lineRule="auto"/>
              <w:jc w:val="right"/>
              <w:rPr>
                <w:rFonts w:ascii="Calibri" w:eastAsia="Times New Roman" w:hAnsi="Calibri" w:cs="Times New Roman"/>
                <w:color w:val="000000"/>
                <w:lang w:eastAsia="es-ES"/>
              </w:rPr>
            </w:pPr>
            <w:r w:rsidRPr="007E4BAA">
              <w:rPr>
                <w:rFonts w:ascii="Calibri" w:eastAsia="Times New Roman" w:hAnsi="Calibri" w:cs="Times New Roman"/>
                <w:color w:val="000000"/>
                <w:lang w:eastAsia="es-ES"/>
              </w:rPr>
              <w:t>-23.80%</w:t>
            </w:r>
          </w:p>
        </w:tc>
        <w:tc>
          <w:tcPr>
            <w:tcW w:w="1537" w:type="dxa"/>
            <w:gridSpan w:val="2"/>
            <w:tcBorders>
              <w:top w:val="nil"/>
              <w:left w:val="nil"/>
              <w:bottom w:val="nil"/>
              <w:right w:val="nil"/>
            </w:tcBorders>
            <w:shd w:val="clear" w:color="auto" w:fill="auto"/>
            <w:noWrap/>
            <w:vAlign w:val="bottom"/>
            <w:hideMark/>
          </w:tcPr>
          <w:p w:rsidR="007E4BAA" w:rsidRPr="007E4BAA" w:rsidRDefault="007E4BAA" w:rsidP="007E4BAA">
            <w:pPr>
              <w:spacing w:after="0" w:line="240" w:lineRule="auto"/>
              <w:jc w:val="right"/>
              <w:rPr>
                <w:rFonts w:ascii="Calibri" w:eastAsia="Times New Roman" w:hAnsi="Calibri" w:cs="Times New Roman"/>
                <w:color w:val="000000"/>
                <w:lang w:eastAsia="es-ES"/>
              </w:rPr>
            </w:pPr>
            <w:r w:rsidRPr="007E4BAA">
              <w:rPr>
                <w:rFonts w:ascii="Calibri" w:eastAsia="Times New Roman" w:hAnsi="Calibri" w:cs="Times New Roman"/>
                <w:color w:val="000000"/>
                <w:lang w:eastAsia="es-ES"/>
              </w:rPr>
              <w:t>30.17%</w:t>
            </w:r>
          </w:p>
        </w:tc>
      </w:tr>
      <w:tr w:rsidR="007E4BAA" w:rsidRPr="007E4BAA" w:rsidTr="005030C3">
        <w:trPr>
          <w:gridAfter w:val="1"/>
          <w:wAfter w:w="96" w:type="dxa"/>
          <w:trHeight w:val="300"/>
          <w:jc w:val="center"/>
        </w:trPr>
        <w:tc>
          <w:tcPr>
            <w:tcW w:w="1216" w:type="dxa"/>
            <w:tcBorders>
              <w:top w:val="nil"/>
              <w:left w:val="nil"/>
              <w:bottom w:val="nil"/>
              <w:right w:val="nil"/>
            </w:tcBorders>
            <w:shd w:val="clear" w:color="auto" w:fill="auto"/>
            <w:noWrap/>
            <w:vAlign w:val="bottom"/>
            <w:hideMark/>
          </w:tcPr>
          <w:p w:rsidR="007E4BAA" w:rsidRPr="007E4BAA" w:rsidRDefault="007E4BAA" w:rsidP="007E4BAA">
            <w:pPr>
              <w:spacing w:after="0" w:line="240" w:lineRule="auto"/>
              <w:rPr>
                <w:rFonts w:ascii="Calibri" w:eastAsia="Times New Roman" w:hAnsi="Calibri" w:cs="Times New Roman"/>
                <w:color w:val="000000"/>
                <w:lang w:eastAsia="es-ES"/>
              </w:rPr>
            </w:pPr>
            <w:r w:rsidRPr="007E4BAA">
              <w:rPr>
                <w:rFonts w:ascii="Calibri" w:eastAsia="Times New Roman" w:hAnsi="Calibri" w:cs="Times New Roman"/>
                <w:color w:val="000000"/>
                <w:lang w:eastAsia="es-ES"/>
              </w:rPr>
              <w:t xml:space="preserve">   Capital</w:t>
            </w:r>
          </w:p>
        </w:tc>
        <w:tc>
          <w:tcPr>
            <w:tcW w:w="1195" w:type="dxa"/>
            <w:tcBorders>
              <w:top w:val="nil"/>
              <w:left w:val="nil"/>
              <w:bottom w:val="nil"/>
              <w:right w:val="nil"/>
            </w:tcBorders>
            <w:shd w:val="clear" w:color="auto" w:fill="auto"/>
            <w:noWrap/>
            <w:vAlign w:val="bottom"/>
            <w:hideMark/>
          </w:tcPr>
          <w:p w:rsidR="007E4BAA" w:rsidRPr="007E4BAA" w:rsidRDefault="007E4BAA" w:rsidP="007E4BAA">
            <w:pPr>
              <w:spacing w:after="0" w:line="240" w:lineRule="auto"/>
              <w:rPr>
                <w:rFonts w:ascii="Calibri" w:eastAsia="Times New Roman" w:hAnsi="Calibri" w:cs="Times New Roman"/>
                <w:color w:val="000000"/>
                <w:lang w:eastAsia="es-ES"/>
              </w:rPr>
            </w:pPr>
          </w:p>
        </w:tc>
        <w:tc>
          <w:tcPr>
            <w:tcW w:w="1198" w:type="dxa"/>
            <w:gridSpan w:val="2"/>
            <w:tcBorders>
              <w:top w:val="nil"/>
              <w:left w:val="nil"/>
              <w:bottom w:val="nil"/>
              <w:right w:val="nil"/>
            </w:tcBorders>
            <w:shd w:val="clear" w:color="auto" w:fill="auto"/>
            <w:noWrap/>
            <w:vAlign w:val="bottom"/>
            <w:hideMark/>
          </w:tcPr>
          <w:p w:rsidR="007E4BAA" w:rsidRPr="007E4BAA" w:rsidRDefault="007E4BAA" w:rsidP="007E4BAA">
            <w:pPr>
              <w:spacing w:after="0" w:line="240" w:lineRule="auto"/>
              <w:jc w:val="right"/>
              <w:rPr>
                <w:rFonts w:ascii="Calibri" w:eastAsia="Times New Roman" w:hAnsi="Calibri" w:cs="Times New Roman"/>
                <w:color w:val="000000"/>
                <w:lang w:eastAsia="es-ES"/>
              </w:rPr>
            </w:pPr>
            <w:r w:rsidRPr="007E4BAA">
              <w:rPr>
                <w:rFonts w:ascii="Calibri" w:eastAsia="Times New Roman" w:hAnsi="Calibri" w:cs="Times New Roman"/>
                <w:color w:val="000000"/>
                <w:lang w:eastAsia="es-ES"/>
              </w:rPr>
              <w:t>46.93%</w:t>
            </w:r>
          </w:p>
        </w:tc>
        <w:tc>
          <w:tcPr>
            <w:tcW w:w="1197" w:type="dxa"/>
            <w:gridSpan w:val="2"/>
            <w:tcBorders>
              <w:top w:val="nil"/>
              <w:left w:val="nil"/>
              <w:bottom w:val="nil"/>
              <w:right w:val="nil"/>
            </w:tcBorders>
            <w:shd w:val="clear" w:color="auto" w:fill="auto"/>
            <w:noWrap/>
            <w:vAlign w:val="bottom"/>
            <w:hideMark/>
          </w:tcPr>
          <w:p w:rsidR="007E4BAA" w:rsidRPr="007E4BAA" w:rsidRDefault="007E4BAA" w:rsidP="007E4BAA">
            <w:pPr>
              <w:spacing w:after="0" w:line="240" w:lineRule="auto"/>
              <w:jc w:val="right"/>
              <w:rPr>
                <w:rFonts w:ascii="Calibri" w:eastAsia="Times New Roman" w:hAnsi="Calibri" w:cs="Times New Roman"/>
                <w:color w:val="000000"/>
                <w:lang w:eastAsia="es-ES"/>
              </w:rPr>
            </w:pPr>
            <w:r w:rsidRPr="007E4BAA">
              <w:rPr>
                <w:rFonts w:ascii="Calibri" w:eastAsia="Times New Roman" w:hAnsi="Calibri" w:cs="Times New Roman"/>
                <w:color w:val="000000"/>
                <w:lang w:eastAsia="es-ES"/>
              </w:rPr>
              <w:t>21.74%</w:t>
            </w:r>
          </w:p>
        </w:tc>
        <w:tc>
          <w:tcPr>
            <w:tcW w:w="1197" w:type="dxa"/>
            <w:gridSpan w:val="2"/>
            <w:tcBorders>
              <w:top w:val="nil"/>
              <w:left w:val="nil"/>
              <w:bottom w:val="nil"/>
              <w:right w:val="nil"/>
            </w:tcBorders>
            <w:shd w:val="clear" w:color="auto" w:fill="auto"/>
            <w:noWrap/>
            <w:vAlign w:val="bottom"/>
            <w:hideMark/>
          </w:tcPr>
          <w:p w:rsidR="007E4BAA" w:rsidRPr="007E4BAA" w:rsidRDefault="007E4BAA" w:rsidP="007E4BAA">
            <w:pPr>
              <w:spacing w:after="0" w:line="240" w:lineRule="auto"/>
              <w:jc w:val="right"/>
              <w:rPr>
                <w:rFonts w:ascii="Calibri" w:eastAsia="Times New Roman" w:hAnsi="Calibri" w:cs="Times New Roman"/>
                <w:color w:val="000000"/>
                <w:lang w:eastAsia="es-ES"/>
              </w:rPr>
            </w:pPr>
            <w:r w:rsidRPr="007E4BAA">
              <w:rPr>
                <w:rFonts w:ascii="Calibri" w:eastAsia="Times New Roman" w:hAnsi="Calibri" w:cs="Times New Roman"/>
                <w:color w:val="000000"/>
                <w:lang w:eastAsia="es-ES"/>
              </w:rPr>
              <w:t>279.42%</w:t>
            </w:r>
          </w:p>
        </w:tc>
        <w:tc>
          <w:tcPr>
            <w:tcW w:w="1537" w:type="dxa"/>
            <w:gridSpan w:val="2"/>
            <w:tcBorders>
              <w:top w:val="nil"/>
              <w:left w:val="nil"/>
              <w:bottom w:val="nil"/>
              <w:right w:val="nil"/>
            </w:tcBorders>
            <w:shd w:val="clear" w:color="auto" w:fill="auto"/>
            <w:noWrap/>
            <w:vAlign w:val="bottom"/>
            <w:hideMark/>
          </w:tcPr>
          <w:p w:rsidR="007E4BAA" w:rsidRPr="007E4BAA" w:rsidRDefault="007E4BAA" w:rsidP="007E4BAA">
            <w:pPr>
              <w:spacing w:after="0" w:line="240" w:lineRule="auto"/>
              <w:jc w:val="right"/>
              <w:rPr>
                <w:rFonts w:ascii="Calibri" w:eastAsia="Times New Roman" w:hAnsi="Calibri" w:cs="Times New Roman"/>
                <w:color w:val="000000"/>
                <w:lang w:eastAsia="es-ES"/>
              </w:rPr>
            </w:pPr>
            <w:r w:rsidRPr="007E4BAA">
              <w:rPr>
                <w:rFonts w:ascii="Calibri" w:eastAsia="Times New Roman" w:hAnsi="Calibri" w:cs="Times New Roman"/>
                <w:color w:val="000000"/>
                <w:lang w:eastAsia="es-ES"/>
              </w:rPr>
              <w:t>206.50%</w:t>
            </w:r>
          </w:p>
        </w:tc>
      </w:tr>
      <w:tr w:rsidR="007E4BAA" w:rsidRPr="007E4BAA" w:rsidTr="005030C3">
        <w:trPr>
          <w:gridAfter w:val="1"/>
          <w:wAfter w:w="96" w:type="dxa"/>
          <w:trHeight w:val="315"/>
          <w:jc w:val="center"/>
        </w:trPr>
        <w:tc>
          <w:tcPr>
            <w:tcW w:w="1216" w:type="dxa"/>
            <w:tcBorders>
              <w:top w:val="nil"/>
              <w:left w:val="nil"/>
              <w:bottom w:val="nil"/>
              <w:right w:val="nil"/>
            </w:tcBorders>
            <w:shd w:val="clear" w:color="000000" w:fill="CCCCFF"/>
            <w:noWrap/>
            <w:vAlign w:val="bottom"/>
            <w:hideMark/>
          </w:tcPr>
          <w:p w:rsidR="007E4BAA" w:rsidRPr="007E4BAA" w:rsidRDefault="007E4BAA" w:rsidP="007E4BAA">
            <w:pPr>
              <w:spacing w:after="0" w:line="240" w:lineRule="auto"/>
              <w:rPr>
                <w:rFonts w:ascii="Calibri" w:eastAsia="Times New Roman" w:hAnsi="Calibri" w:cs="Times New Roman"/>
                <w:b/>
                <w:bCs/>
                <w:color w:val="000000"/>
                <w:lang w:eastAsia="es-ES"/>
              </w:rPr>
            </w:pPr>
            <w:proofErr w:type="spellStart"/>
            <w:r w:rsidRPr="007E4BAA">
              <w:rPr>
                <w:rFonts w:ascii="Calibri" w:eastAsia="Times New Roman" w:hAnsi="Calibri" w:cs="Times New Roman"/>
                <w:b/>
                <w:bCs/>
                <w:color w:val="000000"/>
                <w:lang w:eastAsia="es-ES"/>
              </w:rPr>
              <w:t>Primary</w:t>
            </w:r>
            <w:proofErr w:type="spellEnd"/>
          </w:p>
        </w:tc>
        <w:tc>
          <w:tcPr>
            <w:tcW w:w="1195" w:type="dxa"/>
            <w:tcBorders>
              <w:top w:val="nil"/>
              <w:left w:val="nil"/>
              <w:bottom w:val="nil"/>
              <w:right w:val="nil"/>
            </w:tcBorders>
            <w:shd w:val="clear" w:color="000000" w:fill="CCCCFF"/>
            <w:noWrap/>
            <w:vAlign w:val="bottom"/>
            <w:hideMark/>
          </w:tcPr>
          <w:p w:rsidR="007E4BAA" w:rsidRPr="007E4BAA" w:rsidRDefault="007E4BAA" w:rsidP="007E4BAA">
            <w:pPr>
              <w:spacing w:after="0" w:line="240" w:lineRule="auto"/>
              <w:rPr>
                <w:rFonts w:ascii="Calibri" w:eastAsia="Times New Roman" w:hAnsi="Calibri" w:cs="Times New Roman"/>
                <w:color w:val="000000"/>
                <w:lang w:eastAsia="es-ES"/>
              </w:rPr>
            </w:pPr>
            <w:r w:rsidRPr="007E4BAA">
              <w:rPr>
                <w:rFonts w:ascii="Calibri" w:eastAsia="Times New Roman" w:hAnsi="Calibri" w:cs="Times New Roman"/>
                <w:color w:val="000000"/>
                <w:lang w:eastAsia="es-ES"/>
              </w:rPr>
              <w:t> </w:t>
            </w:r>
          </w:p>
        </w:tc>
        <w:tc>
          <w:tcPr>
            <w:tcW w:w="1198" w:type="dxa"/>
            <w:gridSpan w:val="2"/>
            <w:tcBorders>
              <w:top w:val="nil"/>
              <w:left w:val="nil"/>
              <w:bottom w:val="nil"/>
              <w:right w:val="nil"/>
            </w:tcBorders>
            <w:shd w:val="clear" w:color="000000" w:fill="CCCCFF"/>
            <w:noWrap/>
            <w:vAlign w:val="bottom"/>
            <w:hideMark/>
          </w:tcPr>
          <w:p w:rsidR="007E4BAA" w:rsidRPr="007E4BAA" w:rsidRDefault="007E4BAA" w:rsidP="007E4BAA">
            <w:pPr>
              <w:spacing w:after="0" w:line="240" w:lineRule="auto"/>
              <w:rPr>
                <w:rFonts w:ascii="Calibri" w:eastAsia="Times New Roman" w:hAnsi="Calibri" w:cs="Times New Roman"/>
                <w:color w:val="000000"/>
                <w:lang w:eastAsia="es-ES"/>
              </w:rPr>
            </w:pPr>
            <w:r w:rsidRPr="007E4BAA">
              <w:rPr>
                <w:rFonts w:ascii="Calibri" w:eastAsia="Times New Roman" w:hAnsi="Calibri" w:cs="Times New Roman"/>
                <w:color w:val="000000"/>
                <w:lang w:eastAsia="es-ES"/>
              </w:rPr>
              <w:t> </w:t>
            </w:r>
          </w:p>
        </w:tc>
        <w:tc>
          <w:tcPr>
            <w:tcW w:w="1197" w:type="dxa"/>
            <w:gridSpan w:val="2"/>
            <w:tcBorders>
              <w:top w:val="nil"/>
              <w:left w:val="nil"/>
              <w:bottom w:val="nil"/>
              <w:right w:val="nil"/>
            </w:tcBorders>
            <w:shd w:val="clear" w:color="000000" w:fill="CCCCFF"/>
            <w:noWrap/>
            <w:vAlign w:val="bottom"/>
            <w:hideMark/>
          </w:tcPr>
          <w:p w:rsidR="007E4BAA" w:rsidRPr="007E4BAA" w:rsidRDefault="007E4BAA" w:rsidP="007E4BAA">
            <w:pPr>
              <w:spacing w:after="0" w:line="240" w:lineRule="auto"/>
              <w:rPr>
                <w:rFonts w:ascii="Calibri" w:eastAsia="Times New Roman" w:hAnsi="Calibri" w:cs="Times New Roman"/>
                <w:color w:val="000000"/>
                <w:lang w:eastAsia="es-ES"/>
              </w:rPr>
            </w:pPr>
            <w:r w:rsidRPr="007E4BAA">
              <w:rPr>
                <w:rFonts w:ascii="Calibri" w:eastAsia="Times New Roman" w:hAnsi="Calibri" w:cs="Times New Roman"/>
                <w:color w:val="000000"/>
                <w:lang w:eastAsia="es-ES"/>
              </w:rPr>
              <w:t> </w:t>
            </w:r>
          </w:p>
        </w:tc>
        <w:tc>
          <w:tcPr>
            <w:tcW w:w="1197" w:type="dxa"/>
            <w:gridSpan w:val="2"/>
            <w:tcBorders>
              <w:top w:val="nil"/>
              <w:left w:val="nil"/>
              <w:bottom w:val="nil"/>
              <w:right w:val="nil"/>
            </w:tcBorders>
            <w:shd w:val="clear" w:color="000000" w:fill="CCCCFF"/>
            <w:noWrap/>
            <w:vAlign w:val="bottom"/>
            <w:hideMark/>
          </w:tcPr>
          <w:p w:rsidR="007E4BAA" w:rsidRPr="007E4BAA" w:rsidRDefault="007E4BAA" w:rsidP="007E4BAA">
            <w:pPr>
              <w:spacing w:after="0" w:line="240" w:lineRule="auto"/>
              <w:rPr>
                <w:rFonts w:ascii="Calibri" w:eastAsia="Times New Roman" w:hAnsi="Calibri" w:cs="Times New Roman"/>
                <w:color w:val="000000"/>
                <w:lang w:eastAsia="es-ES"/>
              </w:rPr>
            </w:pPr>
            <w:r w:rsidRPr="007E4BAA">
              <w:rPr>
                <w:rFonts w:ascii="Calibri" w:eastAsia="Times New Roman" w:hAnsi="Calibri" w:cs="Times New Roman"/>
                <w:color w:val="000000"/>
                <w:lang w:eastAsia="es-ES"/>
              </w:rPr>
              <w:t> </w:t>
            </w:r>
          </w:p>
        </w:tc>
        <w:tc>
          <w:tcPr>
            <w:tcW w:w="1537" w:type="dxa"/>
            <w:gridSpan w:val="2"/>
            <w:tcBorders>
              <w:top w:val="nil"/>
              <w:left w:val="nil"/>
              <w:bottom w:val="nil"/>
              <w:right w:val="nil"/>
            </w:tcBorders>
            <w:shd w:val="clear" w:color="000000" w:fill="CCCCFF"/>
            <w:noWrap/>
            <w:vAlign w:val="bottom"/>
            <w:hideMark/>
          </w:tcPr>
          <w:p w:rsidR="007E4BAA" w:rsidRPr="007E4BAA" w:rsidRDefault="007E4BAA" w:rsidP="007E4BAA">
            <w:pPr>
              <w:spacing w:after="0" w:line="240" w:lineRule="auto"/>
              <w:rPr>
                <w:rFonts w:ascii="Calibri" w:eastAsia="Times New Roman" w:hAnsi="Calibri" w:cs="Times New Roman"/>
                <w:color w:val="000000"/>
                <w:lang w:eastAsia="es-ES"/>
              </w:rPr>
            </w:pPr>
            <w:r w:rsidRPr="007E4BAA">
              <w:rPr>
                <w:rFonts w:ascii="Calibri" w:eastAsia="Times New Roman" w:hAnsi="Calibri" w:cs="Times New Roman"/>
                <w:color w:val="000000"/>
                <w:lang w:eastAsia="es-ES"/>
              </w:rPr>
              <w:t> </w:t>
            </w:r>
          </w:p>
        </w:tc>
      </w:tr>
      <w:tr w:rsidR="007E4BAA" w:rsidRPr="007E4BAA" w:rsidTr="005030C3">
        <w:trPr>
          <w:gridAfter w:val="1"/>
          <w:wAfter w:w="96" w:type="dxa"/>
          <w:trHeight w:val="300"/>
          <w:jc w:val="center"/>
        </w:trPr>
        <w:tc>
          <w:tcPr>
            <w:tcW w:w="1216" w:type="dxa"/>
            <w:tcBorders>
              <w:top w:val="nil"/>
              <w:left w:val="nil"/>
              <w:bottom w:val="nil"/>
              <w:right w:val="nil"/>
            </w:tcBorders>
            <w:shd w:val="clear" w:color="auto" w:fill="auto"/>
            <w:noWrap/>
            <w:vAlign w:val="bottom"/>
            <w:hideMark/>
          </w:tcPr>
          <w:p w:rsidR="007E4BAA" w:rsidRPr="007E4BAA" w:rsidRDefault="007E4BAA" w:rsidP="007E4BAA">
            <w:pPr>
              <w:spacing w:after="0" w:line="240" w:lineRule="auto"/>
              <w:rPr>
                <w:rFonts w:ascii="Calibri" w:eastAsia="Times New Roman" w:hAnsi="Calibri" w:cs="Times New Roman"/>
                <w:color w:val="000000"/>
                <w:lang w:eastAsia="es-ES"/>
              </w:rPr>
            </w:pPr>
            <w:r w:rsidRPr="007E4BAA">
              <w:rPr>
                <w:rFonts w:ascii="Calibri" w:eastAsia="Times New Roman" w:hAnsi="Calibri" w:cs="Times New Roman"/>
                <w:color w:val="000000"/>
                <w:lang w:eastAsia="es-ES"/>
              </w:rPr>
              <w:t>TOTAL</w:t>
            </w:r>
          </w:p>
        </w:tc>
        <w:tc>
          <w:tcPr>
            <w:tcW w:w="1195" w:type="dxa"/>
            <w:tcBorders>
              <w:top w:val="nil"/>
              <w:left w:val="nil"/>
              <w:bottom w:val="nil"/>
              <w:right w:val="nil"/>
            </w:tcBorders>
            <w:shd w:val="clear" w:color="auto" w:fill="auto"/>
            <w:noWrap/>
            <w:vAlign w:val="bottom"/>
            <w:hideMark/>
          </w:tcPr>
          <w:p w:rsidR="007E4BAA" w:rsidRPr="007E4BAA" w:rsidRDefault="007E4BAA" w:rsidP="007E4BAA">
            <w:pPr>
              <w:spacing w:after="0" w:line="240" w:lineRule="auto"/>
              <w:rPr>
                <w:rFonts w:ascii="Calibri" w:eastAsia="Times New Roman" w:hAnsi="Calibri" w:cs="Times New Roman"/>
                <w:color w:val="000000"/>
                <w:lang w:eastAsia="es-ES"/>
              </w:rPr>
            </w:pPr>
          </w:p>
        </w:tc>
        <w:tc>
          <w:tcPr>
            <w:tcW w:w="1198" w:type="dxa"/>
            <w:gridSpan w:val="2"/>
            <w:tcBorders>
              <w:top w:val="nil"/>
              <w:left w:val="nil"/>
              <w:bottom w:val="nil"/>
              <w:right w:val="nil"/>
            </w:tcBorders>
            <w:shd w:val="clear" w:color="auto" w:fill="auto"/>
            <w:noWrap/>
            <w:vAlign w:val="bottom"/>
            <w:hideMark/>
          </w:tcPr>
          <w:p w:rsidR="007E4BAA" w:rsidRPr="007E4BAA" w:rsidRDefault="007E4BAA" w:rsidP="007E4BAA">
            <w:pPr>
              <w:spacing w:after="0" w:line="240" w:lineRule="auto"/>
              <w:jc w:val="right"/>
              <w:rPr>
                <w:rFonts w:ascii="Calibri" w:eastAsia="Times New Roman" w:hAnsi="Calibri" w:cs="Times New Roman"/>
                <w:color w:val="000000"/>
                <w:lang w:eastAsia="es-ES"/>
              </w:rPr>
            </w:pPr>
            <w:r w:rsidRPr="007E4BAA">
              <w:rPr>
                <w:rFonts w:ascii="Calibri" w:eastAsia="Times New Roman" w:hAnsi="Calibri" w:cs="Times New Roman"/>
                <w:color w:val="000000"/>
                <w:lang w:eastAsia="es-ES"/>
              </w:rPr>
              <w:t>12.87%</w:t>
            </w:r>
          </w:p>
        </w:tc>
        <w:tc>
          <w:tcPr>
            <w:tcW w:w="1197" w:type="dxa"/>
            <w:gridSpan w:val="2"/>
            <w:tcBorders>
              <w:top w:val="nil"/>
              <w:left w:val="nil"/>
              <w:bottom w:val="nil"/>
              <w:right w:val="nil"/>
            </w:tcBorders>
            <w:shd w:val="clear" w:color="auto" w:fill="auto"/>
            <w:noWrap/>
            <w:vAlign w:val="bottom"/>
            <w:hideMark/>
          </w:tcPr>
          <w:p w:rsidR="007E4BAA" w:rsidRPr="007E4BAA" w:rsidRDefault="007E4BAA" w:rsidP="007E4BAA">
            <w:pPr>
              <w:spacing w:after="0" w:line="240" w:lineRule="auto"/>
              <w:jc w:val="right"/>
              <w:rPr>
                <w:rFonts w:ascii="Calibri" w:eastAsia="Times New Roman" w:hAnsi="Calibri" w:cs="Times New Roman"/>
                <w:color w:val="000000"/>
                <w:lang w:eastAsia="es-ES"/>
              </w:rPr>
            </w:pPr>
            <w:r w:rsidRPr="007E4BAA">
              <w:rPr>
                <w:rFonts w:ascii="Calibri" w:eastAsia="Times New Roman" w:hAnsi="Calibri" w:cs="Times New Roman"/>
                <w:color w:val="000000"/>
                <w:lang w:eastAsia="es-ES"/>
              </w:rPr>
              <w:t>28.28%</w:t>
            </w:r>
          </w:p>
        </w:tc>
        <w:tc>
          <w:tcPr>
            <w:tcW w:w="1197" w:type="dxa"/>
            <w:gridSpan w:val="2"/>
            <w:tcBorders>
              <w:top w:val="nil"/>
              <w:left w:val="nil"/>
              <w:bottom w:val="nil"/>
              <w:right w:val="nil"/>
            </w:tcBorders>
            <w:shd w:val="clear" w:color="auto" w:fill="auto"/>
            <w:noWrap/>
            <w:vAlign w:val="bottom"/>
            <w:hideMark/>
          </w:tcPr>
          <w:p w:rsidR="007E4BAA" w:rsidRPr="007E4BAA" w:rsidRDefault="007E4BAA" w:rsidP="007E4BAA">
            <w:pPr>
              <w:spacing w:after="0" w:line="240" w:lineRule="auto"/>
              <w:jc w:val="right"/>
              <w:rPr>
                <w:rFonts w:ascii="Calibri" w:eastAsia="Times New Roman" w:hAnsi="Calibri" w:cs="Times New Roman"/>
                <w:color w:val="000000"/>
                <w:lang w:eastAsia="es-ES"/>
              </w:rPr>
            </w:pPr>
            <w:r w:rsidRPr="007E4BAA">
              <w:rPr>
                <w:rFonts w:ascii="Calibri" w:eastAsia="Times New Roman" w:hAnsi="Calibri" w:cs="Times New Roman"/>
                <w:color w:val="000000"/>
                <w:lang w:eastAsia="es-ES"/>
              </w:rPr>
              <w:t>40.14%</w:t>
            </w:r>
          </w:p>
        </w:tc>
        <w:tc>
          <w:tcPr>
            <w:tcW w:w="1537" w:type="dxa"/>
            <w:gridSpan w:val="2"/>
            <w:tcBorders>
              <w:top w:val="nil"/>
              <w:left w:val="nil"/>
              <w:bottom w:val="nil"/>
              <w:right w:val="nil"/>
            </w:tcBorders>
            <w:shd w:val="clear" w:color="auto" w:fill="auto"/>
            <w:noWrap/>
            <w:vAlign w:val="bottom"/>
            <w:hideMark/>
          </w:tcPr>
          <w:p w:rsidR="007E4BAA" w:rsidRPr="007E4BAA" w:rsidRDefault="007E4BAA" w:rsidP="007E4BAA">
            <w:pPr>
              <w:spacing w:after="0" w:line="240" w:lineRule="auto"/>
              <w:jc w:val="right"/>
              <w:rPr>
                <w:rFonts w:ascii="Calibri" w:eastAsia="Times New Roman" w:hAnsi="Calibri" w:cs="Times New Roman"/>
                <w:color w:val="000000"/>
                <w:lang w:eastAsia="es-ES"/>
              </w:rPr>
            </w:pPr>
            <w:r w:rsidRPr="007E4BAA">
              <w:rPr>
                <w:rFonts w:ascii="Calibri" w:eastAsia="Times New Roman" w:hAnsi="Calibri" w:cs="Times New Roman"/>
                <w:color w:val="000000"/>
                <w:lang w:eastAsia="es-ES"/>
              </w:rPr>
              <w:t>33.11%</w:t>
            </w:r>
          </w:p>
        </w:tc>
      </w:tr>
      <w:tr w:rsidR="007E4BAA" w:rsidRPr="007E4BAA" w:rsidTr="005030C3">
        <w:trPr>
          <w:gridAfter w:val="1"/>
          <w:wAfter w:w="96" w:type="dxa"/>
          <w:trHeight w:val="300"/>
          <w:jc w:val="center"/>
        </w:trPr>
        <w:tc>
          <w:tcPr>
            <w:tcW w:w="1216" w:type="dxa"/>
            <w:tcBorders>
              <w:top w:val="nil"/>
              <w:left w:val="nil"/>
              <w:bottom w:val="nil"/>
              <w:right w:val="nil"/>
            </w:tcBorders>
            <w:shd w:val="clear" w:color="auto" w:fill="auto"/>
            <w:noWrap/>
            <w:vAlign w:val="bottom"/>
            <w:hideMark/>
          </w:tcPr>
          <w:p w:rsidR="007E4BAA" w:rsidRPr="007E4BAA" w:rsidRDefault="007E4BAA" w:rsidP="007E4BAA">
            <w:pPr>
              <w:spacing w:after="0" w:line="240" w:lineRule="auto"/>
              <w:rPr>
                <w:rFonts w:ascii="Calibri" w:eastAsia="Times New Roman" w:hAnsi="Calibri" w:cs="Times New Roman"/>
                <w:color w:val="000000"/>
                <w:lang w:eastAsia="es-ES"/>
              </w:rPr>
            </w:pPr>
            <w:r w:rsidRPr="007E4BAA">
              <w:rPr>
                <w:rFonts w:ascii="Calibri" w:eastAsia="Times New Roman" w:hAnsi="Calibri" w:cs="Times New Roman"/>
                <w:color w:val="000000"/>
                <w:lang w:eastAsia="es-ES"/>
              </w:rPr>
              <w:t xml:space="preserve">   </w:t>
            </w:r>
            <w:proofErr w:type="spellStart"/>
            <w:r w:rsidRPr="007E4BAA">
              <w:rPr>
                <w:rFonts w:ascii="Calibri" w:eastAsia="Times New Roman" w:hAnsi="Calibri" w:cs="Times New Roman"/>
                <w:color w:val="000000"/>
                <w:lang w:eastAsia="es-ES"/>
              </w:rPr>
              <w:t>Wages</w:t>
            </w:r>
            <w:proofErr w:type="spellEnd"/>
          </w:p>
        </w:tc>
        <w:tc>
          <w:tcPr>
            <w:tcW w:w="1195" w:type="dxa"/>
            <w:tcBorders>
              <w:top w:val="nil"/>
              <w:left w:val="nil"/>
              <w:bottom w:val="nil"/>
              <w:right w:val="nil"/>
            </w:tcBorders>
            <w:shd w:val="clear" w:color="auto" w:fill="auto"/>
            <w:noWrap/>
            <w:vAlign w:val="bottom"/>
            <w:hideMark/>
          </w:tcPr>
          <w:p w:rsidR="007E4BAA" w:rsidRPr="007E4BAA" w:rsidRDefault="007E4BAA" w:rsidP="007E4BAA">
            <w:pPr>
              <w:spacing w:after="0" w:line="240" w:lineRule="auto"/>
              <w:rPr>
                <w:rFonts w:ascii="Calibri" w:eastAsia="Times New Roman" w:hAnsi="Calibri" w:cs="Times New Roman"/>
                <w:color w:val="000000"/>
                <w:lang w:eastAsia="es-ES"/>
              </w:rPr>
            </w:pPr>
          </w:p>
        </w:tc>
        <w:tc>
          <w:tcPr>
            <w:tcW w:w="1198" w:type="dxa"/>
            <w:gridSpan w:val="2"/>
            <w:tcBorders>
              <w:top w:val="nil"/>
              <w:left w:val="nil"/>
              <w:bottom w:val="nil"/>
              <w:right w:val="nil"/>
            </w:tcBorders>
            <w:shd w:val="clear" w:color="auto" w:fill="auto"/>
            <w:noWrap/>
            <w:vAlign w:val="bottom"/>
            <w:hideMark/>
          </w:tcPr>
          <w:p w:rsidR="007E4BAA" w:rsidRPr="007E4BAA" w:rsidRDefault="007E4BAA" w:rsidP="007E4BAA">
            <w:pPr>
              <w:spacing w:after="0" w:line="240" w:lineRule="auto"/>
              <w:jc w:val="right"/>
              <w:rPr>
                <w:rFonts w:ascii="Calibri" w:eastAsia="Times New Roman" w:hAnsi="Calibri" w:cs="Times New Roman"/>
                <w:color w:val="000000"/>
                <w:lang w:eastAsia="es-ES"/>
              </w:rPr>
            </w:pPr>
            <w:r w:rsidRPr="007E4BAA">
              <w:rPr>
                <w:rFonts w:ascii="Calibri" w:eastAsia="Times New Roman" w:hAnsi="Calibri" w:cs="Times New Roman"/>
                <w:color w:val="000000"/>
                <w:lang w:eastAsia="es-ES"/>
              </w:rPr>
              <w:t>-0.18%</w:t>
            </w:r>
          </w:p>
        </w:tc>
        <w:tc>
          <w:tcPr>
            <w:tcW w:w="1197" w:type="dxa"/>
            <w:gridSpan w:val="2"/>
            <w:tcBorders>
              <w:top w:val="nil"/>
              <w:left w:val="nil"/>
              <w:bottom w:val="nil"/>
              <w:right w:val="nil"/>
            </w:tcBorders>
            <w:shd w:val="clear" w:color="auto" w:fill="auto"/>
            <w:noWrap/>
            <w:vAlign w:val="bottom"/>
            <w:hideMark/>
          </w:tcPr>
          <w:p w:rsidR="007E4BAA" w:rsidRPr="007E4BAA" w:rsidRDefault="007E4BAA" w:rsidP="007E4BAA">
            <w:pPr>
              <w:spacing w:after="0" w:line="240" w:lineRule="auto"/>
              <w:jc w:val="right"/>
              <w:rPr>
                <w:rFonts w:ascii="Calibri" w:eastAsia="Times New Roman" w:hAnsi="Calibri" w:cs="Times New Roman"/>
                <w:color w:val="000000"/>
                <w:lang w:eastAsia="es-ES"/>
              </w:rPr>
            </w:pPr>
            <w:r w:rsidRPr="007E4BAA">
              <w:rPr>
                <w:rFonts w:ascii="Calibri" w:eastAsia="Times New Roman" w:hAnsi="Calibri" w:cs="Times New Roman"/>
                <w:color w:val="000000"/>
                <w:lang w:eastAsia="es-ES"/>
              </w:rPr>
              <w:t>-2.86%</w:t>
            </w:r>
          </w:p>
        </w:tc>
        <w:tc>
          <w:tcPr>
            <w:tcW w:w="1197" w:type="dxa"/>
            <w:gridSpan w:val="2"/>
            <w:tcBorders>
              <w:top w:val="nil"/>
              <w:left w:val="nil"/>
              <w:bottom w:val="nil"/>
              <w:right w:val="nil"/>
            </w:tcBorders>
            <w:shd w:val="clear" w:color="auto" w:fill="auto"/>
            <w:noWrap/>
            <w:vAlign w:val="bottom"/>
            <w:hideMark/>
          </w:tcPr>
          <w:p w:rsidR="007E4BAA" w:rsidRPr="007E4BAA" w:rsidRDefault="007E4BAA" w:rsidP="007E4BAA">
            <w:pPr>
              <w:spacing w:after="0" w:line="240" w:lineRule="auto"/>
              <w:jc w:val="right"/>
              <w:rPr>
                <w:rFonts w:ascii="Calibri" w:eastAsia="Times New Roman" w:hAnsi="Calibri" w:cs="Times New Roman"/>
                <w:color w:val="000000"/>
                <w:lang w:eastAsia="es-ES"/>
              </w:rPr>
            </w:pPr>
            <w:r w:rsidRPr="007E4BAA">
              <w:rPr>
                <w:rFonts w:ascii="Calibri" w:eastAsia="Times New Roman" w:hAnsi="Calibri" w:cs="Times New Roman"/>
                <w:color w:val="000000"/>
                <w:lang w:eastAsia="es-ES"/>
              </w:rPr>
              <w:t>10.13%</w:t>
            </w:r>
          </w:p>
        </w:tc>
        <w:tc>
          <w:tcPr>
            <w:tcW w:w="1537" w:type="dxa"/>
            <w:gridSpan w:val="2"/>
            <w:tcBorders>
              <w:top w:val="nil"/>
              <w:left w:val="nil"/>
              <w:bottom w:val="nil"/>
              <w:right w:val="nil"/>
            </w:tcBorders>
            <w:shd w:val="clear" w:color="auto" w:fill="auto"/>
            <w:noWrap/>
            <w:vAlign w:val="bottom"/>
            <w:hideMark/>
          </w:tcPr>
          <w:p w:rsidR="007E4BAA" w:rsidRPr="007E4BAA" w:rsidRDefault="007E4BAA" w:rsidP="007E4BAA">
            <w:pPr>
              <w:spacing w:after="0" w:line="240" w:lineRule="auto"/>
              <w:jc w:val="right"/>
              <w:rPr>
                <w:rFonts w:ascii="Calibri" w:eastAsia="Times New Roman" w:hAnsi="Calibri" w:cs="Times New Roman"/>
                <w:color w:val="000000"/>
                <w:lang w:eastAsia="es-ES"/>
              </w:rPr>
            </w:pPr>
            <w:r w:rsidRPr="007E4BAA">
              <w:rPr>
                <w:rFonts w:ascii="Calibri" w:eastAsia="Times New Roman" w:hAnsi="Calibri" w:cs="Times New Roman"/>
                <w:color w:val="000000"/>
                <w:lang w:eastAsia="es-ES"/>
              </w:rPr>
              <w:t>6.74%</w:t>
            </w:r>
          </w:p>
        </w:tc>
      </w:tr>
      <w:tr w:rsidR="007E4BAA" w:rsidRPr="007E4BAA" w:rsidTr="005030C3">
        <w:trPr>
          <w:gridAfter w:val="1"/>
          <w:wAfter w:w="96" w:type="dxa"/>
          <w:trHeight w:val="300"/>
          <w:jc w:val="center"/>
        </w:trPr>
        <w:tc>
          <w:tcPr>
            <w:tcW w:w="2411" w:type="dxa"/>
            <w:gridSpan w:val="2"/>
            <w:tcBorders>
              <w:top w:val="nil"/>
              <w:left w:val="nil"/>
              <w:bottom w:val="nil"/>
              <w:right w:val="nil"/>
            </w:tcBorders>
            <w:shd w:val="clear" w:color="auto" w:fill="auto"/>
            <w:noWrap/>
            <w:vAlign w:val="bottom"/>
            <w:hideMark/>
          </w:tcPr>
          <w:p w:rsidR="007E4BAA" w:rsidRPr="007E4BAA" w:rsidRDefault="007E4BAA" w:rsidP="007E4BAA">
            <w:pPr>
              <w:spacing w:after="0" w:line="240" w:lineRule="auto"/>
              <w:rPr>
                <w:rFonts w:ascii="Calibri" w:eastAsia="Times New Roman" w:hAnsi="Calibri" w:cs="Times New Roman"/>
                <w:color w:val="000000"/>
                <w:lang w:eastAsia="es-ES"/>
              </w:rPr>
            </w:pPr>
            <w:r w:rsidRPr="007E4BAA">
              <w:rPr>
                <w:rFonts w:ascii="Calibri" w:eastAsia="Times New Roman" w:hAnsi="Calibri" w:cs="Times New Roman"/>
                <w:color w:val="000000"/>
                <w:lang w:eastAsia="es-ES"/>
              </w:rPr>
              <w:t xml:space="preserve">   Non-</w:t>
            </w:r>
            <w:proofErr w:type="spellStart"/>
            <w:r w:rsidRPr="007E4BAA">
              <w:rPr>
                <w:rFonts w:ascii="Calibri" w:eastAsia="Times New Roman" w:hAnsi="Calibri" w:cs="Times New Roman"/>
                <w:color w:val="000000"/>
                <w:lang w:eastAsia="es-ES"/>
              </w:rPr>
              <w:t>Wages</w:t>
            </w:r>
            <w:proofErr w:type="spellEnd"/>
          </w:p>
        </w:tc>
        <w:tc>
          <w:tcPr>
            <w:tcW w:w="1198" w:type="dxa"/>
            <w:gridSpan w:val="2"/>
            <w:tcBorders>
              <w:top w:val="nil"/>
              <w:left w:val="nil"/>
              <w:bottom w:val="nil"/>
              <w:right w:val="nil"/>
            </w:tcBorders>
            <w:shd w:val="clear" w:color="auto" w:fill="auto"/>
            <w:noWrap/>
            <w:vAlign w:val="bottom"/>
            <w:hideMark/>
          </w:tcPr>
          <w:p w:rsidR="007E4BAA" w:rsidRPr="007E4BAA" w:rsidRDefault="007E4BAA" w:rsidP="007E4BAA">
            <w:pPr>
              <w:spacing w:after="0" w:line="240" w:lineRule="auto"/>
              <w:jc w:val="right"/>
              <w:rPr>
                <w:rFonts w:ascii="Calibri" w:eastAsia="Times New Roman" w:hAnsi="Calibri" w:cs="Times New Roman"/>
                <w:color w:val="000000"/>
                <w:lang w:eastAsia="es-ES"/>
              </w:rPr>
            </w:pPr>
            <w:r w:rsidRPr="007E4BAA">
              <w:rPr>
                <w:rFonts w:ascii="Calibri" w:eastAsia="Times New Roman" w:hAnsi="Calibri" w:cs="Times New Roman"/>
                <w:color w:val="000000"/>
                <w:lang w:eastAsia="es-ES"/>
              </w:rPr>
              <w:t>71.10%</w:t>
            </w:r>
          </w:p>
        </w:tc>
        <w:tc>
          <w:tcPr>
            <w:tcW w:w="1197" w:type="dxa"/>
            <w:gridSpan w:val="2"/>
            <w:tcBorders>
              <w:top w:val="nil"/>
              <w:left w:val="nil"/>
              <w:bottom w:val="nil"/>
              <w:right w:val="nil"/>
            </w:tcBorders>
            <w:shd w:val="clear" w:color="auto" w:fill="auto"/>
            <w:noWrap/>
            <w:vAlign w:val="bottom"/>
            <w:hideMark/>
          </w:tcPr>
          <w:p w:rsidR="007E4BAA" w:rsidRPr="007E4BAA" w:rsidRDefault="007E4BAA" w:rsidP="007E4BAA">
            <w:pPr>
              <w:spacing w:after="0" w:line="240" w:lineRule="auto"/>
              <w:jc w:val="right"/>
              <w:rPr>
                <w:rFonts w:ascii="Calibri" w:eastAsia="Times New Roman" w:hAnsi="Calibri" w:cs="Times New Roman"/>
                <w:color w:val="000000"/>
                <w:lang w:eastAsia="es-ES"/>
              </w:rPr>
            </w:pPr>
            <w:r w:rsidRPr="007E4BAA">
              <w:rPr>
                <w:rFonts w:ascii="Calibri" w:eastAsia="Times New Roman" w:hAnsi="Calibri" w:cs="Times New Roman"/>
                <w:color w:val="000000"/>
                <w:lang w:eastAsia="es-ES"/>
              </w:rPr>
              <w:t>190.13%</w:t>
            </w:r>
          </w:p>
        </w:tc>
        <w:tc>
          <w:tcPr>
            <w:tcW w:w="1197" w:type="dxa"/>
            <w:gridSpan w:val="2"/>
            <w:tcBorders>
              <w:top w:val="nil"/>
              <w:left w:val="nil"/>
              <w:bottom w:val="nil"/>
              <w:right w:val="nil"/>
            </w:tcBorders>
            <w:shd w:val="clear" w:color="auto" w:fill="auto"/>
            <w:noWrap/>
            <w:vAlign w:val="bottom"/>
            <w:hideMark/>
          </w:tcPr>
          <w:p w:rsidR="007E4BAA" w:rsidRPr="007E4BAA" w:rsidRDefault="007E4BAA" w:rsidP="007E4BAA">
            <w:pPr>
              <w:spacing w:after="0" w:line="240" w:lineRule="auto"/>
              <w:jc w:val="right"/>
              <w:rPr>
                <w:rFonts w:ascii="Calibri" w:eastAsia="Times New Roman" w:hAnsi="Calibri" w:cs="Times New Roman"/>
                <w:color w:val="000000"/>
                <w:lang w:eastAsia="es-ES"/>
              </w:rPr>
            </w:pPr>
            <w:r w:rsidRPr="007E4BAA">
              <w:rPr>
                <w:rFonts w:ascii="Calibri" w:eastAsia="Times New Roman" w:hAnsi="Calibri" w:cs="Times New Roman"/>
                <w:color w:val="000000"/>
                <w:lang w:eastAsia="es-ES"/>
              </w:rPr>
              <w:t>104.37%</w:t>
            </w:r>
          </w:p>
        </w:tc>
        <w:tc>
          <w:tcPr>
            <w:tcW w:w="1537" w:type="dxa"/>
            <w:gridSpan w:val="2"/>
            <w:tcBorders>
              <w:top w:val="nil"/>
              <w:left w:val="nil"/>
              <w:bottom w:val="nil"/>
              <w:right w:val="nil"/>
            </w:tcBorders>
            <w:shd w:val="clear" w:color="auto" w:fill="auto"/>
            <w:noWrap/>
            <w:vAlign w:val="bottom"/>
            <w:hideMark/>
          </w:tcPr>
          <w:p w:rsidR="007E4BAA" w:rsidRPr="007E4BAA" w:rsidRDefault="007E4BAA" w:rsidP="007E4BAA">
            <w:pPr>
              <w:spacing w:after="0" w:line="240" w:lineRule="auto"/>
              <w:jc w:val="right"/>
              <w:rPr>
                <w:rFonts w:ascii="Calibri" w:eastAsia="Times New Roman" w:hAnsi="Calibri" w:cs="Times New Roman"/>
                <w:color w:val="000000"/>
                <w:lang w:eastAsia="es-ES"/>
              </w:rPr>
            </w:pPr>
            <w:r w:rsidRPr="007E4BAA">
              <w:rPr>
                <w:rFonts w:ascii="Calibri" w:eastAsia="Times New Roman" w:hAnsi="Calibri" w:cs="Times New Roman"/>
                <w:color w:val="000000"/>
                <w:lang w:eastAsia="es-ES"/>
              </w:rPr>
              <w:t>146.62%</w:t>
            </w:r>
          </w:p>
        </w:tc>
      </w:tr>
      <w:tr w:rsidR="007E4BAA" w:rsidRPr="007E4BAA" w:rsidTr="005030C3">
        <w:trPr>
          <w:gridAfter w:val="1"/>
          <w:wAfter w:w="96" w:type="dxa"/>
          <w:trHeight w:val="300"/>
          <w:jc w:val="center"/>
        </w:trPr>
        <w:tc>
          <w:tcPr>
            <w:tcW w:w="1216" w:type="dxa"/>
            <w:tcBorders>
              <w:top w:val="nil"/>
              <w:left w:val="nil"/>
              <w:bottom w:val="nil"/>
              <w:right w:val="nil"/>
            </w:tcBorders>
            <w:shd w:val="clear" w:color="auto" w:fill="auto"/>
            <w:noWrap/>
            <w:vAlign w:val="bottom"/>
            <w:hideMark/>
          </w:tcPr>
          <w:p w:rsidR="007E4BAA" w:rsidRPr="007E4BAA" w:rsidRDefault="007E4BAA" w:rsidP="007E4BAA">
            <w:pPr>
              <w:spacing w:after="0" w:line="240" w:lineRule="auto"/>
              <w:rPr>
                <w:rFonts w:ascii="Calibri" w:eastAsia="Times New Roman" w:hAnsi="Calibri" w:cs="Times New Roman"/>
                <w:color w:val="000000"/>
                <w:lang w:eastAsia="es-ES"/>
              </w:rPr>
            </w:pPr>
            <w:r w:rsidRPr="007E4BAA">
              <w:rPr>
                <w:rFonts w:ascii="Calibri" w:eastAsia="Times New Roman" w:hAnsi="Calibri" w:cs="Times New Roman"/>
                <w:color w:val="000000"/>
                <w:lang w:eastAsia="es-ES"/>
              </w:rPr>
              <w:t xml:space="preserve">   Capital</w:t>
            </w:r>
          </w:p>
        </w:tc>
        <w:tc>
          <w:tcPr>
            <w:tcW w:w="1195" w:type="dxa"/>
            <w:tcBorders>
              <w:top w:val="nil"/>
              <w:left w:val="nil"/>
              <w:bottom w:val="nil"/>
              <w:right w:val="nil"/>
            </w:tcBorders>
            <w:shd w:val="clear" w:color="auto" w:fill="auto"/>
            <w:noWrap/>
            <w:vAlign w:val="bottom"/>
            <w:hideMark/>
          </w:tcPr>
          <w:p w:rsidR="007E4BAA" w:rsidRPr="007E4BAA" w:rsidRDefault="007E4BAA" w:rsidP="007E4BAA">
            <w:pPr>
              <w:spacing w:after="0" w:line="240" w:lineRule="auto"/>
              <w:rPr>
                <w:rFonts w:ascii="Calibri" w:eastAsia="Times New Roman" w:hAnsi="Calibri" w:cs="Times New Roman"/>
                <w:color w:val="000000"/>
                <w:lang w:eastAsia="es-ES"/>
              </w:rPr>
            </w:pPr>
          </w:p>
        </w:tc>
        <w:tc>
          <w:tcPr>
            <w:tcW w:w="1198" w:type="dxa"/>
            <w:gridSpan w:val="2"/>
            <w:tcBorders>
              <w:top w:val="nil"/>
              <w:left w:val="nil"/>
              <w:bottom w:val="nil"/>
              <w:right w:val="nil"/>
            </w:tcBorders>
            <w:shd w:val="clear" w:color="auto" w:fill="auto"/>
            <w:noWrap/>
            <w:vAlign w:val="bottom"/>
            <w:hideMark/>
          </w:tcPr>
          <w:p w:rsidR="007E4BAA" w:rsidRPr="007E4BAA" w:rsidRDefault="007E4BAA" w:rsidP="007E4BAA">
            <w:pPr>
              <w:spacing w:after="0" w:line="240" w:lineRule="auto"/>
              <w:jc w:val="right"/>
              <w:rPr>
                <w:rFonts w:ascii="Calibri" w:eastAsia="Times New Roman" w:hAnsi="Calibri" w:cs="Times New Roman"/>
                <w:color w:val="000000"/>
                <w:lang w:eastAsia="es-ES"/>
              </w:rPr>
            </w:pPr>
            <w:r w:rsidRPr="007E4BAA">
              <w:rPr>
                <w:rFonts w:ascii="Calibri" w:eastAsia="Times New Roman" w:hAnsi="Calibri" w:cs="Times New Roman"/>
                <w:color w:val="000000"/>
                <w:lang w:eastAsia="es-ES"/>
              </w:rPr>
              <w:t>172.83%</w:t>
            </w:r>
          </w:p>
        </w:tc>
        <w:tc>
          <w:tcPr>
            <w:tcW w:w="1197" w:type="dxa"/>
            <w:gridSpan w:val="2"/>
            <w:tcBorders>
              <w:top w:val="nil"/>
              <w:left w:val="nil"/>
              <w:bottom w:val="nil"/>
              <w:right w:val="nil"/>
            </w:tcBorders>
            <w:shd w:val="clear" w:color="auto" w:fill="auto"/>
            <w:noWrap/>
            <w:vAlign w:val="bottom"/>
            <w:hideMark/>
          </w:tcPr>
          <w:p w:rsidR="007E4BAA" w:rsidRPr="007E4BAA" w:rsidRDefault="007E4BAA" w:rsidP="007E4BAA">
            <w:pPr>
              <w:spacing w:after="0" w:line="240" w:lineRule="auto"/>
              <w:jc w:val="right"/>
              <w:rPr>
                <w:rFonts w:ascii="Calibri" w:eastAsia="Times New Roman" w:hAnsi="Calibri" w:cs="Times New Roman"/>
                <w:color w:val="000000"/>
                <w:lang w:eastAsia="es-ES"/>
              </w:rPr>
            </w:pPr>
            <w:r w:rsidRPr="007E4BAA">
              <w:rPr>
                <w:rFonts w:ascii="Calibri" w:eastAsia="Times New Roman" w:hAnsi="Calibri" w:cs="Times New Roman"/>
                <w:color w:val="000000"/>
                <w:lang w:eastAsia="es-ES"/>
              </w:rPr>
              <w:t>388.63%</w:t>
            </w:r>
          </w:p>
        </w:tc>
        <w:tc>
          <w:tcPr>
            <w:tcW w:w="1197" w:type="dxa"/>
            <w:gridSpan w:val="2"/>
            <w:tcBorders>
              <w:top w:val="nil"/>
              <w:left w:val="nil"/>
              <w:bottom w:val="nil"/>
              <w:right w:val="nil"/>
            </w:tcBorders>
            <w:shd w:val="clear" w:color="auto" w:fill="auto"/>
            <w:noWrap/>
            <w:vAlign w:val="bottom"/>
            <w:hideMark/>
          </w:tcPr>
          <w:p w:rsidR="007E4BAA" w:rsidRPr="007E4BAA" w:rsidRDefault="007E4BAA" w:rsidP="007E4BAA">
            <w:pPr>
              <w:spacing w:after="0" w:line="240" w:lineRule="auto"/>
              <w:jc w:val="right"/>
              <w:rPr>
                <w:rFonts w:ascii="Calibri" w:eastAsia="Times New Roman" w:hAnsi="Calibri" w:cs="Times New Roman"/>
                <w:color w:val="000000"/>
                <w:lang w:eastAsia="es-ES"/>
              </w:rPr>
            </w:pPr>
            <w:r w:rsidRPr="007E4BAA">
              <w:rPr>
                <w:rFonts w:ascii="Calibri" w:eastAsia="Times New Roman" w:hAnsi="Calibri" w:cs="Times New Roman"/>
                <w:color w:val="000000"/>
                <w:lang w:eastAsia="es-ES"/>
              </w:rPr>
              <w:t>472.33%</w:t>
            </w:r>
          </w:p>
        </w:tc>
        <w:tc>
          <w:tcPr>
            <w:tcW w:w="1537" w:type="dxa"/>
            <w:gridSpan w:val="2"/>
            <w:tcBorders>
              <w:top w:val="nil"/>
              <w:left w:val="nil"/>
              <w:bottom w:val="nil"/>
              <w:right w:val="nil"/>
            </w:tcBorders>
            <w:shd w:val="clear" w:color="auto" w:fill="auto"/>
            <w:noWrap/>
            <w:vAlign w:val="bottom"/>
            <w:hideMark/>
          </w:tcPr>
          <w:p w:rsidR="007E4BAA" w:rsidRPr="007E4BAA" w:rsidRDefault="007E4BAA" w:rsidP="007E4BAA">
            <w:pPr>
              <w:spacing w:after="0" w:line="240" w:lineRule="auto"/>
              <w:jc w:val="right"/>
              <w:rPr>
                <w:rFonts w:ascii="Calibri" w:eastAsia="Times New Roman" w:hAnsi="Calibri" w:cs="Times New Roman"/>
                <w:color w:val="000000"/>
                <w:lang w:eastAsia="es-ES"/>
              </w:rPr>
            </w:pPr>
            <w:r w:rsidRPr="007E4BAA">
              <w:rPr>
                <w:rFonts w:ascii="Calibri" w:eastAsia="Times New Roman" w:hAnsi="Calibri" w:cs="Times New Roman"/>
                <w:color w:val="000000"/>
                <w:lang w:eastAsia="es-ES"/>
              </w:rPr>
              <w:t>360.17%</w:t>
            </w:r>
          </w:p>
        </w:tc>
      </w:tr>
      <w:tr w:rsidR="007E4BAA" w:rsidRPr="007E4BAA" w:rsidTr="005030C3">
        <w:trPr>
          <w:gridAfter w:val="1"/>
          <w:wAfter w:w="96" w:type="dxa"/>
          <w:trHeight w:val="315"/>
          <w:jc w:val="center"/>
        </w:trPr>
        <w:tc>
          <w:tcPr>
            <w:tcW w:w="1216" w:type="dxa"/>
            <w:tcBorders>
              <w:top w:val="nil"/>
              <w:left w:val="nil"/>
              <w:bottom w:val="nil"/>
              <w:right w:val="nil"/>
            </w:tcBorders>
            <w:shd w:val="clear" w:color="000000" w:fill="CCCCFF"/>
            <w:noWrap/>
            <w:vAlign w:val="bottom"/>
            <w:hideMark/>
          </w:tcPr>
          <w:p w:rsidR="007E4BAA" w:rsidRPr="007E4BAA" w:rsidRDefault="007E4BAA" w:rsidP="007E4BAA">
            <w:pPr>
              <w:spacing w:after="0" w:line="240" w:lineRule="auto"/>
              <w:rPr>
                <w:rFonts w:ascii="Calibri" w:eastAsia="Times New Roman" w:hAnsi="Calibri" w:cs="Times New Roman"/>
                <w:b/>
                <w:bCs/>
                <w:color w:val="000000"/>
                <w:lang w:eastAsia="es-ES"/>
              </w:rPr>
            </w:pPr>
            <w:proofErr w:type="spellStart"/>
            <w:r w:rsidRPr="007E4BAA">
              <w:rPr>
                <w:rFonts w:ascii="Calibri" w:eastAsia="Times New Roman" w:hAnsi="Calibri" w:cs="Times New Roman"/>
                <w:b/>
                <w:bCs/>
                <w:color w:val="000000"/>
                <w:lang w:eastAsia="es-ES"/>
              </w:rPr>
              <w:t>Secondary</w:t>
            </w:r>
            <w:proofErr w:type="spellEnd"/>
          </w:p>
        </w:tc>
        <w:tc>
          <w:tcPr>
            <w:tcW w:w="1195" w:type="dxa"/>
            <w:tcBorders>
              <w:top w:val="nil"/>
              <w:left w:val="nil"/>
              <w:bottom w:val="nil"/>
              <w:right w:val="nil"/>
            </w:tcBorders>
            <w:shd w:val="clear" w:color="000000" w:fill="CCCCFF"/>
            <w:noWrap/>
            <w:vAlign w:val="bottom"/>
            <w:hideMark/>
          </w:tcPr>
          <w:p w:rsidR="007E4BAA" w:rsidRPr="007E4BAA" w:rsidRDefault="007E4BAA" w:rsidP="007E4BAA">
            <w:pPr>
              <w:spacing w:after="0" w:line="240" w:lineRule="auto"/>
              <w:rPr>
                <w:rFonts w:ascii="Calibri" w:eastAsia="Times New Roman" w:hAnsi="Calibri" w:cs="Times New Roman"/>
                <w:color w:val="000000"/>
                <w:lang w:eastAsia="es-ES"/>
              </w:rPr>
            </w:pPr>
            <w:r w:rsidRPr="007E4BAA">
              <w:rPr>
                <w:rFonts w:ascii="Calibri" w:eastAsia="Times New Roman" w:hAnsi="Calibri" w:cs="Times New Roman"/>
                <w:color w:val="000000"/>
                <w:lang w:eastAsia="es-ES"/>
              </w:rPr>
              <w:t> </w:t>
            </w:r>
          </w:p>
        </w:tc>
        <w:tc>
          <w:tcPr>
            <w:tcW w:w="1198" w:type="dxa"/>
            <w:gridSpan w:val="2"/>
            <w:tcBorders>
              <w:top w:val="nil"/>
              <w:left w:val="nil"/>
              <w:bottom w:val="nil"/>
              <w:right w:val="nil"/>
            </w:tcBorders>
            <w:shd w:val="clear" w:color="000000" w:fill="CCCCFF"/>
            <w:noWrap/>
            <w:vAlign w:val="bottom"/>
            <w:hideMark/>
          </w:tcPr>
          <w:p w:rsidR="007E4BAA" w:rsidRPr="007E4BAA" w:rsidRDefault="007E4BAA" w:rsidP="007E4BAA">
            <w:pPr>
              <w:spacing w:after="0" w:line="240" w:lineRule="auto"/>
              <w:rPr>
                <w:rFonts w:ascii="Calibri" w:eastAsia="Times New Roman" w:hAnsi="Calibri" w:cs="Times New Roman"/>
                <w:color w:val="000000"/>
                <w:lang w:eastAsia="es-ES"/>
              </w:rPr>
            </w:pPr>
            <w:r w:rsidRPr="007E4BAA">
              <w:rPr>
                <w:rFonts w:ascii="Calibri" w:eastAsia="Times New Roman" w:hAnsi="Calibri" w:cs="Times New Roman"/>
                <w:color w:val="000000"/>
                <w:lang w:eastAsia="es-ES"/>
              </w:rPr>
              <w:t> </w:t>
            </w:r>
          </w:p>
        </w:tc>
        <w:tc>
          <w:tcPr>
            <w:tcW w:w="1197" w:type="dxa"/>
            <w:gridSpan w:val="2"/>
            <w:tcBorders>
              <w:top w:val="nil"/>
              <w:left w:val="nil"/>
              <w:bottom w:val="nil"/>
              <w:right w:val="nil"/>
            </w:tcBorders>
            <w:shd w:val="clear" w:color="000000" w:fill="CCCCFF"/>
            <w:noWrap/>
            <w:vAlign w:val="bottom"/>
            <w:hideMark/>
          </w:tcPr>
          <w:p w:rsidR="007E4BAA" w:rsidRPr="007E4BAA" w:rsidRDefault="007E4BAA" w:rsidP="007E4BAA">
            <w:pPr>
              <w:spacing w:after="0" w:line="240" w:lineRule="auto"/>
              <w:rPr>
                <w:rFonts w:ascii="Calibri" w:eastAsia="Times New Roman" w:hAnsi="Calibri" w:cs="Times New Roman"/>
                <w:color w:val="000000"/>
                <w:lang w:eastAsia="es-ES"/>
              </w:rPr>
            </w:pPr>
            <w:r w:rsidRPr="007E4BAA">
              <w:rPr>
                <w:rFonts w:ascii="Calibri" w:eastAsia="Times New Roman" w:hAnsi="Calibri" w:cs="Times New Roman"/>
                <w:color w:val="000000"/>
                <w:lang w:eastAsia="es-ES"/>
              </w:rPr>
              <w:t> </w:t>
            </w:r>
          </w:p>
        </w:tc>
        <w:tc>
          <w:tcPr>
            <w:tcW w:w="1197" w:type="dxa"/>
            <w:gridSpan w:val="2"/>
            <w:tcBorders>
              <w:top w:val="nil"/>
              <w:left w:val="nil"/>
              <w:bottom w:val="nil"/>
              <w:right w:val="nil"/>
            </w:tcBorders>
            <w:shd w:val="clear" w:color="000000" w:fill="CCCCFF"/>
            <w:noWrap/>
            <w:vAlign w:val="bottom"/>
            <w:hideMark/>
          </w:tcPr>
          <w:p w:rsidR="007E4BAA" w:rsidRPr="007E4BAA" w:rsidRDefault="007E4BAA" w:rsidP="007E4BAA">
            <w:pPr>
              <w:spacing w:after="0" w:line="240" w:lineRule="auto"/>
              <w:rPr>
                <w:rFonts w:ascii="Calibri" w:eastAsia="Times New Roman" w:hAnsi="Calibri" w:cs="Times New Roman"/>
                <w:color w:val="000000"/>
                <w:lang w:eastAsia="es-ES"/>
              </w:rPr>
            </w:pPr>
            <w:r w:rsidRPr="007E4BAA">
              <w:rPr>
                <w:rFonts w:ascii="Calibri" w:eastAsia="Times New Roman" w:hAnsi="Calibri" w:cs="Times New Roman"/>
                <w:color w:val="000000"/>
                <w:lang w:eastAsia="es-ES"/>
              </w:rPr>
              <w:t> </w:t>
            </w:r>
          </w:p>
        </w:tc>
        <w:tc>
          <w:tcPr>
            <w:tcW w:w="1537" w:type="dxa"/>
            <w:gridSpan w:val="2"/>
            <w:tcBorders>
              <w:top w:val="nil"/>
              <w:left w:val="nil"/>
              <w:bottom w:val="nil"/>
              <w:right w:val="nil"/>
            </w:tcBorders>
            <w:shd w:val="clear" w:color="000000" w:fill="CCCCFF"/>
            <w:noWrap/>
            <w:vAlign w:val="bottom"/>
            <w:hideMark/>
          </w:tcPr>
          <w:p w:rsidR="007E4BAA" w:rsidRPr="007E4BAA" w:rsidRDefault="007E4BAA" w:rsidP="007E4BAA">
            <w:pPr>
              <w:spacing w:after="0" w:line="240" w:lineRule="auto"/>
              <w:rPr>
                <w:rFonts w:ascii="Calibri" w:eastAsia="Times New Roman" w:hAnsi="Calibri" w:cs="Times New Roman"/>
                <w:color w:val="000000"/>
                <w:lang w:eastAsia="es-ES"/>
              </w:rPr>
            </w:pPr>
            <w:r w:rsidRPr="007E4BAA">
              <w:rPr>
                <w:rFonts w:ascii="Calibri" w:eastAsia="Times New Roman" w:hAnsi="Calibri" w:cs="Times New Roman"/>
                <w:color w:val="000000"/>
                <w:lang w:eastAsia="es-ES"/>
              </w:rPr>
              <w:t> </w:t>
            </w:r>
          </w:p>
        </w:tc>
      </w:tr>
      <w:tr w:rsidR="007E4BAA" w:rsidRPr="007E4BAA" w:rsidTr="005030C3">
        <w:trPr>
          <w:gridAfter w:val="1"/>
          <w:wAfter w:w="96" w:type="dxa"/>
          <w:trHeight w:val="300"/>
          <w:jc w:val="center"/>
        </w:trPr>
        <w:tc>
          <w:tcPr>
            <w:tcW w:w="1216" w:type="dxa"/>
            <w:tcBorders>
              <w:top w:val="nil"/>
              <w:left w:val="nil"/>
              <w:bottom w:val="nil"/>
              <w:right w:val="nil"/>
            </w:tcBorders>
            <w:shd w:val="clear" w:color="auto" w:fill="auto"/>
            <w:noWrap/>
            <w:vAlign w:val="bottom"/>
            <w:hideMark/>
          </w:tcPr>
          <w:p w:rsidR="007E4BAA" w:rsidRPr="007E4BAA" w:rsidRDefault="007E4BAA" w:rsidP="007E4BAA">
            <w:pPr>
              <w:spacing w:after="0" w:line="240" w:lineRule="auto"/>
              <w:rPr>
                <w:rFonts w:ascii="Calibri" w:eastAsia="Times New Roman" w:hAnsi="Calibri" w:cs="Times New Roman"/>
                <w:color w:val="000000"/>
                <w:lang w:eastAsia="es-ES"/>
              </w:rPr>
            </w:pPr>
            <w:r w:rsidRPr="007E4BAA">
              <w:rPr>
                <w:rFonts w:ascii="Calibri" w:eastAsia="Times New Roman" w:hAnsi="Calibri" w:cs="Times New Roman"/>
                <w:color w:val="000000"/>
                <w:lang w:eastAsia="es-ES"/>
              </w:rPr>
              <w:t>TOTAL</w:t>
            </w:r>
          </w:p>
        </w:tc>
        <w:tc>
          <w:tcPr>
            <w:tcW w:w="1195" w:type="dxa"/>
            <w:tcBorders>
              <w:top w:val="nil"/>
              <w:left w:val="nil"/>
              <w:bottom w:val="nil"/>
              <w:right w:val="nil"/>
            </w:tcBorders>
            <w:shd w:val="clear" w:color="auto" w:fill="auto"/>
            <w:noWrap/>
            <w:vAlign w:val="bottom"/>
            <w:hideMark/>
          </w:tcPr>
          <w:p w:rsidR="007E4BAA" w:rsidRPr="007E4BAA" w:rsidRDefault="007E4BAA" w:rsidP="007E4BAA">
            <w:pPr>
              <w:spacing w:after="0" w:line="240" w:lineRule="auto"/>
              <w:rPr>
                <w:rFonts w:ascii="Calibri" w:eastAsia="Times New Roman" w:hAnsi="Calibri" w:cs="Times New Roman"/>
                <w:color w:val="000000"/>
                <w:lang w:eastAsia="es-ES"/>
              </w:rPr>
            </w:pPr>
          </w:p>
        </w:tc>
        <w:tc>
          <w:tcPr>
            <w:tcW w:w="1198" w:type="dxa"/>
            <w:gridSpan w:val="2"/>
            <w:tcBorders>
              <w:top w:val="nil"/>
              <w:left w:val="nil"/>
              <w:bottom w:val="nil"/>
              <w:right w:val="nil"/>
            </w:tcBorders>
            <w:shd w:val="clear" w:color="auto" w:fill="auto"/>
            <w:noWrap/>
            <w:vAlign w:val="bottom"/>
            <w:hideMark/>
          </w:tcPr>
          <w:p w:rsidR="007E4BAA" w:rsidRPr="007E4BAA" w:rsidRDefault="007E4BAA" w:rsidP="007E4BAA">
            <w:pPr>
              <w:spacing w:after="0" w:line="240" w:lineRule="auto"/>
              <w:jc w:val="right"/>
              <w:rPr>
                <w:rFonts w:ascii="Calibri" w:eastAsia="Times New Roman" w:hAnsi="Calibri" w:cs="Times New Roman"/>
                <w:color w:val="000000"/>
                <w:lang w:eastAsia="es-ES"/>
              </w:rPr>
            </w:pPr>
            <w:r w:rsidRPr="007E4BAA">
              <w:rPr>
                <w:rFonts w:ascii="Calibri" w:eastAsia="Times New Roman" w:hAnsi="Calibri" w:cs="Times New Roman"/>
                <w:color w:val="000000"/>
                <w:lang w:eastAsia="es-ES"/>
              </w:rPr>
              <w:t>8.26%</w:t>
            </w:r>
          </w:p>
        </w:tc>
        <w:tc>
          <w:tcPr>
            <w:tcW w:w="1197" w:type="dxa"/>
            <w:gridSpan w:val="2"/>
            <w:tcBorders>
              <w:top w:val="nil"/>
              <w:left w:val="nil"/>
              <w:bottom w:val="nil"/>
              <w:right w:val="nil"/>
            </w:tcBorders>
            <w:shd w:val="clear" w:color="auto" w:fill="auto"/>
            <w:noWrap/>
            <w:vAlign w:val="bottom"/>
            <w:hideMark/>
          </w:tcPr>
          <w:p w:rsidR="007E4BAA" w:rsidRPr="007E4BAA" w:rsidRDefault="007E4BAA" w:rsidP="007E4BAA">
            <w:pPr>
              <w:spacing w:after="0" w:line="240" w:lineRule="auto"/>
              <w:jc w:val="right"/>
              <w:rPr>
                <w:rFonts w:ascii="Calibri" w:eastAsia="Times New Roman" w:hAnsi="Calibri" w:cs="Times New Roman"/>
                <w:color w:val="000000"/>
                <w:lang w:eastAsia="es-ES"/>
              </w:rPr>
            </w:pPr>
            <w:r w:rsidRPr="007E4BAA">
              <w:rPr>
                <w:rFonts w:ascii="Calibri" w:eastAsia="Times New Roman" w:hAnsi="Calibri" w:cs="Times New Roman"/>
                <w:color w:val="000000"/>
                <w:lang w:eastAsia="es-ES"/>
              </w:rPr>
              <w:t>14.28%</w:t>
            </w:r>
          </w:p>
        </w:tc>
        <w:tc>
          <w:tcPr>
            <w:tcW w:w="1197" w:type="dxa"/>
            <w:gridSpan w:val="2"/>
            <w:tcBorders>
              <w:top w:val="nil"/>
              <w:left w:val="nil"/>
              <w:bottom w:val="nil"/>
              <w:right w:val="nil"/>
            </w:tcBorders>
            <w:shd w:val="clear" w:color="auto" w:fill="auto"/>
            <w:noWrap/>
            <w:vAlign w:val="bottom"/>
            <w:hideMark/>
          </w:tcPr>
          <w:p w:rsidR="007E4BAA" w:rsidRPr="007E4BAA" w:rsidRDefault="007E4BAA" w:rsidP="007E4BAA">
            <w:pPr>
              <w:spacing w:after="0" w:line="240" w:lineRule="auto"/>
              <w:jc w:val="right"/>
              <w:rPr>
                <w:rFonts w:ascii="Calibri" w:eastAsia="Times New Roman" w:hAnsi="Calibri" w:cs="Times New Roman"/>
                <w:color w:val="000000"/>
                <w:lang w:eastAsia="es-ES"/>
              </w:rPr>
            </w:pPr>
            <w:r w:rsidRPr="007E4BAA">
              <w:rPr>
                <w:rFonts w:ascii="Calibri" w:eastAsia="Times New Roman" w:hAnsi="Calibri" w:cs="Times New Roman"/>
                <w:color w:val="000000"/>
                <w:lang w:eastAsia="es-ES"/>
              </w:rPr>
              <w:t>30.13%</w:t>
            </w:r>
          </w:p>
        </w:tc>
        <w:tc>
          <w:tcPr>
            <w:tcW w:w="1537" w:type="dxa"/>
            <w:gridSpan w:val="2"/>
            <w:tcBorders>
              <w:top w:val="nil"/>
              <w:left w:val="nil"/>
              <w:bottom w:val="nil"/>
              <w:right w:val="nil"/>
            </w:tcBorders>
            <w:shd w:val="clear" w:color="auto" w:fill="auto"/>
            <w:noWrap/>
            <w:vAlign w:val="bottom"/>
            <w:hideMark/>
          </w:tcPr>
          <w:p w:rsidR="007E4BAA" w:rsidRPr="007E4BAA" w:rsidRDefault="007E4BAA" w:rsidP="007E4BAA">
            <w:pPr>
              <w:spacing w:after="0" w:line="240" w:lineRule="auto"/>
              <w:jc w:val="right"/>
              <w:rPr>
                <w:rFonts w:ascii="Calibri" w:eastAsia="Times New Roman" w:hAnsi="Calibri" w:cs="Times New Roman"/>
                <w:color w:val="000000"/>
                <w:lang w:eastAsia="es-ES"/>
              </w:rPr>
            </w:pPr>
            <w:r w:rsidRPr="007E4BAA">
              <w:rPr>
                <w:rFonts w:ascii="Calibri" w:eastAsia="Times New Roman" w:hAnsi="Calibri" w:cs="Times New Roman"/>
                <w:color w:val="000000"/>
                <w:lang w:eastAsia="es-ES"/>
              </w:rPr>
              <w:t>12.02%</w:t>
            </w:r>
          </w:p>
        </w:tc>
      </w:tr>
      <w:tr w:rsidR="007E4BAA" w:rsidRPr="007E4BAA" w:rsidTr="005030C3">
        <w:trPr>
          <w:gridAfter w:val="1"/>
          <w:wAfter w:w="96" w:type="dxa"/>
          <w:trHeight w:val="300"/>
          <w:jc w:val="center"/>
        </w:trPr>
        <w:tc>
          <w:tcPr>
            <w:tcW w:w="1216" w:type="dxa"/>
            <w:tcBorders>
              <w:top w:val="nil"/>
              <w:left w:val="nil"/>
              <w:bottom w:val="nil"/>
              <w:right w:val="nil"/>
            </w:tcBorders>
            <w:shd w:val="clear" w:color="auto" w:fill="auto"/>
            <w:noWrap/>
            <w:vAlign w:val="bottom"/>
            <w:hideMark/>
          </w:tcPr>
          <w:p w:rsidR="007E4BAA" w:rsidRPr="007E4BAA" w:rsidRDefault="007E4BAA" w:rsidP="007E4BAA">
            <w:pPr>
              <w:spacing w:after="0" w:line="240" w:lineRule="auto"/>
              <w:rPr>
                <w:rFonts w:ascii="Calibri" w:eastAsia="Times New Roman" w:hAnsi="Calibri" w:cs="Times New Roman"/>
                <w:color w:val="000000"/>
                <w:lang w:eastAsia="es-ES"/>
              </w:rPr>
            </w:pPr>
            <w:r w:rsidRPr="007E4BAA">
              <w:rPr>
                <w:rFonts w:ascii="Calibri" w:eastAsia="Times New Roman" w:hAnsi="Calibri" w:cs="Times New Roman"/>
                <w:color w:val="000000"/>
                <w:lang w:eastAsia="es-ES"/>
              </w:rPr>
              <w:t xml:space="preserve">   </w:t>
            </w:r>
            <w:proofErr w:type="spellStart"/>
            <w:r w:rsidRPr="007E4BAA">
              <w:rPr>
                <w:rFonts w:ascii="Calibri" w:eastAsia="Times New Roman" w:hAnsi="Calibri" w:cs="Times New Roman"/>
                <w:color w:val="000000"/>
                <w:lang w:eastAsia="es-ES"/>
              </w:rPr>
              <w:t>Wages</w:t>
            </w:r>
            <w:proofErr w:type="spellEnd"/>
          </w:p>
        </w:tc>
        <w:tc>
          <w:tcPr>
            <w:tcW w:w="1195" w:type="dxa"/>
            <w:tcBorders>
              <w:top w:val="nil"/>
              <w:left w:val="nil"/>
              <w:bottom w:val="nil"/>
              <w:right w:val="nil"/>
            </w:tcBorders>
            <w:shd w:val="clear" w:color="auto" w:fill="auto"/>
            <w:noWrap/>
            <w:vAlign w:val="bottom"/>
            <w:hideMark/>
          </w:tcPr>
          <w:p w:rsidR="007E4BAA" w:rsidRPr="007E4BAA" w:rsidRDefault="007E4BAA" w:rsidP="007E4BAA">
            <w:pPr>
              <w:spacing w:after="0" w:line="240" w:lineRule="auto"/>
              <w:rPr>
                <w:rFonts w:ascii="Calibri" w:eastAsia="Times New Roman" w:hAnsi="Calibri" w:cs="Times New Roman"/>
                <w:color w:val="000000"/>
                <w:lang w:eastAsia="es-ES"/>
              </w:rPr>
            </w:pPr>
          </w:p>
        </w:tc>
        <w:tc>
          <w:tcPr>
            <w:tcW w:w="1198" w:type="dxa"/>
            <w:gridSpan w:val="2"/>
            <w:tcBorders>
              <w:top w:val="nil"/>
              <w:left w:val="nil"/>
              <w:bottom w:val="nil"/>
              <w:right w:val="nil"/>
            </w:tcBorders>
            <w:shd w:val="clear" w:color="auto" w:fill="auto"/>
            <w:noWrap/>
            <w:vAlign w:val="bottom"/>
            <w:hideMark/>
          </w:tcPr>
          <w:p w:rsidR="007E4BAA" w:rsidRPr="007E4BAA" w:rsidRDefault="007E4BAA" w:rsidP="007E4BAA">
            <w:pPr>
              <w:spacing w:after="0" w:line="240" w:lineRule="auto"/>
              <w:jc w:val="right"/>
              <w:rPr>
                <w:rFonts w:ascii="Calibri" w:eastAsia="Times New Roman" w:hAnsi="Calibri" w:cs="Times New Roman"/>
                <w:color w:val="000000"/>
                <w:lang w:eastAsia="es-ES"/>
              </w:rPr>
            </w:pPr>
            <w:r w:rsidRPr="007E4BAA">
              <w:rPr>
                <w:rFonts w:ascii="Calibri" w:eastAsia="Times New Roman" w:hAnsi="Calibri" w:cs="Times New Roman"/>
                <w:color w:val="000000"/>
                <w:lang w:eastAsia="es-ES"/>
              </w:rPr>
              <w:t>2.46%</w:t>
            </w:r>
          </w:p>
        </w:tc>
        <w:tc>
          <w:tcPr>
            <w:tcW w:w="1197" w:type="dxa"/>
            <w:gridSpan w:val="2"/>
            <w:tcBorders>
              <w:top w:val="nil"/>
              <w:left w:val="nil"/>
              <w:bottom w:val="nil"/>
              <w:right w:val="nil"/>
            </w:tcBorders>
            <w:shd w:val="clear" w:color="auto" w:fill="auto"/>
            <w:noWrap/>
            <w:vAlign w:val="bottom"/>
            <w:hideMark/>
          </w:tcPr>
          <w:p w:rsidR="007E4BAA" w:rsidRPr="007E4BAA" w:rsidRDefault="007E4BAA" w:rsidP="007E4BAA">
            <w:pPr>
              <w:spacing w:after="0" w:line="240" w:lineRule="auto"/>
              <w:jc w:val="right"/>
              <w:rPr>
                <w:rFonts w:ascii="Calibri" w:eastAsia="Times New Roman" w:hAnsi="Calibri" w:cs="Times New Roman"/>
                <w:color w:val="000000"/>
                <w:lang w:eastAsia="es-ES"/>
              </w:rPr>
            </w:pPr>
            <w:r w:rsidRPr="007E4BAA">
              <w:rPr>
                <w:rFonts w:ascii="Calibri" w:eastAsia="Times New Roman" w:hAnsi="Calibri" w:cs="Times New Roman"/>
                <w:color w:val="000000"/>
                <w:lang w:eastAsia="es-ES"/>
              </w:rPr>
              <w:t>-0.32%</w:t>
            </w:r>
          </w:p>
        </w:tc>
        <w:tc>
          <w:tcPr>
            <w:tcW w:w="1197" w:type="dxa"/>
            <w:gridSpan w:val="2"/>
            <w:tcBorders>
              <w:top w:val="nil"/>
              <w:left w:val="nil"/>
              <w:bottom w:val="nil"/>
              <w:right w:val="nil"/>
            </w:tcBorders>
            <w:shd w:val="clear" w:color="auto" w:fill="auto"/>
            <w:noWrap/>
            <w:vAlign w:val="bottom"/>
            <w:hideMark/>
          </w:tcPr>
          <w:p w:rsidR="007E4BAA" w:rsidRPr="007E4BAA" w:rsidRDefault="007E4BAA" w:rsidP="007E4BAA">
            <w:pPr>
              <w:spacing w:after="0" w:line="240" w:lineRule="auto"/>
              <w:jc w:val="right"/>
              <w:rPr>
                <w:rFonts w:ascii="Calibri" w:eastAsia="Times New Roman" w:hAnsi="Calibri" w:cs="Times New Roman"/>
                <w:color w:val="000000"/>
                <w:lang w:eastAsia="es-ES"/>
              </w:rPr>
            </w:pPr>
            <w:r w:rsidRPr="007E4BAA">
              <w:rPr>
                <w:rFonts w:ascii="Calibri" w:eastAsia="Times New Roman" w:hAnsi="Calibri" w:cs="Times New Roman"/>
                <w:color w:val="000000"/>
                <w:lang w:eastAsia="es-ES"/>
              </w:rPr>
              <w:t>5.87%</w:t>
            </w:r>
          </w:p>
        </w:tc>
        <w:tc>
          <w:tcPr>
            <w:tcW w:w="1537" w:type="dxa"/>
            <w:gridSpan w:val="2"/>
            <w:tcBorders>
              <w:top w:val="nil"/>
              <w:left w:val="nil"/>
              <w:bottom w:val="nil"/>
              <w:right w:val="nil"/>
            </w:tcBorders>
            <w:shd w:val="clear" w:color="auto" w:fill="auto"/>
            <w:noWrap/>
            <w:vAlign w:val="bottom"/>
            <w:hideMark/>
          </w:tcPr>
          <w:p w:rsidR="007E4BAA" w:rsidRPr="007E4BAA" w:rsidRDefault="007E4BAA" w:rsidP="007E4BAA">
            <w:pPr>
              <w:spacing w:after="0" w:line="240" w:lineRule="auto"/>
              <w:jc w:val="right"/>
              <w:rPr>
                <w:rFonts w:ascii="Calibri" w:eastAsia="Times New Roman" w:hAnsi="Calibri" w:cs="Times New Roman"/>
                <w:color w:val="000000"/>
                <w:lang w:eastAsia="es-ES"/>
              </w:rPr>
            </w:pPr>
            <w:r w:rsidRPr="007E4BAA">
              <w:rPr>
                <w:rFonts w:ascii="Calibri" w:eastAsia="Times New Roman" w:hAnsi="Calibri" w:cs="Times New Roman"/>
                <w:color w:val="000000"/>
                <w:lang w:eastAsia="es-ES"/>
              </w:rPr>
              <w:t>1.46%</w:t>
            </w:r>
          </w:p>
        </w:tc>
      </w:tr>
      <w:tr w:rsidR="007E4BAA" w:rsidRPr="007E4BAA" w:rsidTr="005030C3">
        <w:trPr>
          <w:gridAfter w:val="1"/>
          <w:wAfter w:w="96" w:type="dxa"/>
          <w:trHeight w:val="300"/>
          <w:jc w:val="center"/>
        </w:trPr>
        <w:tc>
          <w:tcPr>
            <w:tcW w:w="2411" w:type="dxa"/>
            <w:gridSpan w:val="2"/>
            <w:tcBorders>
              <w:top w:val="nil"/>
              <w:left w:val="nil"/>
              <w:bottom w:val="nil"/>
              <w:right w:val="nil"/>
            </w:tcBorders>
            <w:shd w:val="clear" w:color="auto" w:fill="auto"/>
            <w:noWrap/>
            <w:vAlign w:val="bottom"/>
            <w:hideMark/>
          </w:tcPr>
          <w:p w:rsidR="007E4BAA" w:rsidRPr="007E4BAA" w:rsidRDefault="007E4BAA" w:rsidP="007E4BAA">
            <w:pPr>
              <w:spacing w:after="0" w:line="240" w:lineRule="auto"/>
              <w:rPr>
                <w:rFonts w:ascii="Calibri" w:eastAsia="Times New Roman" w:hAnsi="Calibri" w:cs="Times New Roman"/>
                <w:color w:val="000000"/>
                <w:lang w:eastAsia="es-ES"/>
              </w:rPr>
            </w:pPr>
            <w:r w:rsidRPr="007E4BAA">
              <w:rPr>
                <w:rFonts w:ascii="Calibri" w:eastAsia="Times New Roman" w:hAnsi="Calibri" w:cs="Times New Roman"/>
                <w:color w:val="000000"/>
                <w:lang w:eastAsia="es-ES"/>
              </w:rPr>
              <w:t xml:space="preserve">   Non-</w:t>
            </w:r>
            <w:proofErr w:type="spellStart"/>
            <w:r w:rsidRPr="007E4BAA">
              <w:rPr>
                <w:rFonts w:ascii="Calibri" w:eastAsia="Times New Roman" w:hAnsi="Calibri" w:cs="Times New Roman"/>
                <w:color w:val="000000"/>
                <w:lang w:eastAsia="es-ES"/>
              </w:rPr>
              <w:t>Wages</w:t>
            </w:r>
            <w:proofErr w:type="spellEnd"/>
          </w:p>
        </w:tc>
        <w:tc>
          <w:tcPr>
            <w:tcW w:w="1198" w:type="dxa"/>
            <w:gridSpan w:val="2"/>
            <w:tcBorders>
              <w:top w:val="nil"/>
              <w:left w:val="nil"/>
              <w:bottom w:val="nil"/>
              <w:right w:val="nil"/>
            </w:tcBorders>
            <w:shd w:val="clear" w:color="auto" w:fill="auto"/>
            <w:noWrap/>
            <w:vAlign w:val="bottom"/>
            <w:hideMark/>
          </w:tcPr>
          <w:p w:rsidR="007E4BAA" w:rsidRPr="007E4BAA" w:rsidRDefault="007E4BAA" w:rsidP="007E4BAA">
            <w:pPr>
              <w:spacing w:after="0" w:line="240" w:lineRule="auto"/>
              <w:jc w:val="right"/>
              <w:rPr>
                <w:rFonts w:ascii="Calibri" w:eastAsia="Times New Roman" w:hAnsi="Calibri" w:cs="Times New Roman"/>
                <w:color w:val="000000"/>
                <w:lang w:eastAsia="es-ES"/>
              </w:rPr>
            </w:pPr>
            <w:r w:rsidRPr="007E4BAA">
              <w:rPr>
                <w:rFonts w:ascii="Calibri" w:eastAsia="Times New Roman" w:hAnsi="Calibri" w:cs="Times New Roman"/>
                <w:color w:val="000000"/>
                <w:lang w:eastAsia="es-ES"/>
              </w:rPr>
              <w:t>205.87%</w:t>
            </w:r>
          </w:p>
        </w:tc>
        <w:tc>
          <w:tcPr>
            <w:tcW w:w="1197" w:type="dxa"/>
            <w:gridSpan w:val="2"/>
            <w:tcBorders>
              <w:top w:val="nil"/>
              <w:left w:val="nil"/>
              <w:bottom w:val="nil"/>
              <w:right w:val="nil"/>
            </w:tcBorders>
            <w:shd w:val="clear" w:color="auto" w:fill="auto"/>
            <w:noWrap/>
            <w:vAlign w:val="bottom"/>
            <w:hideMark/>
          </w:tcPr>
          <w:p w:rsidR="007E4BAA" w:rsidRPr="007E4BAA" w:rsidRDefault="007E4BAA" w:rsidP="007E4BAA">
            <w:pPr>
              <w:spacing w:after="0" w:line="240" w:lineRule="auto"/>
              <w:jc w:val="right"/>
              <w:rPr>
                <w:rFonts w:ascii="Calibri" w:eastAsia="Times New Roman" w:hAnsi="Calibri" w:cs="Times New Roman"/>
                <w:color w:val="000000"/>
                <w:lang w:eastAsia="es-ES"/>
              </w:rPr>
            </w:pPr>
            <w:r w:rsidRPr="007E4BAA">
              <w:rPr>
                <w:rFonts w:ascii="Calibri" w:eastAsia="Times New Roman" w:hAnsi="Calibri" w:cs="Times New Roman"/>
                <w:color w:val="000000"/>
                <w:lang w:eastAsia="es-ES"/>
              </w:rPr>
              <w:t>100.48%</w:t>
            </w:r>
          </w:p>
        </w:tc>
        <w:tc>
          <w:tcPr>
            <w:tcW w:w="1197" w:type="dxa"/>
            <w:gridSpan w:val="2"/>
            <w:tcBorders>
              <w:top w:val="nil"/>
              <w:left w:val="nil"/>
              <w:bottom w:val="nil"/>
              <w:right w:val="nil"/>
            </w:tcBorders>
            <w:shd w:val="clear" w:color="auto" w:fill="auto"/>
            <w:noWrap/>
            <w:vAlign w:val="bottom"/>
            <w:hideMark/>
          </w:tcPr>
          <w:p w:rsidR="007E4BAA" w:rsidRPr="007E4BAA" w:rsidRDefault="007E4BAA" w:rsidP="007E4BAA">
            <w:pPr>
              <w:spacing w:after="0" w:line="240" w:lineRule="auto"/>
              <w:jc w:val="right"/>
              <w:rPr>
                <w:rFonts w:ascii="Calibri" w:eastAsia="Times New Roman" w:hAnsi="Calibri" w:cs="Times New Roman"/>
                <w:color w:val="000000"/>
                <w:lang w:eastAsia="es-ES"/>
              </w:rPr>
            </w:pPr>
            <w:r w:rsidRPr="007E4BAA">
              <w:rPr>
                <w:rFonts w:ascii="Calibri" w:eastAsia="Times New Roman" w:hAnsi="Calibri" w:cs="Times New Roman"/>
                <w:color w:val="000000"/>
                <w:lang w:eastAsia="es-ES"/>
              </w:rPr>
              <w:t>229.41%</w:t>
            </w:r>
          </w:p>
        </w:tc>
        <w:tc>
          <w:tcPr>
            <w:tcW w:w="1537" w:type="dxa"/>
            <w:gridSpan w:val="2"/>
            <w:tcBorders>
              <w:top w:val="nil"/>
              <w:left w:val="nil"/>
              <w:bottom w:val="nil"/>
              <w:right w:val="nil"/>
            </w:tcBorders>
            <w:shd w:val="clear" w:color="auto" w:fill="auto"/>
            <w:noWrap/>
            <w:vAlign w:val="bottom"/>
            <w:hideMark/>
          </w:tcPr>
          <w:p w:rsidR="007E4BAA" w:rsidRPr="007E4BAA" w:rsidRDefault="007E4BAA" w:rsidP="007E4BAA">
            <w:pPr>
              <w:spacing w:after="0" w:line="240" w:lineRule="auto"/>
              <w:jc w:val="right"/>
              <w:rPr>
                <w:rFonts w:ascii="Calibri" w:eastAsia="Times New Roman" w:hAnsi="Calibri" w:cs="Times New Roman"/>
                <w:color w:val="000000"/>
                <w:lang w:eastAsia="es-ES"/>
              </w:rPr>
            </w:pPr>
            <w:r w:rsidRPr="007E4BAA">
              <w:rPr>
                <w:rFonts w:ascii="Calibri" w:eastAsia="Times New Roman" w:hAnsi="Calibri" w:cs="Times New Roman"/>
                <w:color w:val="000000"/>
                <w:lang w:eastAsia="es-ES"/>
              </w:rPr>
              <w:t>105.19%</w:t>
            </w:r>
          </w:p>
        </w:tc>
      </w:tr>
      <w:tr w:rsidR="007E4BAA" w:rsidRPr="007E4BAA" w:rsidTr="005030C3">
        <w:trPr>
          <w:gridAfter w:val="1"/>
          <w:wAfter w:w="96" w:type="dxa"/>
          <w:trHeight w:val="300"/>
          <w:jc w:val="center"/>
        </w:trPr>
        <w:tc>
          <w:tcPr>
            <w:tcW w:w="1216" w:type="dxa"/>
            <w:tcBorders>
              <w:top w:val="nil"/>
              <w:left w:val="nil"/>
              <w:bottom w:val="nil"/>
              <w:right w:val="nil"/>
            </w:tcBorders>
            <w:shd w:val="clear" w:color="auto" w:fill="auto"/>
            <w:noWrap/>
            <w:vAlign w:val="bottom"/>
            <w:hideMark/>
          </w:tcPr>
          <w:p w:rsidR="007E4BAA" w:rsidRPr="007E4BAA" w:rsidRDefault="007E4BAA" w:rsidP="007E4BAA">
            <w:pPr>
              <w:spacing w:after="0" w:line="240" w:lineRule="auto"/>
              <w:rPr>
                <w:rFonts w:ascii="Calibri" w:eastAsia="Times New Roman" w:hAnsi="Calibri" w:cs="Times New Roman"/>
                <w:color w:val="000000"/>
                <w:lang w:eastAsia="es-ES"/>
              </w:rPr>
            </w:pPr>
            <w:r w:rsidRPr="007E4BAA">
              <w:rPr>
                <w:rFonts w:ascii="Calibri" w:eastAsia="Times New Roman" w:hAnsi="Calibri" w:cs="Times New Roman"/>
                <w:color w:val="000000"/>
                <w:lang w:eastAsia="es-ES"/>
              </w:rPr>
              <w:t xml:space="preserve">   Capital</w:t>
            </w:r>
          </w:p>
        </w:tc>
        <w:tc>
          <w:tcPr>
            <w:tcW w:w="1195" w:type="dxa"/>
            <w:tcBorders>
              <w:top w:val="nil"/>
              <w:left w:val="nil"/>
              <w:bottom w:val="nil"/>
              <w:right w:val="nil"/>
            </w:tcBorders>
            <w:shd w:val="clear" w:color="auto" w:fill="auto"/>
            <w:noWrap/>
            <w:vAlign w:val="bottom"/>
            <w:hideMark/>
          </w:tcPr>
          <w:p w:rsidR="007E4BAA" w:rsidRPr="007E4BAA" w:rsidRDefault="007E4BAA" w:rsidP="007E4BAA">
            <w:pPr>
              <w:spacing w:after="0" w:line="240" w:lineRule="auto"/>
              <w:rPr>
                <w:rFonts w:ascii="Calibri" w:eastAsia="Times New Roman" w:hAnsi="Calibri" w:cs="Times New Roman"/>
                <w:color w:val="000000"/>
                <w:lang w:eastAsia="es-ES"/>
              </w:rPr>
            </w:pPr>
          </w:p>
        </w:tc>
        <w:tc>
          <w:tcPr>
            <w:tcW w:w="1198" w:type="dxa"/>
            <w:gridSpan w:val="2"/>
            <w:tcBorders>
              <w:top w:val="nil"/>
              <w:left w:val="nil"/>
              <w:bottom w:val="nil"/>
              <w:right w:val="nil"/>
            </w:tcBorders>
            <w:shd w:val="clear" w:color="auto" w:fill="auto"/>
            <w:noWrap/>
            <w:vAlign w:val="bottom"/>
            <w:hideMark/>
          </w:tcPr>
          <w:p w:rsidR="007E4BAA" w:rsidRPr="007E4BAA" w:rsidRDefault="007E4BAA" w:rsidP="007E4BAA">
            <w:pPr>
              <w:spacing w:after="0" w:line="240" w:lineRule="auto"/>
              <w:jc w:val="right"/>
              <w:rPr>
                <w:rFonts w:ascii="Calibri" w:eastAsia="Times New Roman" w:hAnsi="Calibri" w:cs="Times New Roman"/>
                <w:color w:val="000000"/>
                <w:lang w:eastAsia="es-ES"/>
              </w:rPr>
            </w:pPr>
            <w:r w:rsidRPr="007E4BAA">
              <w:rPr>
                <w:rFonts w:ascii="Calibri" w:eastAsia="Times New Roman" w:hAnsi="Calibri" w:cs="Times New Roman"/>
                <w:color w:val="000000"/>
                <w:lang w:eastAsia="es-ES"/>
              </w:rPr>
              <w:t>-0.42%</w:t>
            </w:r>
          </w:p>
        </w:tc>
        <w:tc>
          <w:tcPr>
            <w:tcW w:w="1197" w:type="dxa"/>
            <w:gridSpan w:val="2"/>
            <w:tcBorders>
              <w:top w:val="nil"/>
              <w:left w:val="nil"/>
              <w:bottom w:val="nil"/>
              <w:right w:val="nil"/>
            </w:tcBorders>
            <w:shd w:val="clear" w:color="auto" w:fill="auto"/>
            <w:noWrap/>
            <w:vAlign w:val="bottom"/>
            <w:hideMark/>
          </w:tcPr>
          <w:p w:rsidR="007E4BAA" w:rsidRPr="007E4BAA" w:rsidRDefault="007E4BAA" w:rsidP="007E4BAA">
            <w:pPr>
              <w:spacing w:after="0" w:line="240" w:lineRule="auto"/>
              <w:jc w:val="right"/>
              <w:rPr>
                <w:rFonts w:ascii="Calibri" w:eastAsia="Times New Roman" w:hAnsi="Calibri" w:cs="Times New Roman"/>
                <w:color w:val="000000"/>
                <w:lang w:eastAsia="es-ES"/>
              </w:rPr>
            </w:pPr>
            <w:r w:rsidRPr="007E4BAA">
              <w:rPr>
                <w:rFonts w:ascii="Calibri" w:eastAsia="Times New Roman" w:hAnsi="Calibri" w:cs="Times New Roman"/>
                <w:color w:val="000000"/>
                <w:lang w:eastAsia="es-ES"/>
              </w:rPr>
              <w:t>121.06%</w:t>
            </w:r>
          </w:p>
        </w:tc>
        <w:tc>
          <w:tcPr>
            <w:tcW w:w="1197" w:type="dxa"/>
            <w:gridSpan w:val="2"/>
            <w:tcBorders>
              <w:top w:val="nil"/>
              <w:left w:val="nil"/>
              <w:bottom w:val="nil"/>
              <w:right w:val="nil"/>
            </w:tcBorders>
            <w:shd w:val="clear" w:color="auto" w:fill="auto"/>
            <w:noWrap/>
            <w:vAlign w:val="bottom"/>
            <w:hideMark/>
          </w:tcPr>
          <w:p w:rsidR="007E4BAA" w:rsidRPr="007E4BAA" w:rsidRDefault="007E4BAA" w:rsidP="007E4BAA">
            <w:pPr>
              <w:spacing w:after="0" w:line="240" w:lineRule="auto"/>
              <w:jc w:val="right"/>
              <w:rPr>
                <w:rFonts w:ascii="Calibri" w:eastAsia="Times New Roman" w:hAnsi="Calibri" w:cs="Times New Roman"/>
                <w:color w:val="000000"/>
                <w:lang w:eastAsia="es-ES"/>
              </w:rPr>
            </w:pPr>
            <w:r w:rsidRPr="007E4BAA">
              <w:rPr>
                <w:rFonts w:ascii="Calibri" w:eastAsia="Times New Roman" w:hAnsi="Calibri" w:cs="Times New Roman"/>
                <w:color w:val="000000"/>
                <w:lang w:eastAsia="es-ES"/>
              </w:rPr>
              <w:t>189.94%</w:t>
            </w:r>
          </w:p>
        </w:tc>
        <w:tc>
          <w:tcPr>
            <w:tcW w:w="1537" w:type="dxa"/>
            <w:gridSpan w:val="2"/>
            <w:tcBorders>
              <w:top w:val="nil"/>
              <w:left w:val="nil"/>
              <w:bottom w:val="nil"/>
              <w:right w:val="nil"/>
            </w:tcBorders>
            <w:shd w:val="clear" w:color="auto" w:fill="auto"/>
            <w:noWrap/>
            <w:vAlign w:val="bottom"/>
            <w:hideMark/>
          </w:tcPr>
          <w:p w:rsidR="007E4BAA" w:rsidRPr="007E4BAA" w:rsidRDefault="007E4BAA" w:rsidP="007E4BAA">
            <w:pPr>
              <w:spacing w:after="0" w:line="240" w:lineRule="auto"/>
              <w:jc w:val="right"/>
              <w:rPr>
                <w:rFonts w:ascii="Calibri" w:eastAsia="Times New Roman" w:hAnsi="Calibri" w:cs="Times New Roman"/>
                <w:color w:val="000000"/>
                <w:lang w:eastAsia="es-ES"/>
              </w:rPr>
            </w:pPr>
            <w:r w:rsidRPr="007E4BAA">
              <w:rPr>
                <w:rFonts w:ascii="Calibri" w:eastAsia="Times New Roman" w:hAnsi="Calibri" w:cs="Times New Roman"/>
                <w:color w:val="000000"/>
                <w:lang w:eastAsia="es-ES"/>
              </w:rPr>
              <w:t>79.68%</w:t>
            </w:r>
          </w:p>
        </w:tc>
      </w:tr>
      <w:tr w:rsidR="007E4BAA" w:rsidRPr="007E4BAA" w:rsidTr="005030C3">
        <w:trPr>
          <w:gridAfter w:val="1"/>
          <w:wAfter w:w="96" w:type="dxa"/>
          <w:trHeight w:val="315"/>
          <w:jc w:val="center"/>
        </w:trPr>
        <w:tc>
          <w:tcPr>
            <w:tcW w:w="1216" w:type="dxa"/>
            <w:tcBorders>
              <w:top w:val="nil"/>
              <w:left w:val="nil"/>
              <w:bottom w:val="nil"/>
              <w:right w:val="nil"/>
            </w:tcBorders>
            <w:shd w:val="clear" w:color="000000" w:fill="CCCCFF"/>
            <w:noWrap/>
            <w:vAlign w:val="bottom"/>
            <w:hideMark/>
          </w:tcPr>
          <w:p w:rsidR="007E4BAA" w:rsidRPr="007E4BAA" w:rsidRDefault="007E4BAA" w:rsidP="007E4BAA">
            <w:pPr>
              <w:spacing w:after="0" w:line="240" w:lineRule="auto"/>
              <w:rPr>
                <w:rFonts w:ascii="Calibri" w:eastAsia="Times New Roman" w:hAnsi="Calibri" w:cs="Times New Roman"/>
                <w:b/>
                <w:bCs/>
                <w:color w:val="000000"/>
                <w:lang w:eastAsia="es-ES"/>
              </w:rPr>
            </w:pPr>
            <w:proofErr w:type="spellStart"/>
            <w:r w:rsidRPr="007E4BAA">
              <w:rPr>
                <w:rFonts w:ascii="Calibri" w:eastAsia="Times New Roman" w:hAnsi="Calibri" w:cs="Times New Roman"/>
                <w:b/>
                <w:bCs/>
                <w:color w:val="000000"/>
                <w:lang w:eastAsia="es-ES"/>
              </w:rPr>
              <w:t>University</w:t>
            </w:r>
            <w:proofErr w:type="spellEnd"/>
          </w:p>
        </w:tc>
        <w:tc>
          <w:tcPr>
            <w:tcW w:w="1195" w:type="dxa"/>
            <w:tcBorders>
              <w:top w:val="nil"/>
              <w:left w:val="nil"/>
              <w:bottom w:val="nil"/>
              <w:right w:val="nil"/>
            </w:tcBorders>
            <w:shd w:val="clear" w:color="000000" w:fill="CCCCFF"/>
            <w:noWrap/>
            <w:vAlign w:val="bottom"/>
            <w:hideMark/>
          </w:tcPr>
          <w:p w:rsidR="007E4BAA" w:rsidRPr="007E4BAA" w:rsidRDefault="007E4BAA" w:rsidP="007E4BAA">
            <w:pPr>
              <w:spacing w:after="0" w:line="240" w:lineRule="auto"/>
              <w:rPr>
                <w:rFonts w:ascii="Calibri" w:eastAsia="Times New Roman" w:hAnsi="Calibri" w:cs="Times New Roman"/>
                <w:b/>
                <w:bCs/>
                <w:color w:val="000000"/>
                <w:lang w:eastAsia="es-ES"/>
              </w:rPr>
            </w:pPr>
            <w:r w:rsidRPr="007E4BAA">
              <w:rPr>
                <w:rFonts w:ascii="Calibri" w:eastAsia="Times New Roman" w:hAnsi="Calibri" w:cs="Times New Roman"/>
                <w:b/>
                <w:bCs/>
                <w:color w:val="000000"/>
                <w:lang w:eastAsia="es-ES"/>
              </w:rPr>
              <w:t> </w:t>
            </w:r>
          </w:p>
        </w:tc>
        <w:tc>
          <w:tcPr>
            <w:tcW w:w="1198" w:type="dxa"/>
            <w:gridSpan w:val="2"/>
            <w:tcBorders>
              <w:top w:val="nil"/>
              <w:left w:val="nil"/>
              <w:bottom w:val="nil"/>
              <w:right w:val="nil"/>
            </w:tcBorders>
            <w:shd w:val="clear" w:color="000000" w:fill="CCCCFF"/>
            <w:noWrap/>
            <w:vAlign w:val="bottom"/>
            <w:hideMark/>
          </w:tcPr>
          <w:p w:rsidR="007E4BAA" w:rsidRPr="007E4BAA" w:rsidRDefault="007E4BAA" w:rsidP="007E4BAA">
            <w:pPr>
              <w:spacing w:after="0" w:line="240" w:lineRule="auto"/>
              <w:rPr>
                <w:rFonts w:ascii="Calibri" w:eastAsia="Times New Roman" w:hAnsi="Calibri" w:cs="Times New Roman"/>
                <w:b/>
                <w:bCs/>
                <w:color w:val="000000"/>
                <w:lang w:eastAsia="es-ES"/>
              </w:rPr>
            </w:pPr>
            <w:r w:rsidRPr="007E4BAA">
              <w:rPr>
                <w:rFonts w:ascii="Calibri" w:eastAsia="Times New Roman" w:hAnsi="Calibri" w:cs="Times New Roman"/>
                <w:b/>
                <w:bCs/>
                <w:color w:val="000000"/>
                <w:lang w:eastAsia="es-ES"/>
              </w:rPr>
              <w:t> </w:t>
            </w:r>
          </w:p>
        </w:tc>
        <w:tc>
          <w:tcPr>
            <w:tcW w:w="1197" w:type="dxa"/>
            <w:gridSpan w:val="2"/>
            <w:tcBorders>
              <w:top w:val="nil"/>
              <w:left w:val="nil"/>
              <w:bottom w:val="nil"/>
              <w:right w:val="nil"/>
            </w:tcBorders>
            <w:shd w:val="clear" w:color="000000" w:fill="CCCCFF"/>
            <w:noWrap/>
            <w:vAlign w:val="bottom"/>
            <w:hideMark/>
          </w:tcPr>
          <w:p w:rsidR="007E4BAA" w:rsidRPr="007E4BAA" w:rsidRDefault="007E4BAA" w:rsidP="007E4BAA">
            <w:pPr>
              <w:spacing w:after="0" w:line="240" w:lineRule="auto"/>
              <w:rPr>
                <w:rFonts w:ascii="Calibri" w:eastAsia="Times New Roman" w:hAnsi="Calibri" w:cs="Times New Roman"/>
                <w:b/>
                <w:bCs/>
                <w:color w:val="000000"/>
                <w:lang w:eastAsia="es-ES"/>
              </w:rPr>
            </w:pPr>
            <w:r w:rsidRPr="007E4BAA">
              <w:rPr>
                <w:rFonts w:ascii="Calibri" w:eastAsia="Times New Roman" w:hAnsi="Calibri" w:cs="Times New Roman"/>
                <w:b/>
                <w:bCs/>
                <w:color w:val="000000"/>
                <w:lang w:eastAsia="es-ES"/>
              </w:rPr>
              <w:t> </w:t>
            </w:r>
          </w:p>
        </w:tc>
        <w:tc>
          <w:tcPr>
            <w:tcW w:w="1197" w:type="dxa"/>
            <w:gridSpan w:val="2"/>
            <w:tcBorders>
              <w:top w:val="nil"/>
              <w:left w:val="nil"/>
              <w:bottom w:val="nil"/>
              <w:right w:val="nil"/>
            </w:tcBorders>
            <w:shd w:val="clear" w:color="000000" w:fill="CCCCFF"/>
            <w:noWrap/>
            <w:vAlign w:val="bottom"/>
            <w:hideMark/>
          </w:tcPr>
          <w:p w:rsidR="007E4BAA" w:rsidRPr="007E4BAA" w:rsidRDefault="007E4BAA" w:rsidP="007E4BAA">
            <w:pPr>
              <w:spacing w:after="0" w:line="240" w:lineRule="auto"/>
              <w:rPr>
                <w:rFonts w:ascii="Calibri" w:eastAsia="Times New Roman" w:hAnsi="Calibri" w:cs="Times New Roman"/>
                <w:b/>
                <w:bCs/>
                <w:color w:val="000000"/>
                <w:lang w:eastAsia="es-ES"/>
              </w:rPr>
            </w:pPr>
            <w:r w:rsidRPr="007E4BAA">
              <w:rPr>
                <w:rFonts w:ascii="Calibri" w:eastAsia="Times New Roman" w:hAnsi="Calibri" w:cs="Times New Roman"/>
                <w:b/>
                <w:bCs/>
                <w:color w:val="000000"/>
                <w:lang w:eastAsia="es-ES"/>
              </w:rPr>
              <w:t> </w:t>
            </w:r>
          </w:p>
        </w:tc>
        <w:tc>
          <w:tcPr>
            <w:tcW w:w="1537" w:type="dxa"/>
            <w:gridSpan w:val="2"/>
            <w:tcBorders>
              <w:top w:val="nil"/>
              <w:left w:val="nil"/>
              <w:bottom w:val="nil"/>
              <w:right w:val="nil"/>
            </w:tcBorders>
            <w:shd w:val="clear" w:color="000000" w:fill="CCCCFF"/>
            <w:noWrap/>
            <w:vAlign w:val="bottom"/>
            <w:hideMark/>
          </w:tcPr>
          <w:p w:rsidR="007E4BAA" w:rsidRPr="007E4BAA" w:rsidRDefault="007E4BAA" w:rsidP="007E4BAA">
            <w:pPr>
              <w:spacing w:after="0" w:line="240" w:lineRule="auto"/>
              <w:rPr>
                <w:rFonts w:ascii="Calibri" w:eastAsia="Times New Roman" w:hAnsi="Calibri" w:cs="Times New Roman"/>
                <w:b/>
                <w:bCs/>
                <w:color w:val="000000"/>
                <w:lang w:eastAsia="es-ES"/>
              </w:rPr>
            </w:pPr>
            <w:r w:rsidRPr="007E4BAA">
              <w:rPr>
                <w:rFonts w:ascii="Calibri" w:eastAsia="Times New Roman" w:hAnsi="Calibri" w:cs="Times New Roman"/>
                <w:b/>
                <w:bCs/>
                <w:color w:val="000000"/>
                <w:lang w:eastAsia="es-ES"/>
              </w:rPr>
              <w:t> </w:t>
            </w:r>
          </w:p>
        </w:tc>
      </w:tr>
      <w:tr w:rsidR="007E4BAA" w:rsidRPr="007E4BAA" w:rsidTr="005030C3">
        <w:trPr>
          <w:gridAfter w:val="1"/>
          <w:wAfter w:w="96" w:type="dxa"/>
          <w:trHeight w:val="300"/>
          <w:jc w:val="center"/>
        </w:trPr>
        <w:tc>
          <w:tcPr>
            <w:tcW w:w="1216" w:type="dxa"/>
            <w:tcBorders>
              <w:top w:val="nil"/>
              <w:left w:val="nil"/>
              <w:bottom w:val="nil"/>
              <w:right w:val="nil"/>
            </w:tcBorders>
            <w:shd w:val="clear" w:color="auto" w:fill="auto"/>
            <w:noWrap/>
            <w:vAlign w:val="bottom"/>
            <w:hideMark/>
          </w:tcPr>
          <w:p w:rsidR="007E4BAA" w:rsidRPr="007E4BAA" w:rsidRDefault="007E4BAA" w:rsidP="007E4BAA">
            <w:pPr>
              <w:spacing w:after="0" w:line="240" w:lineRule="auto"/>
              <w:rPr>
                <w:rFonts w:ascii="Calibri" w:eastAsia="Times New Roman" w:hAnsi="Calibri" w:cs="Times New Roman"/>
                <w:color w:val="000000"/>
                <w:lang w:eastAsia="es-ES"/>
              </w:rPr>
            </w:pPr>
            <w:r w:rsidRPr="007E4BAA">
              <w:rPr>
                <w:rFonts w:ascii="Calibri" w:eastAsia="Times New Roman" w:hAnsi="Calibri" w:cs="Times New Roman"/>
                <w:color w:val="000000"/>
                <w:lang w:eastAsia="es-ES"/>
              </w:rPr>
              <w:t>TOTAL</w:t>
            </w:r>
          </w:p>
        </w:tc>
        <w:tc>
          <w:tcPr>
            <w:tcW w:w="1195" w:type="dxa"/>
            <w:tcBorders>
              <w:top w:val="nil"/>
              <w:left w:val="nil"/>
              <w:bottom w:val="nil"/>
              <w:right w:val="nil"/>
            </w:tcBorders>
            <w:shd w:val="clear" w:color="auto" w:fill="auto"/>
            <w:noWrap/>
            <w:vAlign w:val="bottom"/>
            <w:hideMark/>
          </w:tcPr>
          <w:p w:rsidR="007E4BAA" w:rsidRPr="007E4BAA" w:rsidRDefault="007E4BAA" w:rsidP="007E4BAA">
            <w:pPr>
              <w:spacing w:after="0" w:line="240" w:lineRule="auto"/>
              <w:rPr>
                <w:rFonts w:ascii="Calibri" w:eastAsia="Times New Roman" w:hAnsi="Calibri" w:cs="Times New Roman"/>
                <w:color w:val="000000"/>
                <w:lang w:eastAsia="es-ES"/>
              </w:rPr>
            </w:pPr>
          </w:p>
        </w:tc>
        <w:tc>
          <w:tcPr>
            <w:tcW w:w="1198" w:type="dxa"/>
            <w:gridSpan w:val="2"/>
            <w:tcBorders>
              <w:top w:val="nil"/>
              <w:left w:val="nil"/>
              <w:bottom w:val="nil"/>
              <w:right w:val="nil"/>
            </w:tcBorders>
            <w:shd w:val="clear" w:color="auto" w:fill="auto"/>
            <w:noWrap/>
            <w:vAlign w:val="bottom"/>
            <w:hideMark/>
          </w:tcPr>
          <w:p w:rsidR="007E4BAA" w:rsidRPr="007E4BAA" w:rsidRDefault="007E4BAA" w:rsidP="007E4BAA">
            <w:pPr>
              <w:spacing w:after="0" w:line="240" w:lineRule="auto"/>
              <w:jc w:val="right"/>
              <w:rPr>
                <w:rFonts w:ascii="Calibri" w:eastAsia="Times New Roman" w:hAnsi="Calibri" w:cs="Times New Roman"/>
                <w:color w:val="000000"/>
                <w:lang w:eastAsia="es-ES"/>
              </w:rPr>
            </w:pPr>
            <w:r w:rsidRPr="007E4BAA">
              <w:rPr>
                <w:rFonts w:ascii="Calibri" w:eastAsia="Times New Roman" w:hAnsi="Calibri" w:cs="Times New Roman"/>
                <w:color w:val="000000"/>
                <w:lang w:eastAsia="es-ES"/>
              </w:rPr>
              <w:t>9.55%</w:t>
            </w:r>
          </w:p>
        </w:tc>
        <w:tc>
          <w:tcPr>
            <w:tcW w:w="1197" w:type="dxa"/>
            <w:gridSpan w:val="2"/>
            <w:tcBorders>
              <w:top w:val="nil"/>
              <w:left w:val="nil"/>
              <w:bottom w:val="nil"/>
              <w:right w:val="nil"/>
            </w:tcBorders>
            <w:shd w:val="clear" w:color="auto" w:fill="auto"/>
            <w:noWrap/>
            <w:vAlign w:val="bottom"/>
            <w:hideMark/>
          </w:tcPr>
          <w:p w:rsidR="007E4BAA" w:rsidRPr="007E4BAA" w:rsidRDefault="007E4BAA" w:rsidP="007E4BAA">
            <w:pPr>
              <w:spacing w:after="0" w:line="240" w:lineRule="auto"/>
              <w:jc w:val="right"/>
              <w:rPr>
                <w:rFonts w:ascii="Calibri" w:eastAsia="Times New Roman" w:hAnsi="Calibri" w:cs="Times New Roman"/>
                <w:color w:val="000000"/>
                <w:lang w:eastAsia="es-ES"/>
              </w:rPr>
            </w:pPr>
            <w:r w:rsidRPr="007E4BAA">
              <w:rPr>
                <w:rFonts w:ascii="Calibri" w:eastAsia="Times New Roman" w:hAnsi="Calibri" w:cs="Times New Roman"/>
                <w:color w:val="000000"/>
                <w:lang w:eastAsia="es-ES"/>
              </w:rPr>
              <w:t>18.74%</w:t>
            </w:r>
          </w:p>
        </w:tc>
        <w:tc>
          <w:tcPr>
            <w:tcW w:w="1197" w:type="dxa"/>
            <w:gridSpan w:val="2"/>
            <w:tcBorders>
              <w:top w:val="nil"/>
              <w:left w:val="nil"/>
              <w:bottom w:val="nil"/>
              <w:right w:val="nil"/>
            </w:tcBorders>
            <w:shd w:val="clear" w:color="auto" w:fill="auto"/>
            <w:noWrap/>
            <w:vAlign w:val="bottom"/>
            <w:hideMark/>
          </w:tcPr>
          <w:p w:rsidR="007E4BAA" w:rsidRPr="007E4BAA" w:rsidRDefault="007E4BAA" w:rsidP="007E4BAA">
            <w:pPr>
              <w:spacing w:after="0" w:line="240" w:lineRule="auto"/>
              <w:jc w:val="right"/>
              <w:rPr>
                <w:rFonts w:ascii="Calibri" w:eastAsia="Times New Roman" w:hAnsi="Calibri" w:cs="Times New Roman"/>
                <w:color w:val="000000"/>
                <w:lang w:eastAsia="es-ES"/>
              </w:rPr>
            </w:pPr>
            <w:r w:rsidRPr="007E4BAA">
              <w:rPr>
                <w:rFonts w:ascii="Calibri" w:eastAsia="Times New Roman" w:hAnsi="Calibri" w:cs="Times New Roman"/>
                <w:color w:val="000000"/>
                <w:lang w:eastAsia="es-ES"/>
              </w:rPr>
              <w:t>31.92%</w:t>
            </w:r>
          </w:p>
        </w:tc>
        <w:tc>
          <w:tcPr>
            <w:tcW w:w="1537" w:type="dxa"/>
            <w:gridSpan w:val="2"/>
            <w:tcBorders>
              <w:top w:val="nil"/>
              <w:left w:val="nil"/>
              <w:bottom w:val="nil"/>
              <w:right w:val="nil"/>
            </w:tcBorders>
            <w:shd w:val="clear" w:color="auto" w:fill="auto"/>
            <w:noWrap/>
            <w:vAlign w:val="bottom"/>
            <w:hideMark/>
          </w:tcPr>
          <w:p w:rsidR="007E4BAA" w:rsidRPr="007E4BAA" w:rsidRDefault="007E4BAA" w:rsidP="007E4BAA">
            <w:pPr>
              <w:spacing w:after="0" w:line="240" w:lineRule="auto"/>
              <w:jc w:val="right"/>
              <w:rPr>
                <w:rFonts w:ascii="Calibri" w:eastAsia="Times New Roman" w:hAnsi="Calibri" w:cs="Times New Roman"/>
                <w:color w:val="000000"/>
                <w:lang w:eastAsia="es-ES"/>
              </w:rPr>
            </w:pPr>
            <w:r w:rsidRPr="007E4BAA">
              <w:rPr>
                <w:rFonts w:ascii="Calibri" w:eastAsia="Times New Roman" w:hAnsi="Calibri" w:cs="Times New Roman"/>
                <w:color w:val="000000"/>
                <w:lang w:eastAsia="es-ES"/>
              </w:rPr>
              <w:t>20.12%</w:t>
            </w:r>
          </w:p>
        </w:tc>
      </w:tr>
      <w:tr w:rsidR="007E4BAA" w:rsidRPr="007E4BAA" w:rsidTr="005030C3">
        <w:trPr>
          <w:gridAfter w:val="1"/>
          <w:wAfter w:w="96" w:type="dxa"/>
          <w:trHeight w:val="300"/>
          <w:jc w:val="center"/>
        </w:trPr>
        <w:tc>
          <w:tcPr>
            <w:tcW w:w="1216" w:type="dxa"/>
            <w:tcBorders>
              <w:top w:val="nil"/>
              <w:left w:val="nil"/>
              <w:bottom w:val="nil"/>
              <w:right w:val="nil"/>
            </w:tcBorders>
            <w:shd w:val="clear" w:color="auto" w:fill="auto"/>
            <w:noWrap/>
            <w:vAlign w:val="bottom"/>
            <w:hideMark/>
          </w:tcPr>
          <w:p w:rsidR="007E4BAA" w:rsidRPr="007E4BAA" w:rsidRDefault="007E4BAA" w:rsidP="007E4BAA">
            <w:pPr>
              <w:spacing w:after="0" w:line="240" w:lineRule="auto"/>
              <w:rPr>
                <w:rFonts w:ascii="Calibri" w:eastAsia="Times New Roman" w:hAnsi="Calibri" w:cs="Times New Roman"/>
                <w:color w:val="000000"/>
                <w:lang w:eastAsia="es-ES"/>
              </w:rPr>
            </w:pPr>
            <w:r w:rsidRPr="007E4BAA">
              <w:rPr>
                <w:rFonts w:ascii="Calibri" w:eastAsia="Times New Roman" w:hAnsi="Calibri" w:cs="Times New Roman"/>
                <w:color w:val="000000"/>
                <w:lang w:eastAsia="es-ES"/>
              </w:rPr>
              <w:t xml:space="preserve">   </w:t>
            </w:r>
            <w:proofErr w:type="spellStart"/>
            <w:r w:rsidRPr="007E4BAA">
              <w:rPr>
                <w:rFonts w:ascii="Calibri" w:eastAsia="Times New Roman" w:hAnsi="Calibri" w:cs="Times New Roman"/>
                <w:color w:val="000000"/>
                <w:lang w:eastAsia="es-ES"/>
              </w:rPr>
              <w:t>Wages</w:t>
            </w:r>
            <w:proofErr w:type="spellEnd"/>
          </w:p>
        </w:tc>
        <w:tc>
          <w:tcPr>
            <w:tcW w:w="1195" w:type="dxa"/>
            <w:tcBorders>
              <w:top w:val="nil"/>
              <w:left w:val="nil"/>
              <w:bottom w:val="nil"/>
              <w:right w:val="nil"/>
            </w:tcBorders>
            <w:shd w:val="clear" w:color="auto" w:fill="auto"/>
            <w:noWrap/>
            <w:vAlign w:val="bottom"/>
            <w:hideMark/>
          </w:tcPr>
          <w:p w:rsidR="007E4BAA" w:rsidRPr="007E4BAA" w:rsidRDefault="007E4BAA" w:rsidP="007E4BAA">
            <w:pPr>
              <w:spacing w:after="0" w:line="240" w:lineRule="auto"/>
              <w:rPr>
                <w:rFonts w:ascii="Calibri" w:eastAsia="Times New Roman" w:hAnsi="Calibri" w:cs="Times New Roman"/>
                <w:color w:val="000000"/>
                <w:lang w:eastAsia="es-ES"/>
              </w:rPr>
            </w:pPr>
          </w:p>
        </w:tc>
        <w:tc>
          <w:tcPr>
            <w:tcW w:w="1198" w:type="dxa"/>
            <w:gridSpan w:val="2"/>
            <w:tcBorders>
              <w:top w:val="nil"/>
              <w:left w:val="nil"/>
              <w:bottom w:val="nil"/>
              <w:right w:val="nil"/>
            </w:tcBorders>
            <w:shd w:val="clear" w:color="auto" w:fill="auto"/>
            <w:noWrap/>
            <w:vAlign w:val="bottom"/>
            <w:hideMark/>
          </w:tcPr>
          <w:p w:rsidR="007E4BAA" w:rsidRPr="007E4BAA" w:rsidRDefault="007E4BAA" w:rsidP="007E4BAA">
            <w:pPr>
              <w:spacing w:after="0" w:line="240" w:lineRule="auto"/>
              <w:jc w:val="right"/>
              <w:rPr>
                <w:rFonts w:ascii="Calibri" w:eastAsia="Times New Roman" w:hAnsi="Calibri" w:cs="Times New Roman"/>
                <w:color w:val="000000"/>
                <w:lang w:eastAsia="es-ES"/>
              </w:rPr>
            </w:pPr>
            <w:r w:rsidRPr="007E4BAA">
              <w:rPr>
                <w:rFonts w:ascii="Calibri" w:eastAsia="Times New Roman" w:hAnsi="Calibri" w:cs="Times New Roman"/>
                <w:color w:val="000000"/>
                <w:lang w:eastAsia="es-ES"/>
              </w:rPr>
              <w:t>1.97%</w:t>
            </w:r>
          </w:p>
        </w:tc>
        <w:tc>
          <w:tcPr>
            <w:tcW w:w="1197" w:type="dxa"/>
            <w:gridSpan w:val="2"/>
            <w:tcBorders>
              <w:top w:val="nil"/>
              <w:left w:val="nil"/>
              <w:bottom w:val="nil"/>
              <w:right w:val="nil"/>
            </w:tcBorders>
            <w:shd w:val="clear" w:color="auto" w:fill="auto"/>
            <w:noWrap/>
            <w:vAlign w:val="bottom"/>
            <w:hideMark/>
          </w:tcPr>
          <w:p w:rsidR="007E4BAA" w:rsidRPr="007E4BAA" w:rsidRDefault="007E4BAA" w:rsidP="007E4BAA">
            <w:pPr>
              <w:spacing w:after="0" w:line="240" w:lineRule="auto"/>
              <w:jc w:val="right"/>
              <w:rPr>
                <w:rFonts w:ascii="Calibri" w:eastAsia="Times New Roman" w:hAnsi="Calibri" w:cs="Times New Roman"/>
                <w:color w:val="000000"/>
                <w:lang w:eastAsia="es-ES"/>
              </w:rPr>
            </w:pPr>
            <w:r w:rsidRPr="007E4BAA">
              <w:rPr>
                <w:rFonts w:ascii="Calibri" w:eastAsia="Times New Roman" w:hAnsi="Calibri" w:cs="Times New Roman"/>
                <w:color w:val="000000"/>
                <w:lang w:eastAsia="es-ES"/>
              </w:rPr>
              <w:t>8.89%</w:t>
            </w:r>
          </w:p>
        </w:tc>
        <w:tc>
          <w:tcPr>
            <w:tcW w:w="1197" w:type="dxa"/>
            <w:gridSpan w:val="2"/>
            <w:tcBorders>
              <w:top w:val="nil"/>
              <w:left w:val="nil"/>
              <w:bottom w:val="nil"/>
              <w:right w:val="nil"/>
            </w:tcBorders>
            <w:shd w:val="clear" w:color="auto" w:fill="auto"/>
            <w:noWrap/>
            <w:vAlign w:val="bottom"/>
            <w:hideMark/>
          </w:tcPr>
          <w:p w:rsidR="007E4BAA" w:rsidRPr="007E4BAA" w:rsidRDefault="007E4BAA" w:rsidP="007E4BAA">
            <w:pPr>
              <w:spacing w:after="0" w:line="240" w:lineRule="auto"/>
              <w:jc w:val="right"/>
              <w:rPr>
                <w:rFonts w:ascii="Calibri" w:eastAsia="Times New Roman" w:hAnsi="Calibri" w:cs="Times New Roman"/>
                <w:color w:val="000000"/>
                <w:lang w:eastAsia="es-ES"/>
              </w:rPr>
            </w:pPr>
            <w:r w:rsidRPr="007E4BAA">
              <w:rPr>
                <w:rFonts w:ascii="Calibri" w:eastAsia="Times New Roman" w:hAnsi="Calibri" w:cs="Times New Roman"/>
                <w:color w:val="000000"/>
                <w:lang w:eastAsia="es-ES"/>
              </w:rPr>
              <w:t>46.51%</w:t>
            </w:r>
          </w:p>
        </w:tc>
        <w:tc>
          <w:tcPr>
            <w:tcW w:w="1537" w:type="dxa"/>
            <w:gridSpan w:val="2"/>
            <w:tcBorders>
              <w:top w:val="nil"/>
              <w:left w:val="nil"/>
              <w:bottom w:val="nil"/>
              <w:right w:val="nil"/>
            </w:tcBorders>
            <w:shd w:val="clear" w:color="auto" w:fill="auto"/>
            <w:noWrap/>
            <w:vAlign w:val="bottom"/>
            <w:hideMark/>
          </w:tcPr>
          <w:p w:rsidR="007E4BAA" w:rsidRPr="007E4BAA" w:rsidRDefault="007E4BAA" w:rsidP="007E4BAA">
            <w:pPr>
              <w:spacing w:after="0" w:line="240" w:lineRule="auto"/>
              <w:jc w:val="right"/>
              <w:rPr>
                <w:rFonts w:ascii="Calibri" w:eastAsia="Times New Roman" w:hAnsi="Calibri" w:cs="Times New Roman"/>
                <w:color w:val="000000"/>
                <w:lang w:eastAsia="es-ES"/>
              </w:rPr>
            </w:pPr>
            <w:r w:rsidRPr="007E4BAA">
              <w:rPr>
                <w:rFonts w:ascii="Calibri" w:eastAsia="Times New Roman" w:hAnsi="Calibri" w:cs="Times New Roman"/>
                <w:color w:val="000000"/>
                <w:lang w:eastAsia="es-ES"/>
              </w:rPr>
              <w:t>44.15%</w:t>
            </w:r>
          </w:p>
        </w:tc>
      </w:tr>
      <w:tr w:rsidR="007E4BAA" w:rsidRPr="007E4BAA" w:rsidTr="005030C3">
        <w:trPr>
          <w:gridAfter w:val="1"/>
          <w:wAfter w:w="96" w:type="dxa"/>
          <w:trHeight w:val="300"/>
          <w:jc w:val="center"/>
        </w:trPr>
        <w:tc>
          <w:tcPr>
            <w:tcW w:w="2411" w:type="dxa"/>
            <w:gridSpan w:val="2"/>
            <w:tcBorders>
              <w:top w:val="nil"/>
              <w:left w:val="nil"/>
              <w:bottom w:val="nil"/>
              <w:right w:val="nil"/>
            </w:tcBorders>
            <w:shd w:val="clear" w:color="auto" w:fill="auto"/>
            <w:noWrap/>
            <w:vAlign w:val="bottom"/>
            <w:hideMark/>
          </w:tcPr>
          <w:p w:rsidR="007E4BAA" w:rsidRPr="007E4BAA" w:rsidRDefault="007E4BAA" w:rsidP="007E4BAA">
            <w:pPr>
              <w:spacing w:after="0" w:line="240" w:lineRule="auto"/>
              <w:rPr>
                <w:rFonts w:ascii="Calibri" w:eastAsia="Times New Roman" w:hAnsi="Calibri" w:cs="Times New Roman"/>
                <w:color w:val="000000"/>
                <w:lang w:eastAsia="es-ES"/>
              </w:rPr>
            </w:pPr>
            <w:r w:rsidRPr="007E4BAA">
              <w:rPr>
                <w:rFonts w:ascii="Calibri" w:eastAsia="Times New Roman" w:hAnsi="Calibri" w:cs="Times New Roman"/>
                <w:color w:val="000000"/>
                <w:lang w:eastAsia="es-ES"/>
              </w:rPr>
              <w:t xml:space="preserve">   Non-</w:t>
            </w:r>
            <w:proofErr w:type="spellStart"/>
            <w:r w:rsidRPr="007E4BAA">
              <w:rPr>
                <w:rFonts w:ascii="Calibri" w:eastAsia="Times New Roman" w:hAnsi="Calibri" w:cs="Times New Roman"/>
                <w:color w:val="000000"/>
                <w:lang w:eastAsia="es-ES"/>
              </w:rPr>
              <w:t>Wages</w:t>
            </w:r>
            <w:proofErr w:type="spellEnd"/>
          </w:p>
        </w:tc>
        <w:tc>
          <w:tcPr>
            <w:tcW w:w="1198" w:type="dxa"/>
            <w:gridSpan w:val="2"/>
            <w:tcBorders>
              <w:top w:val="nil"/>
              <w:left w:val="nil"/>
              <w:bottom w:val="nil"/>
              <w:right w:val="nil"/>
            </w:tcBorders>
            <w:shd w:val="clear" w:color="auto" w:fill="auto"/>
            <w:noWrap/>
            <w:vAlign w:val="bottom"/>
            <w:hideMark/>
          </w:tcPr>
          <w:p w:rsidR="007E4BAA" w:rsidRPr="007E4BAA" w:rsidRDefault="007E4BAA" w:rsidP="007E4BAA">
            <w:pPr>
              <w:spacing w:after="0" w:line="240" w:lineRule="auto"/>
              <w:jc w:val="right"/>
              <w:rPr>
                <w:rFonts w:ascii="Calibri" w:eastAsia="Times New Roman" w:hAnsi="Calibri" w:cs="Times New Roman"/>
                <w:color w:val="000000"/>
                <w:lang w:eastAsia="es-ES"/>
              </w:rPr>
            </w:pPr>
            <w:r w:rsidRPr="007E4BAA">
              <w:rPr>
                <w:rFonts w:ascii="Calibri" w:eastAsia="Times New Roman" w:hAnsi="Calibri" w:cs="Times New Roman"/>
                <w:color w:val="000000"/>
                <w:lang w:eastAsia="es-ES"/>
              </w:rPr>
              <w:t>9.14%</w:t>
            </w:r>
          </w:p>
        </w:tc>
        <w:tc>
          <w:tcPr>
            <w:tcW w:w="1197" w:type="dxa"/>
            <w:gridSpan w:val="2"/>
            <w:tcBorders>
              <w:top w:val="nil"/>
              <w:left w:val="nil"/>
              <w:bottom w:val="nil"/>
              <w:right w:val="nil"/>
            </w:tcBorders>
            <w:shd w:val="clear" w:color="auto" w:fill="auto"/>
            <w:noWrap/>
            <w:vAlign w:val="bottom"/>
            <w:hideMark/>
          </w:tcPr>
          <w:p w:rsidR="007E4BAA" w:rsidRPr="007E4BAA" w:rsidRDefault="007E4BAA" w:rsidP="007E4BAA">
            <w:pPr>
              <w:spacing w:after="0" w:line="240" w:lineRule="auto"/>
              <w:jc w:val="right"/>
              <w:rPr>
                <w:rFonts w:ascii="Calibri" w:eastAsia="Times New Roman" w:hAnsi="Calibri" w:cs="Times New Roman"/>
                <w:color w:val="000000"/>
                <w:lang w:eastAsia="es-ES"/>
              </w:rPr>
            </w:pPr>
            <w:r w:rsidRPr="007E4BAA">
              <w:rPr>
                <w:rFonts w:ascii="Calibri" w:eastAsia="Times New Roman" w:hAnsi="Calibri" w:cs="Times New Roman"/>
                <w:color w:val="000000"/>
                <w:lang w:eastAsia="es-ES"/>
              </w:rPr>
              <w:t>7.60%</w:t>
            </w:r>
          </w:p>
        </w:tc>
        <w:tc>
          <w:tcPr>
            <w:tcW w:w="1197" w:type="dxa"/>
            <w:gridSpan w:val="2"/>
            <w:tcBorders>
              <w:top w:val="nil"/>
              <w:left w:val="nil"/>
              <w:bottom w:val="nil"/>
              <w:right w:val="nil"/>
            </w:tcBorders>
            <w:shd w:val="clear" w:color="auto" w:fill="auto"/>
            <w:noWrap/>
            <w:vAlign w:val="bottom"/>
            <w:hideMark/>
          </w:tcPr>
          <w:p w:rsidR="007E4BAA" w:rsidRPr="007E4BAA" w:rsidRDefault="007E4BAA" w:rsidP="007E4BAA">
            <w:pPr>
              <w:spacing w:after="0" w:line="240" w:lineRule="auto"/>
              <w:jc w:val="right"/>
              <w:rPr>
                <w:rFonts w:ascii="Calibri" w:eastAsia="Times New Roman" w:hAnsi="Calibri" w:cs="Times New Roman"/>
                <w:color w:val="000000"/>
                <w:lang w:eastAsia="es-ES"/>
              </w:rPr>
            </w:pPr>
            <w:r w:rsidRPr="007E4BAA">
              <w:rPr>
                <w:rFonts w:ascii="Calibri" w:eastAsia="Times New Roman" w:hAnsi="Calibri" w:cs="Times New Roman"/>
                <w:color w:val="000000"/>
                <w:lang w:eastAsia="es-ES"/>
              </w:rPr>
              <w:t>21.54%</w:t>
            </w:r>
          </w:p>
        </w:tc>
        <w:tc>
          <w:tcPr>
            <w:tcW w:w="1537" w:type="dxa"/>
            <w:gridSpan w:val="2"/>
            <w:tcBorders>
              <w:top w:val="nil"/>
              <w:left w:val="nil"/>
              <w:bottom w:val="nil"/>
              <w:right w:val="nil"/>
            </w:tcBorders>
            <w:shd w:val="clear" w:color="auto" w:fill="auto"/>
            <w:noWrap/>
            <w:vAlign w:val="bottom"/>
            <w:hideMark/>
          </w:tcPr>
          <w:p w:rsidR="007E4BAA" w:rsidRPr="007E4BAA" w:rsidRDefault="007E4BAA" w:rsidP="007E4BAA">
            <w:pPr>
              <w:spacing w:after="0" w:line="240" w:lineRule="auto"/>
              <w:jc w:val="right"/>
              <w:rPr>
                <w:rFonts w:ascii="Calibri" w:eastAsia="Times New Roman" w:hAnsi="Calibri" w:cs="Times New Roman"/>
                <w:color w:val="000000"/>
                <w:lang w:eastAsia="es-ES"/>
              </w:rPr>
            </w:pPr>
            <w:r w:rsidRPr="007E4BAA">
              <w:rPr>
                <w:rFonts w:ascii="Calibri" w:eastAsia="Times New Roman" w:hAnsi="Calibri" w:cs="Times New Roman"/>
                <w:color w:val="000000"/>
                <w:lang w:eastAsia="es-ES"/>
              </w:rPr>
              <w:t>6.76%</w:t>
            </w:r>
          </w:p>
        </w:tc>
      </w:tr>
      <w:tr w:rsidR="007E4BAA" w:rsidRPr="007E4BAA" w:rsidTr="005030C3">
        <w:trPr>
          <w:gridAfter w:val="1"/>
          <w:wAfter w:w="96" w:type="dxa"/>
          <w:trHeight w:val="300"/>
          <w:jc w:val="center"/>
        </w:trPr>
        <w:tc>
          <w:tcPr>
            <w:tcW w:w="1216" w:type="dxa"/>
            <w:tcBorders>
              <w:top w:val="nil"/>
              <w:left w:val="nil"/>
              <w:bottom w:val="nil"/>
              <w:right w:val="nil"/>
            </w:tcBorders>
            <w:shd w:val="clear" w:color="auto" w:fill="auto"/>
            <w:noWrap/>
            <w:vAlign w:val="bottom"/>
            <w:hideMark/>
          </w:tcPr>
          <w:p w:rsidR="007E4BAA" w:rsidRPr="007E4BAA" w:rsidRDefault="007E4BAA" w:rsidP="007E4BAA">
            <w:pPr>
              <w:spacing w:after="0" w:line="240" w:lineRule="auto"/>
              <w:rPr>
                <w:rFonts w:ascii="Calibri" w:eastAsia="Times New Roman" w:hAnsi="Calibri" w:cs="Times New Roman"/>
                <w:color w:val="000000"/>
                <w:lang w:eastAsia="es-ES"/>
              </w:rPr>
            </w:pPr>
            <w:r w:rsidRPr="007E4BAA">
              <w:rPr>
                <w:rFonts w:ascii="Calibri" w:eastAsia="Times New Roman" w:hAnsi="Calibri" w:cs="Times New Roman"/>
                <w:color w:val="000000"/>
                <w:lang w:eastAsia="es-ES"/>
              </w:rPr>
              <w:t xml:space="preserve">   Capital</w:t>
            </w:r>
          </w:p>
        </w:tc>
        <w:tc>
          <w:tcPr>
            <w:tcW w:w="1195" w:type="dxa"/>
            <w:tcBorders>
              <w:top w:val="nil"/>
              <w:left w:val="nil"/>
              <w:bottom w:val="nil"/>
              <w:right w:val="nil"/>
            </w:tcBorders>
            <w:shd w:val="clear" w:color="auto" w:fill="auto"/>
            <w:noWrap/>
            <w:vAlign w:val="bottom"/>
            <w:hideMark/>
          </w:tcPr>
          <w:p w:rsidR="007E4BAA" w:rsidRPr="007E4BAA" w:rsidRDefault="007E4BAA" w:rsidP="007E4BAA">
            <w:pPr>
              <w:spacing w:after="0" w:line="240" w:lineRule="auto"/>
              <w:rPr>
                <w:rFonts w:ascii="Calibri" w:eastAsia="Times New Roman" w:hAnsi="Calibri" w:cs="Times New Roman"/>
                <w:color w:val="000000"/>
                <w:lang w:eastAsia="es-ES"/>
              </w:rPr>
            </w:pPr>
          </w:p>
        </w:tc>
        <w:tc>
          <w:tcPr>
            <w:tcW w:w="1198" w:type="dxa"/>
            <w:gridSpan w:val="2"/>
            <w:tcBorders>
              <w:top w:val="nil"/>
              <w:left w:val="nil"/>
              <w:bottom w:val="nil"/>
              <w:right w:val="nil"/>
            </w:tcBorders>
            <w:shd w:val="clear" w:color="auto" w:fill="auto"/>
            <w:noWrap/>
            <w:vAlign w:val="bottom"/>
            <w:hideMark/>
          </w:tcPr>
          <w:p w:rsidR="007E4BAA" w:rsidRPr="007E4BAA" w:rsidRDefault="007E4BAA" w:rsidP="007E4BAA">
            <w:pPr>
              <w:spacing w:after="0" w:line="240" w:lineRule="auto"/>
              <w:jc w:val="right"/>
              <w:rPr>
                <w:rFonts w:ascii="Calibri" w:eastAsia="Times New Roman" w:hAnsi="Calibri" w:cs="Times New Roman"/>
                <w:color w:val="000000"/>
                <w:lang w:eastAsia="es-ES"/>
              </w:rPr>
            </w:pPr>
            <w:r w:rsidRPr="007E4BAA">
              <w:rPr>
                <w:rFonts w:ascii="Calibri" w:eastAsia="Times New Roman" w:hAnsi="Calibri" w:cs="Times New Roman"/>
                <w:color w:val="000000"/>
                <w:lang w:eastAsia="es-ES"/>
              </w:rPr>
              <w:t>31.90%</w:t>
            </w:r>
          </w:p>
        </w:tc>
        <w:tc>
          <w:tcPr>
            <w:tcW w:w="1197" w:type="dxa"/>
            <w:gridSpan w:val="2"/>
            <w:tcBorders>
              <w:top w:val="nil"/>
              <w:left w:val="nil"/>
              <w:bottom w:val="nil"/>
              <w:right w:val="nil"/>
            </w:tcBorders>
            <w:shd w:val="clear" w:color="auto" w:fill="auto"/>
            <w:noWrap/>
            <w:vAlign w:val="bottom"/>
            <w:hideMark/>
          </w:tcPr>
          <w:p w:rsidR="007E4BAA" w:rsidRPr="007E4BAA" w:rsidRDefault="007E4BAA" w:rsidP="007E4BAA">
            <w:pPr>
              <w:spacing w:after="0" w:line="240" w:lineRule="auto"/>
              <w:jc w:val="right"/>
              <w:rPr>
                <w:rFonts w:ascii="Calibri" w:eastAsia="Times New Roman" w:hAnsi="Calibri" w:cs="Times New Roman"/>
                <w:color w:val="000000"/>
                <w:lang w:eastAsia="es-ES"/>
              </w:rPr>
            </w:pPr>
            <w:r w:rsidRPr="007E4BAA">
              <w:rPr>
                <w:rFonts w:ascii="Calibri" w:eastAsia="Times New Roman" w:hAnsi="Calibri" w:cs="Times New Roman"/>
                <w:color w:val="000000"/>
                <w:lang w:eastAsia="es-ES"/>
              </w:rPr>
              <w:t>62.74%</w:t>
            </w:r>
          </w:p>
        </w:tc>
        <w:tc>
          <w:tcPr>
            <w:tcW w:w="1197" w:type="dxa"/>
            <w:gridSpan w:val="2"/>
            <w:tcBorders>
              <w:top w:val="nil"/>
              <w:left w:val="nil"/>
              <w:bottom w:val="nil"/>
              <w:right w:val="nil"/>
            </w:tcBorders>
            <w:shd w:val="clear" w:color="auto" w:fill="auto"/>
            <w:noWrap/>
            <w:vAlign w:val="bottom"/>
            <w:hideMark/>
          </w:tcPr>
          <w:p w:rsidR="007E4BAA" w:rsidRPr="007E4BAA" w:rsidRDefault="007E4BAA" w:rsidP="007E4BAA">
            <w:pPr>
              <w:spacing w:after="0" w:line="240" w:lineRule="auto"/>
              <w:jc w:val="right"/>
              <w:rPr>
                <w:rFonts w:ascii="Calibri" w:eastAsia="Times New Roman" w:hAnsi="Calibri" w:cs="Times New Roman"/>
                <w:color w:val="000000"/>
                <w:lang w:eastAsia="es-ES"/>
              </w:rPr>
            </w:pPr>
            <w:r w:rsidRPr="007E4BAA">
              <w:rPr>
                <w:rFonts w:ascii="Calibri" w:eastAsia="Times New Roman" w:hAnsi="Calibri" w:cs="Times New Roman"/>
                <w:color w:val="000000"/>
                <w:lang w:eastAsia="es-ES"/>
              </w:rPr>
              <w:t>4.58%</w:t>
            </w:r>
          </w:p>
        </w:tc>
        <w:tc>
          <w:tcPr>
            <w:tcW w:w="1537" w:type="dxa"/>
            <w:gridSpan w:val="2"/>
            <w:tcBorders>
              <w:top w:val="nil"/>
              <w:left w:val="nil"/>
              <w:bottom w:val="nil"/>
              <w:right w:val="nil"/>
            </w:tcBorders>
            <w:shd w:val="clear" w:color="auto" w:fill="auto"/>
            <w:noWrap/>
            <w:vAlign w:val="bottom"/>
            <w:hideMark/>
          </w:tcPr>
          <w:p w:rsidR="007E4BAA" w:rsidRPr="007E4BAA" w:rsidRDefault="007E4BAA" w:rsidP="007E4BAA">
            <w:pPr>
              <w:spacing w:after="0" w:line="240" w:lineRule="auto"/>
              <w:jc w:val="right"/>
              <w:rPr>
                <w:rFonts w:ascii="Calibri" w:eastAsia="Times New Roman" w:hAnsi="Calibri" w:cs="Times New Roman"/>
                <w:color w:val="000000"/>
                <w:lang w:eastAsia="es-ES"/>
              </w:rPr>
            </w:pPr>
            <w:r w:rsidRPr="007E4BAA">
              <w:rPr>
                <w:rFonts w:ascii="Calibri" w:eastAsia="Times New Roman" w:hAnsi="Calibri" w:cs="Times New Roman"/>
                <w:color w:val="000000"/>
                <w:lang w:eastAsia="es-ES"/>
              </w:rPr>
              <w:t>-30.13%</w:t>
            </w:r>
          </w:p>
        </w:tc>
      </w:tr>
      <w:tr w:rsidR="007E4BAA" w:rsidRPr="007E4BAA" w:rsidTr="005030C3">
        <w:trPr>
          <w:gridAfter w:val="1"/>
          <w:wAfter w:w="96" w:type="dxa"/>
          <w:trHeight w:val="315"/>
          <w:jc w:val="center"/>
        </w:trPr>
        <w:tc>
          <w:tcPr>
            <w:tcW w:w="2411" w:type="dxa"/>
            <w:gridSpan w:val="2"/>
            <w:tcBorders>
              <w:top w:val="nil"/>
              <w:left w:val="nil"/>
              <w:bottom w:val="nil"/>
              <w:right w:val="nil"/>
            </w:tcBorders>
            <w:shd w:val="clear" w:color="000000" w:fill="CCCCFF"/>
            <w:noWrap/>
            <w:vAlign w:val="bottom"/>
            <w:hideMark/>
          </w:tcPr>
          <w:p w:rsidR="007E4BAA" w:rsidRPr="007E4BAA" w:rsidRDefault="007E4BAA" w:rsidP="007E4BAA">
            <w:pPr>
              <w:spacing w:after="0" w:line="240" w:lineRule="auto"/>
              <w:rPr>
                <w:rFonts w:ascii="Calibri" w:eastAsia="Times New Roman" w:hAnsi="Calibri" w:cs="Times New Roman"/>
                <w:b/>
                <w:bCs/>
                <w:color w:val="000000"/>
                <w:lang w:eastAsia="es-ES"/>
              </w:rPr>
            </w:pPr>
            <w:proofErr w:type="spellStart"/>
            <w:r w:rsidRPr="007E4BAA">
              <w:rPr>
                <w:rFonts w:ascii="Calibri" w:eastAsia="Times New Roman" w:hAnsi="Calibri" w:cs="Times New Roman"/>
                <w:b/>
                <w:bCs/>
                <w:color w:val="000000"/>
                <w:lang w:eastAsia="es-ES"/>
              </w:rPr>
              <w:t>Other</w:t>
            </w:r>
            <w:proofErr w:type="spellEnd"/>
            <w:r w:rsidRPr="007E4BAA">
              <w:rPr>
                <w:rFonts w:ascii="Calibri" w:eastAsia="Times New Roman" w:hAnsi="Calibri" w:cs="Times New Roman"/>
                <w:b/>
                <w:bCs/>
                <w:color w:val="000000"/>
                <w:lang w:eastAsia="es-ES"/>
              </w:rPr>
              <w:t xml:space="preserve"> </w:t>
            </w:r>
            <w:proofErr w:type="spellStart"/>
            <w:r w:rsidRPr="007E4BAA">
              <w:rPr>
                <w:rFonts w:ascii="Calibri" w:eastAsia="Times New Roman" w:hAnsi="Calibri" w:cs="Times New Roman"/>
                <w:b/>
                <w:bCs/>
                <w:color w:val="000000"/>
                <w:lang w:eastAsia="es-ES"/>
              </w:rPr>
              <w:t>Education</w:t>
            </w:r>
            <w:proofErr w:type="spellEnd"/>
          </w:p>
        </w:tc>
        <w:tc>
          <w:tcPr>
            <w:tcW w:w="1198" w:type="dxa"/>
            <w:gridSpan w:val="2"/>
            <w:tcBorders>
              <w:top w:val="nil"/>
              <w:left w:val="nil"/>
              <w:bottom w:val="nil"/>
              <w:right w:val="nil"/>
            </w:tcBorders>
            <w:shd w:val="clear" w:color="000000" w:fill="CCCCFF"/>
            <w:noWrap/>
            <w:vAlign w:val="bottom"/>
            <w:hideMark/>
          </w:tcPr>
          <w:p w:rsidR="007E4BAA" w:rsidRPr="007E4BAA" w:rsidRDefault="007E4BAA" w:rsidP="007E4BAA">
            <w:pPr>
              <w:spacing w:after="0" w:line="240" w:lineRule="auto"/>
              <w:rPr>
                <w:rFonts w:ascii="Calibri" w:eastAsia="Times New Roman" w:hAnsi="Calibri" w:cs="Times New Roman"/>
                <w:b/>
                <w:bCs/>
                <w:color w:val="000000"/>
                <w:lang w:eastAsia="es-ES"/>
              </w:rPr>
            </w:pPr>
            <w:r w:rsidRPr="007E4BAA">
              <w:rPr>
                <w:rFonts w:ascii="Calibri" w:eastAsia="Times New Roman" w:hAnsi="Calibri" w:cs="Times New Roman"/>
                <w:b/>
                <w:bCs/>
                <w:color w:val="000000"/>
                <w:lang w:eastAsia="es-ES"/>
              </w:rPr>
              <w:t> </w:t>
            </w:r>
          </w:p>
        </w:tc>
        <w:tc>
          <w:tcPr>
            <w:tcW w:w="1197" w:type="dxa"/>
            <w:gridSpan w:val="2"/>
            <w:tcBorders>
              <w:top w:val="nil"/>
              <w:left w:val="nil"/>
              <w:bottom w:val="nil"/>
              <w:right w:val="nil"/>
            </w:tcBorders>
            <w:shd w:val="clear" w:color="000000" w:fill="CCCCFF"/>
            <w:noWrap/>
            <w:vAlign w:val="bottom"/>
            <w:hideMark/>
          </w:tcPr>
          <w:p w:rsidR="007E4BAA" w:rsidRPr="007E4BAA" w:rsidRDefault="007E4BAA" w:rsidP="007E4BAA">
            <w:pPr>
              <w:spacing w:after="0" w:line="240" w:lineRule="auto"/>
              <w:rPr>
                <w:rFonts w:ascii="Calibri" w:eastAsia="Times New Roman" w:hAnsi="Calibri" w:cs="Times New Roman"/>
                <w:b/>
                <w:bCs/>
                <w:color w:val="000000"/>
                <w:lang w:eastAsia="es-ES"/>
              </w:rPr>
            </w:pPr>
            <w:r w:rsidRPr="007E4BAA">
              <w:rPr>
                <w:rFonts w:ascii="Calibri" w:eastAsia="Times New Roman" w:hAnsi="Calibri" w:cs="Times New Roman"/>
                <w:b/>
                <w:bCs/>
                <w:color w:val="000000"/>
                <w:lang w:eastAsia="es-ES"/>
              </w:rPr>
              <w:t> </w:t>
            </w:r>
          </w:p>
        </w:tc>
        <w:tc>
          <w:tcPr>
            <w:tcW w:w="1197" w:type="dxa"/>
            <w:gridSpan w:val="2"/>
            <w:tcBorders>
              <w:top w:val="nil"/>
              <w:left w:val="nil"/>
              <w:bottom w:val="nil"/>
              <w:right w:val="nil"/>
            </w:tcBorders>
            <w:shd w:val="clear" w:color="000000" w:fill="CCCCFF"/>
            <w:noWrap/>
            <w:vAlign w:val="bottom"/>
            <w:hideMark/>
          </w:tcPr>
          <w:p w:rsidR="007E4BAA" w:rsidRPr="007E4BAA" w:rsidRDefault="007E4BAA" w:rsidP="007E4BAA">
            <w:pPr>
              <w:spacing w:after="0" w:line="240" w:lineRule="auto"/>
              <w:rPr>
                <w:rFonts w:ascii="Calibri" w:eastAsia="Times New Roman" w:hAnsi="Calibri" w:cs="Times New Roman"/>
                <w:b/>
                <w:bCs/>
                <w:color w:val="000000"/>
                <w:lang w:eastAsia="es-ES"/>
              </w:rPr>
            </w:pPr>
            <w:r w:rsidRPr="007E4BAA">
              <w:rPr>
                <w:rFonts w:ascii="Calibri" w:eastAsia="Times New Roman" w:hAnsi="Calibri" w:cs="Times New Roman"/>
                <w:b/>
                <w:bCs/>
                <w:color w:val="000000"/>
                <w:lang w:eastAsia="es-ES"/>
              </w:rPr>
              <w:t> </w:t>
            </w:r>
          </w:p>
        </w:tc>
        <w:tc>
          <w:tcPr>
            <w:tcW w:w="1537" w:type="dxa"/>
            <w:gridSpan w:val="2"/>
            <w:tcBorders>
              <w:top w:val="nil"/>
              <w:left w:val="nil"/>
              <w:bottom w:val="nil"/>
              <w:right w:val="nil"/>
            </w:tcBorders>
            <w:shd w:val="clear" w:color="000000" w:fill="CCCCFF"/>
            <w:noWrap/>
            <w:vAlign w:val="bottom"/>
            <w:hideMark/>
          </w:tcPr>
          <w:p w:rsidR="007E4BAA" w:rsidRPr="007E4BAA" w:rsidRDefault="007E4BAA" w:rsidP="007E4BAA">
            <w:pPr>
              <w:spacing w:after="0" w:line="240" w:lineRule="auto"/>
              <w:rPr>
                <w:rFonts w:ascii="Calibri" w:eastAsia="Times New Roman" w:hAnsi="Calibri" w:cs="Times New Roman"/>
                <w:b/>
                <w:bCs/>
                <w:color w:val="000000"/>
                <w:lang w:eastAsia="es-ES"/>
              </w:rPr>
            </w:pPr>
            <w:r w:rsidRPr="007E4BAA">
              <w:rPr>
                <w:rFonts w:ascii="Calibri" w:eastAsia="Times New Roman" w:hAnsi="Calibri" w:cs="Times New Roman"/>
                <w:b/>
                <w:bCs/>
                <w:color w:val="000000"/>
                <w:lang w:eastAsia="es-ES"/>
              </w:rPr>
              <w:t> </w:t>
            </w:r>
          </w:p>
        </w:tc>
      </w:tr>
      <w:tr w:rsidR="007E4BAA" w:rsidRPr="007E4BAA" w:rsidTr="005030C3">
        <w:trPr>
          <w:gridAfter w:val="1"/>
          <w:wAfter w:w="96" w:type="dxa"/>
          <w:trHeight w:val="300"/>
          <w:jc w:val="center"/>
        </w:trPr>
        <w:tc>
          <w:tcPr>
            <w:tcW w:w="1216" w:type="dxa"/>
            <w:tcBorders>
              <w:top w:val="nil"/>
              <w:left w:val="nil"/>
              <w:bottom w:val="nil"/>
              <w:right w:val="nil"/>
            </w:tcBorders>
            <w:shd w:val="clear" w:color="auto" w:fill="auto"/>
            <w:noWrap/>
            <w:vAlign w:val="bottom"/>
            <w:hideMark/>
          </w:tcPr>
          <w:p w:rsidR="007E4BAA" w:rsidRPr="007E4BAA" w:rsidRDefault="007E4BAA" w:rsidP="007E4BAA">
            <w:pPr>
              <w:spacing w:after="0" w:line="240" w:lineRule="auto"/>
              <w:rPr>
                <w:rFonts w:ascii="Calibri" w:eastAsia="Times New Roman" w:hAnsi="Calibri" w:cs="Times New Roman"/>
                <w:color w:val="000000"/>
                <w:lang w:eastAsia="es-ES"/>
              </w:rPr>
            </w:pPr>
            <w:r w:rsidRPr="007E4BAA">
              <w:rPr>
                <w:rFonts w:ascii="Calibri" w:eastAsia="Times New Roman" w:hAnsi="Calibri" w:cs="Times New Roman"/>
                <w:color w:val="000000"/>
                <w:lang w:eastAsia="es-ES"/>
              </w:rPr>
              <w:t>TOTAL</w:t>
            </w:r>
          </w:p>
        </w:tc>
        <w:tc>
          <w:tcPr>
            <w:tcW w:w="1195" w:type="dxa"/>
            <w:tcBorders>
              <w:top w:val="nil"/>
              <w:left w:val="nil"/>
              <w:bottom w:val="nil"/>
              <w:right w:val="nil"/>
            </w:tcBorders>
            <w:shd w:val="clear" w:color="auto" w:fill="auto"/>
            <w:noWrap/>
            <w:vAlign w:val="bottom"/>
            <w:hideMark/>
          </w:tcPr>
          <w:p w:rsidR="007E4BAA" w:rsidRPr="007E4BAA" w:rsidRDefault="007E4BAA" w:rsidP="007E4BAA">
            <w:pPr>
              <w:spacing w:after="0" w:line="240" w:lineRule="auto"/>
              <w:rPr>
                <w:rFonts w:ascii="Calibri" w:eastAsia="Times New Roman" w:hAnsi="Calibri" w:cs="Times New Roman"/>
                <w:color w:val="000000"/>
                <w:lang w:eastAsia="es-ES"/>
              </w:rPr>
            </w:pPr>
          </w:p>
        </w:tc>
        <w:tc>
          <w:tcPr>
            <w:tcW w:w="1198" w:type="dxa"/>
            <w:gridSpan w:val="2"/>
            <w:tcBorders>
              <w:top w:val="nil"/>
              <w:left w:val="nil"/>
              <w:bottom w:val="nil"/>
              <w:right w:val="nil"/>
            </w:tcBorders>
            <w:shd w:val="clear" w:color="auto" w:fill="auto"/>
            <w:noWrap/>
            <w:vAlign w:val="bottom"/>
            <w:hideMark/>
          </w:tcPr>
          <w:p w:rsidR="007E4BAA" w:rsidRPr="007E4BAA" w:rsidRDefault="007E4BAA" w:rsidP="007E4BAA">
            <w:pPr>
              <w:spacing w:after="0" w:line="240" w:lineRule="auto"/>
              <w:jc w:val="right"/>
              <w:rPr>
                <w:rFonts w:ascii="Calibri" w:eastAsia="Times New Roman" w:hAnsi="Calibri" w:cs="Times New Roman"/>
                <w:color w:val="000000"/>
                <w:lang w:eastAsia="es-ES"/>
              </w:rPr>
            </w:pPr>
            <w:r w:rsidRPr="007E4BAA">
              <w:rPr>
                <w:rFonts w:ascii="Calibri" w:eastAsia="Times New Roman" w:hAnsi="Calibri" w:cs="Times New Roman"/>
                <w:color w:val="000000"/>
                <w:lang w:eastAsia="es-ES"/>
              </w:rPr>
              <w:t>17.65%</w:t>
            </w:r>
          </w:p>
        </w:tc>
        <w:tc>
          <w:tcPr>
            <w:tcW w:w="1197" w:type="dxa"/>
            <w:gridSpan w:val="2"/>
            <w:tcBorders>
              <w:top w:val="nil"/>
              <w:left w:val="nil"/>
              <w:bottom w:val="nil"/>
              <w:right w:val="nil"/>
            </w:tcBorders>
            <w:shd w:val="clear" w:color="auto" w:fill="auto"/>
            <w:noWrap/>
            <w:vAlign w:val="bottom"/>
            <w:hideMark/>
          </w:tcPr>
          <w:p w:rsidR="007E4BAA" w:rsidRPr="007E4BAA" w:rsidRDefault="007E4BAA" w:rsidP="007E4BAA">
            <w:pPr>
              <w:spacing w:after="0" w:line="240" w:lineRule="auto"/>
              <w:jc w:val="right"/>
              <w:rPr>
                <w:rFonts w:ascii="Calibri" w:eastAsia="Times New Roman" w:hAnsi="Calibri" w:cs="Times New Roman"/>
                <w:color w:val="000000"/>
                <w:lang w:eastAsia="es-ES"/>
              </w:rPr>
            </w:pPr>
            <w:r w:rsidRPr="007E4BAA">
              <w:rPr>
                <w:rFonts w:ascii="Calibri" w:eastAsia="Times New Roman" w:hAnsi="Calibri" w:cs="Times New Roman"/>
                <w:color w:val="000000"/>
                <w:lang w:eastAsia="es-ES"/>
              </w:rPr>
              <w:t>4.83%</w:t>
            </w:r>
          </w:p>
        </w:tc>
        <w:tc>
          <w:tcPr>
            <w:tcW w:w="1197" w:type="dxa"/>
            <w:gridSpan w:val="2"/>
            <w:tcBorders>
              <w:top w:val="nil"/>
              <w:left w:val="nil"/>
              <w:bottom w:val="nil"/>
              <w:right w:val="nil"/>
            </w:tcBorders>
            <w:shd w:val="clear" w:color="auto" w:fill="auto"/>
            <w:noWrap/>
            <w:vAlign w:val="bottom"/>
            <w:hideMark/>
          </w:tcPr>
          <w:p w:rsidR="007E4BAA" w:rsidRPr="007E4BAA" w:rsidRDefault="007E4BAA" w:rsidP="007E4BAA">
            <w:pPr>
              <w:spacing w:after="0" w:line="240" w:lineRule="auto"/>
              <w:jc w:val="right"/>
              <w:rPr>
                <w:rFonts w:ascii="Calibri" w:eastAsia="Times New Roman" w:hAnsi="Calibri" w:cs="Times New Roman"/>
                <w:color w:val="000000"/>
                <w:lang w:eastAsia="es-ES"/>
              </w:rPr>
            </w:pPr>
            <w:r w:rsidRPr="007E4BAA">
              <w:rPr>
                <w:rFonts w:ascii="Calibri" w:eastAsia="Times New Roman" w:hAnsi="Calibri" w:cs="Times New Roman"/>
                <w:color w:val="000000"/>
                <w:lang w:eastAsia="es-ES"/>
              </w:rPr>
              <w:t>12.81%</w:t>
            </w:r>
          </w:p>
        </w:tc>
        <w:tc>
          <w:tcPr>
            <w:tcW w:w="1537" w:type="dxa"/>
            <w:gridSpan w:val="2"/>
            <w:tcBorders>
              <w:top w:val="nil"/>
              <w:left w:val="nil"/>
              <w:bottom w:val="nil"/>
              <w:right w:val="nil"/>
            </w:tcBorders>
            <w:shd w:val="clear" w:color="auto" w:fill="auto"/>
            <w:noWrap/>
            <w:vAlign w:val="bottom"/>
            <w:hideMark/>
          </w:tcPr>
          <w:p w:rsidR="007E4BAA" w:rsidRPr="007E4BAA" w:rsidRDefault="007E4BAA" w:rsidP="007E4BAA">
            <w:pPr>
              <w:spacing w:after="0" w:line="240" w:lineRule="auto"/>
              <w:jc w:val="right"/>
              <w:rPr>
                <w:rFonts w:ascii="Calibri" w:eastAsia="Times New Roman" w:hAnsi="Calibri" w:cs="Times New Roman"/>
                <w:color w:val="000000"/>
                <w:lang w:eastAsia="es-ES"/>
              </w:rPr>
            </w:pPr>
            <w:r w:rsidRPr="007E4BAA">
              <w:rPr>
                <w:rFonts w:ascii="Calibri" w:eastAsia="Times New Roman" w:hAnsi="Calibri" w:cs="Times New Roman"/>
                <w:color w:val="000000"/>
                <w:lang w:eastAsia="es-ES"/>
              </w:rPr>
              <w:t>32.38%</w:t>
            </w:r>
          </w:p>
        </w:tc>
      </w:tr>
      <w:tr w:rsidR="007E4BAA" w:rsidRPr="007E4BAA" w:rsidTr="005030C3">
        <w:trPr>
          <w:gridAfter w:val="1"/>
          <w:wAfter w:w="96" w:type="dxa"/>
          <w:trHeight w:val="300"/>
          <w:jc w:val="center"/>
        </w:trPr>
        <w:tc>
          <w:tcPr>
            <w:tcW w:w="1216" w:type="dxa"/>
            <w:tcBorders>
              <w:top w:val="nil"/>
              <w:left w:val="nil"/>
              <w:bottom w:val="nil"/>
              <w:right w:val="nil"/>
            </w:tcBorders>
            <w:shd w:val="clear" w:color="auto" w:fill="auto"/>
            <w:noWrap/>
            <w:vAlign w:val="bottom"/>
            <w:hideMark/>
          </w:tcPr>
          <w:p w:rsidR="007E4BAA" w:rsidRPr="007E4BAA" w:rsidRDefault="007E4BAA" w:rsidP="007E4BAA">
            <w:pPr>
              <w:spacing w:after="0" w:line="240" w:lineRule="auto"/>
              <w:rPr>
                <w:rFonts w:ascii="Calibri" w:eastAsia="Times New Roman" w:hAnsi="Calibri" w:cs="Times New Roman"/>
                <w:color w:val="000000"/>
                <w:lang w:eastAsia="es-ES"/>
              </w:rPr>
            </w:pPr>
            <w:r w:rsidRPr="007E4BAA">
              <w:rPr>
                <w:rFonts w:ascii="Calibri" w:eastAsia="Times New Roman" w:hAnsi="Calibri" w:cs="Times New Roman"/>
                <w:color w:val="000000"/>
                <w:lang w:eastAsia="es-ES"/>
              </w:rPr>
              <w:t xml:space="preserve">   </w:t>
            </w:r>
            <w:proofErr w:type="spellStart"/>
            <w:r w:rsidRPr="007E4BAA">
              <w:rPr>
                <w:rFonts w:ascii="Calibri" w:eastAsia="Times New Roman" w:hAnsi="Calibri" w:cs="Times New Roman"/>
                <w:color w:val="000000"/>
                <w:lang w:eastAsia="es-ES"/>
              </w:rPr>
              <w:t>Wages</w:t>
            </w:r>
            <w:proofErr w:type="spellEnd"/>
          </w:p>
        </w:tc>
        <w:tc>
          <w:tcPr>
            <w:tcW w:w="1195" w:type="dxa"/>
            <w:tcBorders>
              <w:top w:val="nil"/>
              <w:left w:val="nil"/>
              <w:bottom w:val="nil"/>
              <w:right w:val="nil"/>
            </w:tcBorders>
            <w:shd w:val="clear" w:color="auto" w:fill="auto"/>
            <w:noWrap/>
            <w:vAlign w:val="bottom"/>
            <w:hideMark/>
          </w:tcPr>
          <w:p w:rsidR="007E4BAA" w:rsidRPr="007E4BAA" w:rsidRDefault="007E4BAA" w:rsidP="007E4BAA">
            <w:pPr>
              <w:spacing w:after="0" w:line="240" w:lineRule="auto"/>
              <w:rPr>
                <w:rFonts w:ascii="Calibri" w:eastAsia="Times New Roman" w:hAnsi="Calibri" w:cs="Times New Roman"/>
                <w:color w:val="000000"/>
                <w:lang w:eastAsia="es-ES"/>
              </w:rPr>
            </w:pPr>
          </w:p>
        </w:tc>
        <w:tc>
          <w:tcPr>
            <w:tcW w:w="1198" w:type="dxa"/>
            <w:gridSpan w:val="2"/>
            <w:tcBorders>
              <w:top w:val="nil"/>
              <w:left w:val="nil"/>
              <w:bottom w:val="nil"/>
              <w:right w:val="nil"/>
            </w:tcBorders>
            <w:shd w:val="clear" w:color="auto" w:fill="auto"/>
            <w:noWrap/>
            <w:vAlign w:val="bottom"/>
            <w:hideMark/>
          </w:tcPr>
          <w:p w:rsidR="007E4BAA" w:rsidRPr="007E4BAA" w:rsidRDefault="007E4BAA" w:rsidP="007E4BAA">
            <w:pPr>
              <w:spacing w:after="0" w:line="240" w:lineRule="auto"/>
              <w:jc w:val="right"/>
              <w:rPr>
                <w:rFonts w:ascii="Calibri" w:eastAsia="Times New Roman" w:hAnsi="Calibri" w:cs="Times New Roman"/>
                <w:color w:val="000000"/>
                <w:lang w:eastAsia="es-ES"/>
              </w:rPr>
            </w:pPr>
            <w:r w:rsidRPr="007E4BAA">
              <w:rPr>
                <w:rFonts w:ascii="Calibri" w:eastAsia="Times New Roman" w:hAnsi="Calibri" w:cs="Times New Roman"/>
                <w:color w:val="000000"/>
                <w:lang w:eastAsia="es-ES"/>
              </w:rPr>
              <w:t>-1.06%</w:t>
            </w:r>
          </w:p>
        </w:tc>
        <w:tc>
          <w:tcPr>
            <w:tcW w:w="1197" w:type="dxa"/>
            <w:gridSpan w:val="2"/>
            <w:tcBorders>
              <w:top w:val="nil"/>
              <w:left w:val="nil"/>
              <w:bottom w:val="nil"/>
              <w:right w:val="nil"/>
            </w:tcBorders>
            <w:shd w:val="clear" w:color="auto" w:fill="auto"/>
            <w:noWrap/>
            <w:vAlign w:val="bottom"/>
            <w:hideMark/>
          </w:tcPr>
          <w:p w:rsidR="007E4BAA" w:rsidRPr="007E4BAA" w:rsidRDefault="007E4BAA" w:rsidP="007E4BAA">
            <w:pPr>
              <w:spacing w:after="0" w:line="240" w:lineRule="auto"/>
              <w:jc w:val="right"/>
              <w:rPr>
                <w:rFonts w:ascii="Calibri" w:eastAsia="Times New Roman" w:hAnsi="Calibri" w:cs="Times New Roman"/>
                <w:color w:val="000000"/>
                <w:lang w:eastAsia="es-ES"/>
              </w:rPr>
            </w:pPr>
            <w:r w:rsidRPr="007E4BAA">
              <w:rPr>
                <w:rFonts w:ascii="Calibri" w:eastAsia="Times New Roman" w:hAnsi="Calibri" w:cs="Times New Roman"/>
                <w:color w:val="000000"/>
                <w:lang w:eastAsia="es-ES"/>
              </w:rPr>
              <w:t>-7.06%</w:t>
            </w:r>
          </w:p>
        </w:tc>
        <w:tc>
          <w:tcPr>
            <w:tcW w:w="1197" w:type="dxa"/>
            <w:gridSpan w:val="2"/>
            <w:tcBorders>
              <w:top w:val="nil"/>
              <w:left w:val="nil"/>
              <w:bottom w:val="nil"/>
              <w:right w:val="nil"/>
            </w:tcBorders>
            <w:shd w:val="clear" w:color="auto" w:fill="auto"/>
            <w:noWrap/>
            <w:vAlign w:val="bottom"/>
            <w:hideMark/>
          </w:tcPr>
          <w:p w:rsidR="007E4BAA" w:rsidRPr="007E4BAA" w:rsidRDefault="007E4BAA" w:rsidP="007E4BAA">
            <w:pPr>
              <w:spacing w:after="0" w:line="240" w:lineRule="auto"/>
              <w:jc w:val="right"/>
              <w:rPr>
                <w:rFonts w:ascii="Calibri" w:eastAsia="Times New Roman" w:hAnsi="Calibri" w:cs="Times New Roman"/>
                <w:color w:val="000000"/>
                <w:lang w:eastAsia="es-ES"/>
              </w:rPr>
            </w:pPr>
            <w:r w:rsidRPr="007E4BAA">
              <w:rPr>
                <w:rFonts w:ascii="Calibri" w:eastAsia="Times New Roman" w:hAnsi="Calibri" w:cs="Times New Roman"/>
                <w:color w:val="000000"/>
                <w:lang w:eastAsia="es-ES"/>
              </w:rPr>
              <w:t>-11.71%</w:t>
            </w:r>
          </w:p>
        </w:tc>
        <w:tc>
          <w:tcPr>
            <w:tcW w:w="1537" w:type="dxa"/>
            <w:gridSpan w:val="2"/>
            <w:tcBorders>
              <w:top w:val="nil"/>
              <w:left w:val="nil"/>
              <w:bottom w:val="nil"/>
              <w:right w:val="nil"/>
            </w:tcBorders>
            <w:shd w:val="clear" w:color="auto" w:fill="auto"/>
            <w:noWrap/>
            <w:vAlign w:val="bottom"/>
            <w:hideMark/>
          </w:tcPr>
          <w:p w:rsidR="007E4BAA" w:rsidRPr="007E4BAA" w:rsidRDefault="007E4BAA" w:rsidP="007E4BAA">
            <w:pPr>
              <w:spacing w:after="0" w:line="240" w:lineRule="auto"/>
              <w:jc w:val="right"/>
              <w:rPr>
                <w:rFonts w:ascii="Calibri" w:eastAsia="Times New Roman" w:hAnsi="Calibri" w:cs="Times New Roman"/>
                <w:color w:val="000000"/>
                <w:lang w:eastAsia="es-ES"/>
              </w:rPr>
            </w:pPr>
            <w:r w:rsidRPr="007E4BAA">
              <w:rPr>
                <w:rFonts w:ascii="Calibri" w:eastAsia="Times New Roman" w:hAnsi="Calibri" w:cs="Times New Roman"/>
                <w:color w:val="000000"/>
                <w:lang w:eastAsia="es-ES"/>
              </w:rPr>
              <w:t>-13.45%</w:t>
            </w:r>
          </w:p>
        </w:tc>
      </w:tr>
      <w:tr w:rsidR="007E4BAA" w:rsidRPr="007E4BAA" w:rsidTr="005030C3">
        <w:trPr>
          <w:gridAfter w:val="1"/>
          <w:wAfter w:w="96" w:type="dxa"/>
          <w:trHeight w:val="300"/>
          <w:jc w:val="center"/>
        </w:trPr>
        <w:tc>
          <w:tcPr>
            <w:tcW w:w="2411" w:type="dxa"/>
            <w:gridSpan w:val="2"/>
            <w:tcBorders>
              <w:top w:val="nil"/>
              <w:left w:val="nil"/>
              <w:bottom w:val="nil"/>
              <w:right w:val="nil"/>
            </w:tcBorders>
            <w:shd w:val="clear" w:color="auto" w:fill="auto"/>
            <w:noWrap/>
            <w:vAlign w:val="bottom"/>
            <w:hideMark/>
          </w:tcPr>
          <w:p w:rsidR="007E4BAA" w:rsidRPr="007E4BAA" w:rsidRDefault="007E4BAA" w:rsidP="007E4BAA">
            <w:pPr>
              <w:spacing w:after="0" w:line="240" w:lineRule="auto"/>
              <w:rPr>
                <w:rFonts w:ascii="Calibri" w:eastAsia="Times New Roman" w:hAnsi="Calibri" w:cs="Times New Roman"/>
                <w:color w:val="000000"/>
                <w:lang w:eastAsia="es-ES"/>
              </w:rPr>
            </w:pPr>
            <w:r w:rsidRPr="007E4BAA">
              <w:rPr>
                <w:rFonts w:ascii="Calibri" w:eastAsia="Times New Roman" w:hAnsi="Calibri" w:cs="Times New Roman"/>
                <w:color w:val="000000"/>
                <w:lang w:eastAsia="es-ES"/>
              </w:rPr>
              <w:t xml:space="preserve">   Non-</w:t>
            </w:r>
            <w:proofErr w:type="spellStart"/>
            <w:r w:rsidRPr="007E4BAA">
              <w:rPr>
                <w:rFonts w:ascii="Calibri" w:eastAsia="Times New Roman" w:hAnsi="Calibri" w:cs="Times New Roman"/>
                <w:color w:val="000000"/>
                <w:lang w:eastAsia="es-ES"/>
              </w:rPr>
              <w:t>Wages</w:t>
            </w:r>
            <w:proofErr w:type="spellEnd"/>
          </w:p>
        </w:tc>
        <w:tc>
          <w:tcPr>
            <w:tcW w:w="1198" w:type="dxa"/>
            <w:gridSpan w:val="2"/>
            <w:tcBorders>
              <w:top w:val="nil"/>
              <w:left w:val="nil"/>
              <w:bottom w:val="nil"/>
              <w:right w:val="nil"/>
            </w:tcBorders>
            <w:shd w:val="clear" w:color="auto" w:fill="auto"/>
            <w:noWrap/>
            <w:vAlign w:val="bottom"/>
            <w:hideMark/>
          </w:tcPr>
          <w:p w:rsidR="007E4BAA" w:rsidRPr="007E4BAA" w:rsidRDefault="007E4BAA" w:rsidP="007E4BAA">
            <w:pPr>
              <w:spacing w:after="0" w:line="240" w:lineRule="auto"/>
              <w:jc w:val="right"/>
              <w:rPr>
                <w:rFonts w:ascii="Calibri" w:eastAsia="Times New Roman" w:hAnsi="Calibri" w:cs="Times New Roman"/>
                <w:color w:val="000000"/>
                <w:lang w:eastAsia="es-ES"/>
              </w:rPr>
            </w:pPr>
            <w:r w:rsidRPr="007E4BAA">
              <w:rPr>
                <w:rFonts w:ascii="Calibri" w:eastAsia="Times New Roman" w:hAnsi="Calibri" w:cs="Times New Roman"/>
                <w:color w:val="000000"/>
                <w:lang w:eastAsia="es-ES"/>
              </w:rPr>
              <w:t>107.19%</w:t>
            </w:r>
          </w:p>
        </w:tc>
        <w:tc>
          <w:tcPr>
            <w:tcW w:w="1197" w:type="dxa"/>
            <w:gridSpan w:val="2"/>
            <w:tcBorders>
              <w:top w:val="nil"/>
              <w:left w:val="nil"/>
              <w:bottom w:val="nil"/>
              <w:right w:val="nil"/>
            </w:tcBorders>
            <w:shd w:val="clear" w:color="auto" w:fill="auto"/>
            <w:noWrap/>
            <w:vAlign w:val="bottom"/>
            <w:hideMark/>
          </w:tcPr>
          <w:p w:rsidR="007E4BAA" w:rsidRPr="007E4BAA" w:rsidRDefault="007E4BAA" w:rsidP="007E4BAA">
            <w:pPr>
              <w:spacing w:after="0" w:line="240" w:lineRule="auto"/>
              <w:jc w:val="right"/>
              <w:rPr>
                <w:rFonts w:ascii="Calibri" w:eastAsia="Times New Roman" w:hAnsi="Calibri" w:cs="Times New Roman"/>
                <w:color w:val="000000"/>
                <w:lang w:eastAsia="es-ES"/>
              </w:rPr>
            </w:pPr>
            <w:r w:rsidRPr="007E4BAA">
              <w:rPr>
                <w:rFonts w:ascii="Calibri" w:eastAsia="Times New Roman" w:hAnsi="Calibri" w:cs="Times New Roman"/>
                <w:color w:val="000000"/>
                <w:lang w:eastAsia="es-ES"/>
              </w:rPr>
              <w:t>51.12%</w:t>
            </w:r>
          </w:p>
        </w:tc>
        <w:tc>
          <w:tcPr>
            <w:tcW w:w="1197" w:type="dxa"/>
            <w:gridSpan w:val="2"/>
            <w:tcBorders>
              <w:top w:val="nil"/>
              <w:left w:val="nil"/>
              <w:bottom w:val="nil"/>
              <w:right w:val="nil"/>
            </w:tcBorders>
            <w:shd w:val="clear" w:color="auto" w:fill="auto"/>
            <w:noWrap/>
            <w:vAlign w:val="bottom"/>
            <w:hideMark/>
          </w:tcPr>
          <w:p w:rsidR="007E4BAA" w:rsidRPr="007E4BAA" w:rsidRDefault="007E4BAA" w:rsidP="007E4BAA">
            <w:pPr>
              <w:spacing w:after="0" w:line="240" w:lineRule="auto"/>
              <w:jc w:val="right"/>
              <w:rPr>
                <w:rFonts w:ascii="Calibri" w:eastAsia="Times New Roman" w:hAnsi="Calibri" w:cs="Times New Roman"/>
                <w:color w:val="000000"/>
                <w:lang w:eastAsia="es-ES"/>
              </w:rPr>
            </w:pPr>
            <w:r w:rsidRPr="007E4BAA">
              <w:rPr>
                <w:rFonts w:ascii="Calibri" w:eastAsia="Times New Roman" w:hAnsi="Calibri" w:cs="Times New Roman"/>
                <w:color w:val="000000"/>
                <w:lang w:eastAsia="es-ES"/>
              </w:rPr>
              <w:t>97.77%</w:t>
            </w:r>
          </w:p>
        </w:tc>
        <w:tc>
          <w:tcPr>
            <w:tcW w:w="1537" w:type="dxa"/>
            <w:gridSpan w:val="2"/>
            <w:tcBorders>
              <w:top w:val="nil"/>
              <w:left w:val="nil"/>
              <w:bottom w:val="nil"/>
              <w:right w:val="nil"/>
            </w:tcBorders>
            <w:shd w:val="clear" w:color="auto" w:fill="auto"/>
            <w:noWrap/>
            <w:vAlign w:val="bottom"/>
            <w:hideMark/>
          </w:tcPr>
          <w:p w:rsidR="007E4BAA" w:rsidRPr="007E4BAA" w:rsidRDefault="007E4BAA" w:rsidP="007E4BAA">
            <w:pPr>
              <w:spacing w:after="0" w:line="240" w:lineRule="auto"/>
              <w:jc w:val="right"/>
              <w:rPr>
                <w:rFonts w:ascii="Calibri" w:eastAsia="Times New Roman" w:hAnsi="Calibri" w:cs="Times New Roman"/>
                <w:color w:val="000000"/>
                <w:lang w:eastAsia="es-ES"/>
              </w:rPr>
            </w:pPr>
            <w:r w:rsidRPr="007E4BAA">
              <w:rPr>
                <w:rFonts w:ascii="Calibri" w:eastAsia="Times New Roman" w:hAnsi="Calibri" w:cs="Times New Roman"/>
                <w:color w:val="000000"/>
                <w:lang w:eastAsia="es-ES"/>
              </w:rPr>
              <w:t>286.41%</w:t>
            </w:r>
          </w:p>
        </w:tc>
      </w:tr>
      <w:tr w:rsidR="007E4BAA" w:rsidRPr="007E4BAA" w:rsidTr="005030C3">
        <w:trPr>
          <w:gridAfter w:val="1"/>
          <w:wAfter w:w="96" w:type="dxa"/>
          <w:trHeight w:val="300"/>
          <w:jc w:val="center"/>
        </w:trPr>
        <w:tc>
          <w:tcPr>
            <w:tcW w:w="1216" w:type="dxa"/>
            <w:tcBorders>
              <w:top w:val="nil"/>
              <w:left w:val="nil"/>
              <w:bottom w:val="nil"/>
              <w:right w:val="nil"/>
            </w:tcBorders>
            <w:shd w:val="clear" w:color="auto" w:fill="auto"/>
            <w:noWrap/>
            <w:vAlign w:val="bottom"/>
            <w:hideMark/>
          </w:tcPr>
          <w:p w:rsidR="007E4BAA" w:rsidRPr="007E4BAA" w:rsidRDefault="007E4BAA" w:rsidP="007E4BAA">
            <w:pPr>
              <w:spacing w:after="0" w:line="240" w:lineRule="auto"/>
              <w:rPr>
                <w:rFonts w:ascii="Calibri" w:eastAsia="Times New Roman" w:hAnsi="Calibri" w:cs="Times New Roman"/>
                <w:color w:val="000000"/>
                <w:lang w:eastAsia="es-ES"/>
              </w:rPr>
            </w:pPr>
            <w:r w:rsidRPr="007E4BAA">
              <w:rPr>
                <w:rFonts w:ascii="Calibri" w:eastAsia="Times New Roman" w:hAnsi="Calibri" w:cs="Times New Roman"/>
                <w:color w:val="000000"/>
                <w:lang w:eastAsia="es-ES"/>
              </w:rPr>
              <w:t xml:space="preserve">   Capital</w:t>
            </w:r>
          </w:p>
        </w:tc>
        <w:tc>
          <w:tcPr>
            <w:tcW w:w="1195" w:type="dxa"/>
            <w:tcBorders>
              <w:top w:val="nil"/>
              <w:left w:val="nil"/>
              <w:bottom w:val="nil"/>
              <w:right w:val="nil"/>
            </w:tcBorders>
            <w:shd w:val="clear" w:color="auto" w:fill="auto"/>
            <w:noWrap/>
            <w:vAlign w:val="bottom"/>
            <w:hideMark/>
          </w:tcPr>
          <w:p w:rsidR="007E4BAA" w:rsidRPr="007E4BAA" w:rsidRDefault="007E4BAA" w:rsidP="007E4BAA">
            <w:pPr>
              <w:spacing w:after="0" w:line="240" w:lineRule="auto"/>
              <w:rPr>
                <w:rFonts w:ascii="Calibri" w:eastAsia="Times New Roman" w:hAnsi="Calibri" w:cs="Times New Roman"/>
                <w:color w:val="000000"/>
                <w:lang w:eastAsia="es-ES"/>
              </w:rPr>
            </w:pPr>
          </w:p>
        </w:tc>
        <w:tc>
          <w:tcPr>
            <w:tcW w:w="1198" w:type="dxa"/>
            <w:gridSpan w:val="2"/>
            <w:tcBorders>
              <w:top w:val="nil"/>
              <w:left w:val="nil"/>
              <w:bottom w:val="nil"/>
              <w:right w:val="nil"/>
            </w:tcBorders>
            <w:shd w:val="clear" w:color="auto" w:fill="auto"/>
            <w:noWrap/>
            <w:vAlign w:val="bottom"/>
            <w:hideMark/>
          </w:tcPr>
          <w:p w:rsidR="007E4BAA" w:rsidRPr="007E4BAA" w:rsidRDefault="007E4BAA" w:rsidP="007E4BAA">
            <w:pPr>
              <w:spacing w:after="0" w:line="240" w:lineRule="auto"/>
              <w:jc w:val="right"/>
              <w:rPr>
                <w:rFonts w:ascii="Calibri" w:eastAsia="Times New Roman" w:hAnsi="Calibri" w:cs="Times New Roman"/>
                <w:color w:val="000000"/>
                <w:lang w:eastAsia="es-ES"/>
              </w:rPr>
            </w:pPr>
            <w:r w:rsidRPr="007E4BAA">
              <w:rPr>
                <w:rFonts w:ascii="Calibri" w:eastAsia="Times New Roman" w:hAnsi="Calibri" w:cs="Times New Roman"/>
                <w:color w:val="000000"/>
                <w:lang w:eastAsia="es-ES"/>
              </w:rPr>
              <w:t>105.69%</w:t>
            </w:r>
          </w:p>
        </w:tc>
        <w:tc>
          <w:tcPr>
            <w:tcW w:w="1197" w:type="dxa"/>
            <w:gridSpan w:val="2"/>
            <w:tcBorders>
              <w:top w:val="nil"/>
              <w:left w:val="nil"/>
              <w:bottom w:val="nil"/>
              <w:right w:val="nil"/>
            </w:tcBorders>
            <w:shd w:val="clear" w:color="auto" w:fill="auto"/>
            <w:noWrap/>
            <w:vAlign w:val="bottom"/>
            <w:hideMark/>
          </w:tcPr>
          <w:p w:rsidR="007E4BAA" w:rsidRPr="007E4BAA" w:rsidRDefault="007E4BAA" w:rsidP="007E4BAA">
            <w:pPr>
              <w:spacing w:after="0" w:line="240" w:lineRule="auto"/>
              <w:jc w:val="right"/>
              <w:rPr>
                <w:rFonts w:ascii="Calibri" w:eastAsia="Times New Roman" w:hAnsi="Calibri" w:cs="Times New Roman"/>
                <w:color w:val="000000"/>
                <w:lang w:eastAsia="es-ES"/>
              </w:rPr>
            </w:pPr>
            <w:r w:rsidRPr="007E4BAA">
              <w:rPr>
                <w:rFonts w:ascii="Calibri" w:eastAsia="Times New Roman" w:hAnsi="Calibri" w:cs="Times New Roman"/>
                <w:color w:val="000000"/>
                <w:lang w:eastAsia="es-ES"/>
              </w:rPr>
              <w:t>98.14%</w:t>
            </w:r>
          </w:p>
        </w:tc>
        <w:tc>
          <w:tcPr>
            <w:tcW w:w="1197" w:type="dxa"/>
            <w:gridSpan w:val="2"/>
            <w:tcBorders>
              <w:top w:val="nil"/>
              <w:left w:val="nil"/>
              <w:bottom w:val="nil"/>
              <w:right w:val="nil"/>
            </w:tcBorders>
            <w:shd w:val="clear" w:color="auto" w:fill="auto"/>
            <w:noWrap/>
            <w:vAlign w:val="bottom"/>
            <w:hideMark/>
          </w:tcPr>
          <w:p w:rsidR="007E4BAA" w:rsidRPr="007E4BAA" w:rsidRDefault="007E4BAA" w:rsidP="007E4BAA">
            <w:pPr>
              <w:spacing w:after="0" w:line="240" w:lineRule="auto"/>
              <w:jc w:val="right"/>
              <w:rPr>
                <w:rFonts w:ascii="Calibri" w:eastAsia="Times New Roman" w:hAnsi="Calibri" w:cs="Times New Roman"/>
                <w:color w:val="000000"/>
                <w:lang w:eastAsia="es-ES"/>
              </w:rPr>
            </w:pPr>
            <w:r w:rsidRPr="007E4BAA">
              <w:rPr>
                <w:rFonts w:ascii="Calibri" w:eastAsia="Times New Roman" w:hAnsi="Calibri" w:cs="Times New Roman"/>
                <w:color w:val="000000"/>
                <w:lang w:eastAsia="es-ES"/>
              </w:rPr>
              <w:t>242.09%</w:t>
            </w:r>
          </w:p>
        </w:tc>
        <w:tc>
          <w:tcPr>
            <w:tcW w:w="1537" w:type="dxa"/>
            <w:gridSpan w:val="2"/>
            <w:tcBorders>
              <w:top w:val="nil"/>
              <w:left w:val="nil"/>
              <w:bottom w:val="nil"/>
              <w:right w:val="nil"/>
            </w:tcBorders>
            <w:shd w:val="clear" w:color="auto" w:fill="auto"/>
            <w:noWrap/>
            <w:vAlign w:val="bottom"/>
            <w:hideMark/>
          </w:tcPr>
          <w:p w:rsidR="007E4BAA" w:rsidRPr="007E4BAA" w:rsidRDefault="007E4BAA" w:rsidP="007E4BAA">
            <w:pPr>
              <w:spacing w:after="0" w:line="240" w:lineRule="auto"/>
              <w:jc w:val="right"/>
              <w:rPr>
                <w:rFonts w:ascii="Calibri" w:eastAsia="Times New Roman" w:hAnsi="Calibri" w:cs="Times New Roman"/>
                <w:color w:val="000000"/>
                <w:lang w:eastAsia="es-ES"/>
              </w:rPr>
            </w:pPr>
            <w:r w:rsidRPr="007E4BAA">
              <w:rPr>
                <w:rFonts w:ascii="Calibri" w:eastAsia="Times New Roman" w:hAnsi="Calibri" w:cs="Times New Roman"/>
                <w:color w:val="000000"/>
                <w:lang w:eastAsia="es-ES"/>
              </w:rPr>
              <w:t>126.33%</w:t>
            </w:r>
          </w:p>
        </w:tc>
      </w:tr>
      <w:tr w:rsidR="007E4BAA" w:rsidRPr="007E4BAA" w:rsidTr="005030C3">
        <w:trPr>
          <w:gridAfter w:val="1"/>
          <w:wAfter w:w="96" w:type="dxa"/>
          <w:trHeight w:val="315"/>
          <w:jc w:val="center"/>
        </w:trPr>
        <w:tc>
          <w:tcPr>
            <w:tcW w:w="4806" w:type="dxa"/>
            <w:gridSpan w:val="6"/>
            <w:tcBorders>
              <w:top w:val="nil"/>
              <w:left w:val="nil"/>
              <w:bottom w:val="nil"/>
              <w:right w:val="nil"/>
            </w:tcBorders>
            <w:shd w:val="clear" w:color="000000" w:fill="CCCCFF"/>
            <w:noWrap/>
            <w:vAlign w:val="bottom"/>
            <w:hideMark/>
          </w:tcPr>
          <w:p w:rsidR="007E4BAA" w:rsidRPr="007E4BAA" w:rsidRDefault="007E4BAA" w:rsidP="007E4BAA">
            <w:pPr>
              <w:spacing w:after="0" w:line="240" w:lineRule="auto"/>
              <w:rPr>
                <w:rFonts w:ascii="Calibri" w:eastAsia="Times New Roman" w:hAnsi="Calibri" w:cs="Times New Roman"/>
                <w:b/>
                <w:bCs/>
                <w:color w:val="000000"/>
                <w:lang w:eastAsia="es-ES"/>
              </w:rPr>
            </w:pPr>
            <w:r w:rsidRPr="007E4BAA">
              <w:rPr>
                <w:rFonts w:ascii="Calibri" w:eastAsia="Times New Roman" w:hAnsi="Calibri" w:cs="Times New Roman"/>
                <w:b/>
                <w:bCs/>
                <w:color w:val="000000"/>
                <w:lang w:eastAsia="es-ES"/>
              </w:rPr>
              <w:t xml:space="preserve">Ministerial and Regional </w:t>
            </w:r>
            <w:proofErr w:type="spellStart"/>
            <w:r w:rsidRPr="007E4BAA">
              <w:rPr>
                <w:rFonts w:ascii="Calibri" w:eastAsia="Times New Roman" w:hAnsi="Calibri" w:cs="Times New Roman"/>
                <w:b/>
                <w:bCs/>
                <w:color w:val="000000"/>
                <w:lang w:eastAsia="es-ES"/>
              </w:rPr>
              <w:t>Administration</w:t>
            </w:r>
            <w:proofErr w:type="spellEnd"/>
          </w:p>
        </w:tc>
        <w:tc>
          <w:tcPr>
            <w:tcW w:w="1197" w:type="dxa"/>
            <w:gridSpan w:val="2"/>
            <w:tcBorders>
              <w:top w:val="nil"/>
              <w:left w:val="nil"/>
              <w:bottom w:val="nil"/>
              <w:right w:val="nil"/>
            </w:tcBorders>
            <w:shd w:val="clear" w:color="000000" w:fill="CCCCFF"/>
            <w:noWrap/>
            <w:vAlign w:val="bottom"/>
            <w:hideMark/>
          </w:tcPr>
          <w:p w:rsidR="007E4BAA" w:rsidRPr="007E4BAA" w:rsidRDefault="007E4BAA" w:rsidP="007E4BAA">
            <w:pPr>
              <w:spacing w:after="0" w:line="240" w:lineRule="auto"/>
              <w:rPr>
                <w:rFonts w:ascii="Calibri" w:eastAsia="Times New Roman" w:hAnsi="Calibri" w:cs="Times New Roman"/>
                <w:b/>
                <w:bCs/>
                <w:color w:val="000000"/>
                <w:lang w:eastAsia="es-ES"/>
              </w:rPr>
            </w:pPr>
            <w:r w:rsidRPr="007E4BAA">
              <w:rPr>
                <w:rFonts w:ascii="Calibri" w:eastAsia="Times New Roman" w:hAnsi="Calibri" w:cs="Times New Roman"/>
                <w:b/>
                <w:bCs/>
                <w:color w:val="000000"/>
                <w:lang w:eastAsia="es-ES"/>
              </w:rPr>
              <w:t> </w:t>
            </w:r>
          </w:p>
        </w:tc>
        <w:tc>
          <w:tcPr>
            <w:tcW w:w="1537" w:type="dxa"/>
            <w:gridSpan w:val="2"/>
            <w:tcBorders>
              <w:top w:val="nil"/>
              <w:left w:val="nil"/>
              <w:bottom w:val="nil"/>
              <w:right w:val="nil"/>
            </w:tcBorders>
            <w:shd w:val="clear" w:color="000000" w:fill="CCCCFF"/>
            <w:noWrap/>
            <w:vAlign w:val="bottom"/>
            <w:hideMark/>
          </w:tcPr>
          <w:p w:rsidR="007E4BAA" w:rsidRPr="007E4BAA" w:rsidRDefault="007E4BAA" w:rsidP="007E4BAA">
            <w:pPr>
              <w:spacing w:after="0" w:line="240" w:lineRule="auto"/>
              <w:rPr>
                <w:rFonts w:ascii="Calibri" w:eastAsia="Times New Roman" w:hAnsi="Calibri" w:cs="Times New Roman"/>
                <w:b/>
                <w:bCs/>
                <w:color w:val="000000"/>
                <w:lang w:eastAsia="es-ES"/>
              </w:rPr>
            </w:pPr>
            <w:r w:rsidRPr="007E4BAA">
              <w:rPr>
                <w:rFonts w:ascii="Calibri" w:eastAsia="Times New Roman" w:hAnsi="Calibri" w:cs="Times New Roman"/>
                <w:b/>
                <w:bCs/>
                <w:color w:val="000000"/>
                <w:lang w:eastAsia="es-ES"/>
              </w:rPr>
              <w:t> </w:t>
            </w:r>
          </w:p>
        </w:tc>
      </w:tr>
      <w:tr w:rsidR="007E4BAA" w:rsidRPr="007E4BAA" w:rsidTr="005030C3">
        <w:trPr>
          <w:gridAfter w:val="1"/>
          <w:wAfter w:w="96" w:type="dxa"/>
          <w:trHeight w:val="300"/>
          <w:jc w:val="center"/>
        </w:trPr>
        <w:tc>
          <w:tcPr>
            <w:tcW w:w="1216" w:type="dxa"/>
            <w:tcBorders>
              <w:top w:val="nil"/>
              <w:left w:val="nil"/>
              <w:bottom w:val="nil"/>
              <w:right w:val="nil"/>
            </w:tcBorders>
            <w:shd w:val="clear" w:color="auto" w:fill="auto"/>
            <w:noWrap/>
            <w:vAlign w:val="bottom"/>
            <w:hideMark/>
          </w:tcPr>
          <w:p w:rsidR="007E4BAA" w:rsidRPr="007E4BAA" w:rsidRDefault="007E4BAA" w:rsidP="007E4BAA">
            <w:pPr>
              <w:spacing w:after="0" w:line="240" w:lineRule="auto"/>
              <w:rPr>
                <w:rFonts w:ascii="Calibri" w:eastAsia="Times New Roman" w:hAnsi="Calibri" w:cs="Times New Roman"/>
                <w:color w:val="000000"/>
                <w:lang w:eastAsia="es-ES"/>
              </w:rPr>
            </w:pPr>
            <w:r w:rsidRPr="007E4BAA">
              <w:rPr>
                <w:rFonts w:ascii="Calibri" w:eastAsia="Times New Roman" w:hAnsi="Calibri" w:cs="Times New Roman"/>
                <w:color w:val="000000"/>
                <w:lang w:eastAsia="es-ES"/>
              </w:rPr>
              <w:t>TOTAL</w:t>
            </w:r>
          </w:p>
        </w:tc>
        <w:tc>
          <w:tcPr>
            <w:tcW w:w="1195" w:type="dxa"/>
            <w:tcBorders>
              <w:top w:val="nil"/>
              <w:left w:val="nil"/>
              <w:bottom w:val="nil"/>
              <w:right w:val="nil"/>
            </w:tcBorders>
            <w:shd w:val="clear" w:color="auto" w:fill="auto"/>
            <w:noWrap/>
            <w:vAlign w:val="bottom"/>
            <w:hideMark/>
          </w:tcPr>
          <w:p w:rsidR="007E4BAA" w:rsidRPr="007E4BAA" w:rsidRDefault="007E4BAA" w:rsidP="007E4BAA">
            <w:pPr>
              <w:spacing w:after="0" w:line="240" w:lineRule="auto"/>
              <w:rPr>
                <w:rFonts w:ascii="Calibri" w:eastAsia="Times New Roman" w:hAnsi="Calibri" w:cs="Times New Roman"/>
                <w:color w:val="000000"/>
                <w:lang w:eastAsia="es-ES"/>
              </w:rPr>
            </w:pPr>
          </w:p>
        </w:tc>
        <w:tc>
          <w:tcPr>
            <w:tcW w:w="1198" w:type="dxa"/>
            <w:gridSpan w:val="2"/>
            <w:tcBorders>
              <w:top w:val="nil"/>
              <w:left w:val="nil"/>
              <w:bottom w:val="nil"/>
              <w:right w:val="nil"/>
            </w:tcBorders>
            <w:shd w:val="clear" w:color="auto" w:fill="auto"/>
            <w:noWrap/>
            <w:vAlign w:val="bottom"/>
            <w:hideMark/>
          </w:tcPr>
          <w:p w:rsidR="007E4BAA" w:rsidRPr="007E4BAA" w:rsidRDefault="007E4BAA" w:rsidP="007E4BAA">
            <w:pPr>
              <w:spacing w:after="0" w:line="240" w:lineRule="auto"/>
              <w:jc w:val="right"/>
              <w:rPr>
                <w:rFonts w:ascii="Calibri" w:eastAsia="Times New Roman" w:hAnsi="Calibri" w:cs="Times New Roman"/>
                <w:color w:val="000000"/>
                <w:lang w:eastAsia="es-ES"/>
              </w:rPr>
            </w:pPr>
            <w:r w:rsidRPr="007E4BAA">
              <w:rPr>
                <w:rFonts w:ascii="Calibri" w:eastAsia="Times New Roman" w:hAnsi="Calibri" w:cs="Times New Roman"/>
                <w:color w:val="000000"/>
                <w:lang w:eastAsia="es-ES"/>
              </w:rPr>
              <w:t>2.85%</w:t>
            </w:r>
          </w:p>
        </w:tc>
        <w:tc>
          <w:tcPr>
            <w:tcW w:w="1197" w:type="dxa"/>
            <w:gridSpan w:val="2"/>
            <w:tcBorders>
              <w:top w:val="nil"/>
              <w:left w:val="nil"/>
              <w:bottom w:val="nil"/>
              <w:right w:val="nil"/>
            </w:tcBorders>
            <w:shd w:val="clear" w:color="auto" w:fill="auto"/>
            <w:noWrap/>
            <w:vAlign w:val="bottom"/>
            <w:hideMark/>
          </w:tcPr>
          <w:p w:rsidR="007E4BAA" w:rsidRPr="007E4BAA" w:rsidRDefault="007E4BAA" w:rsidP="007E4BAA">
            <w:pPr>
              <w:spacing w:after="0" w:line="240" w:lineRule="auto"/>
              <w:jc w:val="right"/>
              <w:rPr>
                <w:rFonts w:ascii="Calibri" w:eastAsia="Times New Roman" w:hAnsi="Calibri" w:cs="Times New Roman"/>
                <w:color w:val="000000"/>
                <w:lang w:eastAsia="es-ES"/>
              </w:rPr>
            </w:pPr>
            <w:r w:rsidRPr="007E4BAA">
              <w:rPr>
                <w:rFonts w:ascii="Calibri" w:eastAsia="Times New Roman" w:hAnsi="Calibri" w:cs="Times New Roman"/>
                <w:color w:val="000000"/>
                <w:lang w:eastAsia="es-ES"/>
              </w:rPr>
              <w:t>8.59%</w:t>
            </w:r>
          </w:p>
        </w:tc>
        <w:tc>
          <w:tcPr>
            <w:tcW w:w="1197" w:type="dxa"/>
            <w:gridSpan w:val="2"/>
            <w:tcBorders>
              <w:top w:val="nil"/>
              <w:left w:val="nil"/>
              <w:bottom w:val="nil"/>
              <w:right w:val="nil"/>
            </w:tcBorders>
            <w:shd w:val="clear" w:color="auto" w:fill="auto"/>
            <w:noWrap/>
            <w:vAlign w:val="bottom"/>
            <w:hideMark/>
          </w:tcPr>
          <w:p w:rsidR="007E4BAA" w:rsidRPr="007E4BAA" w:rsidRDefault="007E4BAA" w:rsidP="007E4BAA">
            <w:pPr>
              <w:spacing w:after="0" w:line="240" w:lineRule="auto"/>
              <w:jc w:val="right"/>
              <w:rPr>
                <w:rFonts w:ascii="Calibri" w:eastAsia="Times New Roman" w:hAnsi="Calibri" w:cs="Times New Roman"/>
                <w:color w:val="000000"/>
                <w:lang w:eastAsia="es-ES"/>
              </w:rPr>
            </w:pPr>
            <w:r w:rsidRPr="007E4BAA">
              <w:rPr>
                <w:rFonts w:ascii="Calibri" w:eastAsia="Times New Roman" w:hAnsi="Calibri" w:cs="Times New Roman"/>
                <w:color w:val="000000"/>
                <w:lang w:eastAsia="es-ES"/>
              </w:rPr>
              <w:t>12.02%</w:t>
            </w:r>
          </w:p>
        </w:tc>
        <w:tc>
          <w:tcPr>
            <w:tcW w:w="1537" w:type="dxa"/>
            <w:gridSpan w:val="2"/>
            <w:tcBorders>
              <w:top w:val="nil"/>
              <w:left w:val="nil"/>
              <w:bottom w:val="nil"/>
              <w:right w:val="nil"/>
            </w:tcBorders>
            <w:shd w:val="clear" w:color="auto" w:fill="auto"/>
            <w:noWrap/>
            <w:vAlign w:val="bottom"/>
            <w:hideMark/>
          </w:tcPr>
          <w:p w:rsidR="007E4BAA" w:rsidRPr="007E4BAA" w:rsidRDefault="007E4BAA" w:rsidP="007E4BAA">
            <w:pPr>
              <w:spacing w:after="0" w:line="240" w:lineRule="auto"/>
              <w:jc w:val="right"/>
              <w:rPr>
                <w:rFonts w:ascii="Calibri" w:eastAsia="Times New Roman" w:hAnsi="Calibri" w:cs="Times New Roman"/>
                <w:color w:val="000000"/>
                <w:lang w:eastAsia="es-ES"/>
              </w:rPr>
            </w:pPr>
            <w:r w:rsidRPr="007E4BAA">
              <w:rPr>
                <w:rFonts w:ascii="Calibri" w:eastAsia="Times New Roman" w:hAnsi="Calibri" w:cs="Times New Roman"/>
                <w:color w:val="000000"/>
                <w:lang w:eastAsia="es-ES"/>
              </w:rPr>
              <w:t>19.61%</w:t>
            </w:r>
          </w:p>
        </w:tc>
      </w:tr>
      <w:tr w:rsidR="007E4BAA" w:rsidRPr="007E4BAA" w:rsidTr="005030C3">
        <w:trPr>
          <w:gridAfter w:val="1"/>
          <w:wAfter w:w="96" w:type="dxa"/>
          <w:trHeight w:val="300"/>
          <w:jc w:val="center"/>
        </w:trPr>
        <w:tc>
          <w:tcPr>
            <w:tcW w:w="1216" w:type="dxa"/>
            <w:tcBorders>
              <w:top w:val="nil"/>
              <w:left w:val="nil"/>
              <w:bottom w:val="nil"/>
              <w:right w:val="nil"/>
            </w:tcBorders>
            <w:shd w:val="clear" w:color="auto" w:fill="auto"/>
            <w:noWrap/>
            <w:vAlign w:val="bottom"/>
            <w:hideMark/>
          </w:tcPr>
          <w:p w:rsidR="007E4BAA" w:rsidRPr="007E4BAA" w:rsidRDefault="007E4BAA" w:rsidP="007E4BAA">
            <w:pPr>
              <w:spacing w:after="0" w:line="240" w:lineRule="auto"/>
              <w:rPr>
                <w:rFonts w:ascii="Calibri" w:eastAsia="Times New Roman" w:hAnsi="Calibri" w:cs="Times New Roman"/>
                <w:color w:val="000000"/>
                <w:lang w:eastAsia="es-ES"/>
              </w:rPr>
            </w:pPr>
            <w:r w:rsidRPr="007E4BAA">
              <w:rPr>
                <w:rFonts w:ascii="Calibri" w:eastAsia="Times New Roman" w:hAnsi="Calibri" w:cs="Times New Roman"/>
                <w:color w:val="000000"/>
                <w:lang w:eastAsia="es-ES"/>
              </w:rPr>
              <w:t xml:space="preserve">   </w:t>
            </w:r>
            <w:proofErr w:type="spellStart"/>
            <w:r w:rsidRPr="007E4BAA">
              <w:rPr>
                <w:rFonts w:ascii="Calibri" w:eastAsia="Times New Roman" w:hAnsi="Calibri" w:cs="Times New Roman"/>
                <w:color w:val="000000"/>
                <w:lang w:eastAsia="es-ES"/>
              </w:rPr>
              <w:t>Wages</w:t>
            </w:r>
            <w:proofErr w:type="spellEnd"/>
          </w:p>
        </w:tc>
        <w:tc>
          <w:tcPr>
            <w:tcW w:w="1195" w:type="dxa"/>
            <w:tcBorders>
              <w:top w:val="nil"/>
              <w:left w:val="nil"/>
              <w:bottom w:val="nil"/>
              <w:right w:val="nil"/>
            </w:tcBorders>
            <w:shd w:val="clear" w:color="auto" w:fill="auto"/>
            <w:noWrap/>
            <w:vAlign w:val="bottom"/>
            <w:hideMark/>
          </w:tcPr>
          <w:p w:rsidR="007E4BAA" w:rsidRPr="007E4BAA" w:rsidRDefault="007E4BAA" w:rsidP="007E4BAA">
            <w:pPr>
              <w:spacing w:after="0" w:line="240" w:lineRule="auto"/>
              <w:rPr>
                <w:rFonts w:ascii="Calibri" w:eastAsia="Times New Roman" w:hAnsi="Calibri" w:cs="Times New Roman"/>
                <w:color w:val="000000"/>
                <w:lang w:eastAsia="es-ES"/>
              </w:rPr>
            </w:pPr>
          </w:p>
        </w:tc>
        <w:tc>
          <w:tcPr>
            <w:tcW w:w="1198" w:type="dxa"/>
            <w:gridSpan w:val="2"/>
            <w:tcBorders>
              <w:top w:val="nil"/>
              <w:left w:val="nil"/>
              <w:bottom w:val="nil"/>
              <w:right w:val="nil"/>
            </w:tcBorders>
            <w:shd w:val="clear" w:color="auto" w:fill="auto"/>
            <w:noWrap/>
            <w:vAlign w:val="bottom"/>
            <w:hideMark/>
          </w:tcPr>
          <w:p w:rsidR="007E4BAA" w:rsidRPr="007E4BAA" w:rsidRDefault="007E4BAA" w:rsidP="007E4BAA">
            <w:pPr>
              <w:spacing w:after="0" w:line="240" w:lineRule="auto"/>
              <w:jc w:val="right"/>
              <w:rPr>
                <w:rFonts w:ascii="Calibri" w:eastAsia="Times New Roman" w:hAnsi="Calibri" w:cs="Times New Roman"/>
                <w:color w:val="000000"/>
                <w:lang w:eastAsia="es-ES"/>
              </w:rPr>
            </w:pPr>
            <w:r w:rsidRPr="007E4BAA">
              <w:rPr>
                <w:rFonts w:ascii="Calibri" w:eastAsia="Times New Roman" w:hAnsi="Calibri" w:cs="Times New Roman"/>
                <w:color w:val="000000"/>
                <w:lang w:eastAsia="es-ES"/>
              </w:rPr>
              <w:t>4.58%</w:t>
            </w:r>
          </w:p>
        </w:tc>
        <w:tc>
          <w:tcPr>
            <w:tcW w:w="1197" w:type="dxa"/>
            <w:gridSpan w:val="2"/>
            <w:tcBorders>
              <w:top w:val="nil"/>
              <w:left w:val="nil"/>
              <w:bottom w:val="nil"/>
              <w:right w:val="nil"/>
            </w:tcBorders>
            <w:shd w:val="clear" w:color="auto" w:fill="auto"/>
            <w:noWrap/>
            <w:vAlign w:val="bottom"/>
            <w:hideMark/>
          </w:tcPr>
          <w:p w:rsidR="007E4BAA" w:rsidRPr="007E4BAA" w:rsidRDefault="007E4BAA" w:rsidP="007E4BAA">
            <w:pPr>
              <w:spacing w:after="0" w:line="240" w:lineRule="auto"/>
              <w:jc w:val="right"/>
              <w:rPr>
                <w:rFonts w:ascii="Calibri" w:eastAsia="Times New Roman" w:hAnsi="Calibri" w:cs="Times New Roman"/>
                <w:color w:val="000000"/>
                <w:lang w:eastAsia="es-ES"/>
              </w:rPr>
            </w:pPr>
            <w:r w:rsidRPr="007E4BAA">
              <w:rPr>
                <w:rFonts w:ascii="Calibri" w:eastAsia="Times New Roman" w:hAnsi="Calibri" w:cs="Times New Roman"/>
                <w:color w:val="000000"/>
                <w:lang w:eastAsia="es-ES"/>
              </w:rPr>
              <w:t>6.50%</w:t>
            </w:r>
          </w:p>
        </w:tc>
        <w:tc>
          <w:tcPr>
            <w:tcW w:w="1197" w:type="dxa"/>
            <w:gridSpan w:val="2"/>
            <w:tcBorders>
              <w:top w:val="nil"/>
              <w:left w:val="nil"/>
              <w:bottom w:val="nil"/>
              <w:right w:val="nil"/>
            </w:tcBorders>
            <w:shd w:val="clear" w:color="auto" w:fill="auto"/>
            <w:noWrap/>
            <w:vAlign w:val="bottom"/>
            <w:hideMark/>
          </w:tcPr>
          <w:p w:rsidR="007E4BAA" w:rsidRPr="007E4BAA" w:rsidRDefault="007E4BAA" w:rsidP="007E4BAA">
            <w:pPr>
              <w:spacing w:after="0" w:line="240" w:lineRule="auto"/>
              <w:jc w:val="right"/>
              <w:rPr>
                <w:rFonts w:ascii="Calibri" w:eastAsia="Times New Roman" w:hAnsi="Calibri" w:cs="Times New Roman"/>
                <w:color w:val="000000"/>
                <w:lang w:eastAsia="es-ES"/>
              </w:rPr>
            </w:pPr>
            <w:r w:rsidRPr="007E4BAA">
              <w:rPr>
                <w:rFonts w:ascii="Calibri" w:eastAsia="Times New Roman" w:hAnsi="Calibri" w:cs="Times New Roman"/>
                <w:color w:val="000000"/>
                <w:lang w:eastAsia="es-ES"/>
              </w:rPr>
              <w:t>37.56%</w:t>
            </w:r>
          </w:p>
        </w:tc>
        <w:tc>
          <w:tcPr>
            <w:tcW w:w="1537" w:type="dxa"/>
            <w:gridSpan w:val="2"/>
            <w:tcBorders>
              <w:top w:val="nil"/>
              <w:left w:val="nil"/>
              <w:bottom w:val="nil"/>
              <w:right w:val="nil"/>
            </w:tcBorders>
            <w:shd w:val="clear" w:color="auto" w:fill="auto"/>
            <w:noWrap/>
            <w:vAlign w:val="bottom"/>
            <w:hideMark/>
          </w:tcPr>
          <w:p w:rsidR="007E4BAA" w:rsidRPr="007E4BAA" w:rsidRDefault="007E4BAA" w:rsidP="007E4BAA">
            <w:pPr>
              <w:spacing w:after="0" w:line="240" w:lineRule="auto"/>
              <w:jc w:val="right"/>
              <w:rPr>
                <w:rFonts w:ascii="Calibri" w:eastAsia="Times New Roman" w:hAnsi="Calibri" w:cs="Times New Roman"/>
                <w:color w:val="000000"/>
                <w:lang w:eastAsia="es-ES"/>
              </w:rPr>
            </w:pPr>
            <w:r w:rsidRPr="007E4BAA">
              <w:rPr>
                <w:rFonts w:ascii="Calibri" w:eastAsia="Times New Roman" w:hAnsi="Calibri" w:cs="Times New Roman"/>
                <w:color w:val="000000"/>
                <w:lang w:eastAsia="es-ES"/>
              </w:rPr>
              <w:t>37.96%</w:t>
            </w:r>
          </w:p>
        </w:tc>
      </w:tr>
      <w:tr w:rsidR="007E4BAA" w:rsidRPr="007E4BAA" w:rsidTr="005030C3">
        <w:trPr>
          <w:gridAfter w:val="1"/>
          <w:wAfter w:w="96" w:type="dxa"/>
          <w:trHeight w:val="300"/>
          <w:jc w:val="center"/>
        </w:trPr>
        <w:tc>
          <w:tcPr>
            <w:tcW w:w="2411" w:type="dxa"/>
            <w:gridSpan w:val="2"/>
            <w:tcBorders>
              <w:top w:val="nil"/>
              <w:left w:val="nil"/>
              <w:bottom w:val="nil"/>
              <w:right w:val="nil"/>
            </w:tcBorders>
            <w:shd w:val="clear" w:color="auto" w:fill="auto"/>
            <w:noWrap/>
            <w:vAlign w:val="bottom"/>
            <w:hideMark/>
          </w:tcPr>
          <w:p w:rsidR="007E4BAA" w:rsidRPr="007E4BAA" w:rsidRDefault="007E4BAA" w:rsidP="007E4BAA">
            <w:pPr>
              <w:spacing w:after="0" w:line="240" w:lineRule="auto"/>
              <w:rPr>
                <w:rFonts w:ascii="Calibri" w:eastAsia="Times New Roman" w:hAnsi="Calibri" w:cs="Times New Roman"/>
                <w:color w:val="000000"/>
                <w:lang w:eastAsia="es-ES"/>
              </w:rPr>
            </w:pPr>
            <w:r w:rsidRPr="007E4BAA">
              <w:rPr>
                <w:rFonts w:ascii="Calibri" w:eastAsia="Times New Roman" w:hAnsi="Calibri" w:cs="Times New Roman"/>
                <w:color w:val="000000"/>
                <w:lang w:eastAsia="es-ES"/>
              </w:rPr>
              <w:t xml:space="preserve">   Non-</w:t>
            </w:r>
            <w:proofErr w:type="spellStart"/>
            <w:r w:rsidRPr="007E4BAA">
              <w:rPr>
                <w:rFonts w:ascii="Calibri" w:eastAsia="Times New Roman" w:hAnsi="Calibri" w:cs="Times New Roman"/>
                <w:color w:val="000000"/>
                <w:lang w:eastAsia="es-ES"/>
              </w:rPr>
              <w:t>Wages</w:t>
            </w:r>
            <w:proofErr w:type="spellEnd"/>
          </w:p>
        </w:tc>
        <w:tc>
          <w:tcPr>
            <w:tcW w:w="1198" w:type="dxa"/>
            <w:gridSpan w:val="2"/>
            <w:tcBorders>
              <w:top w:val="nil"/>
              <w:left w:val="nil"/>
              <w:bottom w:val="nil"/>
              <w:right w:val="nil"/>
            </w:tcBorders>
            <w:shd w:val="clear" w:color="auto" w:fill="auto"/>
            <w:noWrap/>
            <w:vAlign w:val="bottom"/>
            <w:hideMark/>
          </w:tcPr>
          <w:p w:rsidR="007E4BAA" w:rsidRPr="007E4BAA" w:rsidRDefault="007E4BAA" w:rsidP="007E4BAA">
            <w:pPr>
              <w:spacing w:after="0" w:line="240" w:lineRule="auto"/>
              <w:jc w:val="right"/>
              <w:rPr>
                <w:rFonts w:ascii="Calibri" w:eastAsia="Times New Roman" w:hAnsi="Calibri" w:cs="Times New Roman"/>
                <w:color w:val="000000"/>
                <w:lang w:eastAsia="es-ES"/>
              </w:rPr>
            </w:pPr>
            <w:r w:rsidRPr="007E4BAA">
              <w:rPr>
                <w:rFonts w:ascii="Calibri" w:eastAsia="Times New Roman" w:hAnsi="Calibri" w:cs="Times New Roman"/>
                <w:color w:val="000000"/>
                <w:lang w:eastAsia="es-ES"/>
              </w:rPr>
              <w:t>10.16%</w:t>
            </w:r>
          </w:p>
        </w:tc>
        <w:tc>
          <w:tcPr>
            <w:tcW w:w="1197" w:type="dxa"/>
            <w:gridSpan w:val="2"/>
            <w:tcBorders>
              <w:top w:val="nil"/>
              <w:left w:val="nil"/>
              <w:bottom w:val="nil"/>
              <w:right w:val="nil"/>
            </w:tcBorders>
            <w:shd w:val="clear" w:color="auto" w:fill="auto"/>
            <w:noWrap/>
            <w:vAlign w:val="bottom"/>
            <w:hideMark/>
          </w:tcPr>
          <w:p w:rsidR="007E4BAA" w:rsidRPr="007E4BAA" w:rsidRDefault="007E4BAA" w:rsidP="007E4BAA">
            <w:pPr>
              <w:spacing w:after="0" w:line="240" w:lineRule="auto"/>
              <w:jc w:val="right"/>
              <w:rPr>
                <w:rFonts w:ascii="Calibri" w:eastAsia="Times New Roman" w:hAnsi="Calibri" w:cs="Times New Roman"/>
                <w:color w:val="000000"/>
                <w:lang w:eastAsia="es-ES"/>
              </w:rPr>
            </w:pPr>
            <w:r w:rsidRPr="007E4BAA">
              <w:rPr>
                <w:rFonts w:ascii="Calibri" w:eastAsia="Times New Roman" w:hAnsi="Calibri" w:cs="Times New Roman"/>
                <w:color w:val="000000"/>
                <w:lang w:eastAsia="es-ES"/>
              </w:rPr>
              <w:t>28.97%</w:t>
            </w:r>
          </w:p>
        </w:tc>
        <w:tc>
          <w:tcPr>
            <w:tcW w:w="1197" w:type="dxa"/>
            <w:gridSpan w:val="2"/>
            <w:tcBorders>
              <w:top w:val="nil"/>
              <w:left w:val="nil"/>
              <w:bottom w:val="nil"/>
              <w:right w:val="nil"/>
            </w:tcBorders>
            <w:shd w:val="clear" w:color="auto" w:fill="auto"/>
            <w:noWrap/>
            <w:vAlign w:val="bottom"/>
            <w:hideMark/>
          </w:tcPr>
          <w:p w:rsidR="007E4BAA" w:rsidRPr="007E4BAA" w:rsidRDefault="007E4BAA" w:rsidP="007E4BAA">
            <w:pPr>
              <w:spacing w:after="0" w:line="240" w:lineRule="auto"/>
              <w:jc w:val="right"/>
              <w:rPr>
                <w:rFonts w:ascii="Calibri" w:eastAsia="Times New Roman" w:hAnsi="Calibri" w:cs="Times New Roman"/>
                <w:color w:val="000000"/>
                <w:lang w:eastAsia="es-ES"/>
              </w:rPr>
            </w:pPr>
            <w:r w:rsidRPr="007E4BAA">
              <w:rPr>
                <w:rFonts w:ascii="Calibri" w:eastAsia="Times New Roman" w:hAnsi="Calibri" w:cs="Times New Roman"/>
                <w:color w:val="000000"/>
                <w:lang w:eastAsia="es-ES"/>
              </w:rPr>
              <w:t>-16.91%</w:t>
            </w:r>
          </w:p>
        </w:tc>
        <w:tc>
          <w:tcPr>
            <w:tcW w:w="1537" w:type="dxa"/>
            <w:gridSpan w:val="2"/>
            <w:tcBorders>
              <w:top w:val="nil"/>
              <w:left w:val="nil"/>
              <w:bottom w:val="nil"/>
              <w:right w:val="nil"/>
            </w:tcBorders>
            <w:shd w:val="clear" w:color="auto" w:fill="auto"/>
            <w:noWrap/>
            <w:vAlign w:val="bottom"/>
            <w:hideMark/>
          </w:tcPr>
          <w:p w:rsidR="007E4BAA" w:rsidRPr="007E4BAA" w:rsidRDefault="007E4BAA" w:rsidP="007E4BAA">
            <w:pPr>
              <w:spacing w:after="0" w:line="240" w:lineRule="auto"/>
              <w:jc w:val="right"/>
              <w:rPr>
                <w:rFonts w:ascii="Calibri" w:eastAsia="Times New Roman" w:hAnsi="Calibri" w:cs="Times New Roman"/>
                <w:color w:val="000000"/>
                <w:lang w:eastAsia="es-ES"/>
              </w:rPr>
            </w:pPr>
            <w:r w:rsidRPr="007E4BAA">
              <w:rPr>
                <w:rFonts w:ascii="Calibri" w:eastAsia="Times New Roman" w:hAnsi="Calibri" w:cs="Times New Roman"/>
                <w:color w:val="000000"/>
                <w:lang w:eastAsia="es-ES"/>
              </w:rPr>
              <w:t>5.06%</w:t>
            </w:r>
          </w:p>
        </w:tc>
      </w:tr>
      <w:tr w:rsidR="007E4BAA" w:rsidRPr="007E4BAA" w:rsidTr="005030C3">
        <w:trPr>
          <w:gridAfter w:val="1"/>
          <w:wAfter w:w="96" w:type="dxa"/>
          <w:trHeight w:val="300"/>
          <w:jc w:val="center"/>
        </w:trPr>
        <w:tc>
          <w:tcPr>
            <w:tcW w:w="1216" w:type="dxa"/>
            <w:tcBorders>
              <w:top w:val="nil"/>
              <w:left w:val="nil"/>
              <w:bottom w:val="nil"/>
              <w:right w:val="nil"/>
            </w:tcBorders>
            <w:shd w:val="clear" w:color="auto" w:fill="auto"/>
            <w:noWrap/>
            <w:vAlign w:val="bottom"/>
            <w:hideMark/>
          </w:tcPr>
          <w:p w:rsidR="007E4BAA" w:rsidRPr="007E4BAA" w:rsidRDefault="007E4BAA" w:rsidP="007E4BAA">
            <w:pPr>
              <w:spacing w:after="0" w:line="240" w:lineRule="auto"/>
              <w:rPr>
                <w:rFonts w:ascii="Calibri" w:eastAsia="Times New Roman" w:hAnsi="Calibri" w:cs="Times New Roman"/>
                <w:color w:val="000000"/>
                <w:lang w:eastAsia="es-ES"/>
              </w:rPr>
            </w:pPr>
            <w:r w:rsidRPr="007E4BAA">
              <w:rPr>
                <w:rFonts w:ascii="Calibri" w:eastAsia="Times New Roman" w:hAnsi="Calibri" w:cs="Times New Roman"/>
                <w:color w:val="000000"/>
                <w:lang w:eastAsia="es-ES"/>
              </w:rPr>
              <w:t xml:space="preserve">   Capital</w:t>
            </w:r>
          </w:p>
        </w:tc>
        <w:tc>
          <w:tcPr>
            <w:tcW w:w="1195" w:type="dxa"/>
            <w:tcBorders>
              <w:top w:val="nil"/>
              <w:left w:val="nil"/>
              <w:bottom w:val="nil"/>
              <w:right w:val="nil"/>
            </w:tcBorders>
            <w:shd w:val="clear" w:color="auto" w:fill="auto"/>
            <w:noWrap/>
            <w:vAlign w:val="bottom"/>
            <w:hideMark/>
          </w:tcPr>
          <w:p w:rsidR="007E4BAA" w:rsidRPr="007E4BAA" w:rsidRDefault="007E4BAA" w:rsidP="007E4BAA">
            <w:pPr>
              <w:spacing w:after="0" w:line="240" w:lineRule="auto"/>
              <w:rPr>
                <w:rFonts w:ascii="Calibri" w:eastAsia="Times New Roman" w:hAnsi="Calibri" w:cs="Times New Roman"/>
                <w:color w:val="000000"/>
                <w:lang w:eastAsia="es-ES"/>
              </w:rPr>
            </w:pPr>
          </w:p>
        </w:tc>
        <w:tc>
          <w:tcPr>
            <w:tcW w:w="1198" w:type="dxa"/>
            <w:gridSpan w:val="2"/>
            <w:tcBorders>
              <w:top w:val="nil"/>
              <w:left w:val="nil"/>
              <w:bottom w:val="nil"/>
              <w:right w:val="nil"/>
            </w:tcBorders>
            <w:shd w:val="clear" w:color="auto" w:fill="auto"/>
            <w:noWrap/>
            <w:vAlign w:val="bottom"/>
            <w:hideMark/>
          </w:tcPr>
          <w:p w:rsidR="007E4BAA" w:rsidRPr="007E4BAA" w:rsidRDefault="007E4BAA" w:rsidP="007E4BAA">
            <w:pPr>
              <w:spacing w:after="0" w:line="240" w:lineRule="auto"/>
              <w:jc w:val="right"/>
              <w:rPr>
                <w:rFonts w:ascii="Calibri" w:eastAsia="Times New Roman" w:hAnsi="Calibri" w:cs="Times New Roman"/>
                <w:color w:val="000000"/>
                <w:lang w:eastAsia="es-ES"/>
              </w:rPr>
            </w:pPr>
            <w:r w:rsidRPr="007E4BAA">
              <w:rPr>
                <w:rFonts w:ascii="Calibri" w:eastAsia="Times New Roman" w:hAnsi="Calibri" w:cs="Times New Roman"/>
                <w:color w:val="000000"/>
                <w:lang w:eastAsia="es-ES"/>
              </w:rPr>
              <w:t>-39.59%</w:t>
            </w:r>
          </w:p>
        </w:tc>
        <w:tc>
          <w:tcPr>
            <w:tcW w:w="1197" w:type="dxa"/>
            <w:gridSpan w:val="2"/>
            <w:tcBorders>
              <w:top w:val="nil"/>
              <w:left w:val="nil"/>
              <w:bottom w:val="nil"/>
              <w:right w:val="nil"/>
            </w:tcBorders>
            <w:shd w:val="clear" w:color="auto" w:fill="auto"/>
            <w:noWrap/>
            <w:vAlign w:val="bottom"/>
            <w:hideMark/>
          </w:tcPr>
          <w:p w:rsidR="007E4BAA" w:rsidRPr="007E4BAA" w:rsidRDefault="007E4BAA" w:rsidP="007E4BAA">
            <w:pPr>
              <w:spacing w:after="0" w:line="240" w:lineRule="auto"/>
              <w:jc w:val="right"/>
              <w:rPr>
                <w:rFonts w:ascii="Calibri" w:eastAsia="Times New Roman" w:hAnsi="Calibri" w:cs="Times New Roman"/>
                <w:color w:val="000000"/>
                <w:lang w:eastAsia="es-ES"/>
              </w:rPr>
            </w:pPr>
            <w:r w:rsidRPr="007E4BAA">
              <w:rPr>
                <w:rFonts w:ascii="Calibri" w:eastAsia="Times New Roman" w:hAnsi="Calibri" w:cs="Times New Roman"/>
                <w:color w:val="000000"/>
                <w:lang w:eastAsia="es-ES"/>
              </w:rPr>
              <w:t>-59.89%</w:t>
            </w:r>
          </w:p>
        </w:tc>
        <w:tc>
          <w:tcPr>
            <w:tcW w:w="1197" w:type="dxa"/>
            <w:gridSpan w:val="2"/>
            <w:tcBorders>
              <w:top w:val="nil"/>
              <w:left w:val="nil"/>
              <w:bottom w:val="nil"/>
              <w:right w:val="nil"/>
            </w:tcBorders>
            <w:shd w:val="clear" w:color="auto" w:fill="auto"/>
            <w:noWrap/>
            <w:vAlign w:val="bottom"/>
            <w:hideMark/>
          </w:tcPr>
          <w:p w:rsidR="007E4BAA" w:rsidRPr="007E4BAA" w:rsidRDefault="007E4BAA" w:rsidP="007E4BAA">
            <w:pPr>
              <w:spacing w:after="0" w:line="240" w:lineRule="auto"/>
              <w:jc w:val="right"/>
              <w:rPr>
                <w:rFonts w:ascii="Calibri" w:eastAsia="Times New Roman" w:hAnsi="Calibri" w:cs="Times New Roman"/>
                <w:color w:val="000000"/>
                <w:lang w:eastAsia="es-ES"/>
              </w:rPr>
            </w:pPr>
            <w:r w:rsidRPr="007E4BAA">
              <w:rPr>
                <w:rFonts w:ascii="Calibri" w:eastAsia="Times New Roman" w:hAnsi="Calibri" w:cs="Times New Roman"/>
                <w:color w:val="000000"/>
                <w:lang w:eastAsia="es-ES"/>
              </w:rPr>
              <w:t>-53.77%</w:t>
            </w:r>
          </w:p>
        </w:tc>
        <w:tc>
          <w:tcPr>
            <w:tcW w:w="1537" w:type="dxa"/>
            <w:gridSpan w:val="2"/>
            <w:tcBorders>
              <w:top w:val="nil"/>
              <w:left w:val="nil"/>
              <w:bottom w:val="nil"/>
              <w:right w:val="nil"/>
            </w:tcBorders>
            <w:shd w:val="clear" w:color="auto" w:fill="auto"/>
            <w:noWrap/>
            <w:vAlign w:val="bottom"/>
            <w:hideMark/>
          </w:tcPr>
          <w:p w:rsidR="007E4BAA" w:rsidRPr="007E4BAA" w:rsidRDefault="007E4BAA" w:rsidP="007E4BAA">
            <w:pPr>
              <w:spacing w:after="0" w:line="240" w:lineRule="auto"/>
              <w:jc w:val="right"/>
              <w:rPr>
                <w:rFonts w:ascii="Calibri" w:eastAsia="Times New Roman" w:hAnsi="Calibri" w:cs="Times New Roman"/>
                <w:color w:val="000000"/>
                <w:lang w:eastAsia="es-ES"/>
              </w:rPr>
            </w:pPr>
            <w:r w:rsidRPr="007E4BAA">
              <w:rPr>
                <w:rFonts w:ascii="Calibri" w:eastAsia="Times New Roman" w:hAnsi="Calibri" w:cs="Times New Roman"/>
                <w:color w:val="000000"/>
                <w:lang w:eastAsia="es-ES"/>
              </w:rPr>
              <w:t>-53.21%</w:t>
            </w:r>
          </w:p>
        </w:tc>
      </w:tr>
    </w:tbl>
    <w:p w:rsidR="00D35D46" w:rsidRDefault="00D35D46" w:rsidP="006324C7"/>
    <w:p w:rsidR="00767C34" w:rsidRDefault="00767C34">
      <w:r>
        <w:br w:type="page"/>
      </w:r>
    </w:p>
    <w:p w:rsidR="00673328" w:rsidRDefault="00673328" w:rsidP="00CC7125">
      <w:pPr>
        <w:pStyle w:val="Heading2"/>
        <w:spacing w:before="0"/>
        <w:rPr>
          <w:lang w:val="en-US"/>
        </w:rPr>
      </w:pPr>
    </w:p>
    <w:p w:rsidR="00673328" w:rsidRDefault="00673328" w:rsidP="00CC7125">
      <w:pPr>
        <w:pStyle w:val="Heading2"/>
        <w:spacing w:before="0"/>
        <w:rPr>
          <w:lang w:val="en-US"/>
        </w:rPr>
      </w:pPr>
    </w:p>
    <w:p w:rsidR="00673328" w:rsidRPr="00673328" w:rsidRDefault="00673328" w:rsidP="00673328">
      <w:pPr>
        <w:pStyle w:val="Caption"/>
        <w:spacing w:after="0"/>
        <w:jc w:val="center"/>
        <w:rPr>
          <w:sz w:val="22"/>
          <w:szCs w:val="22"/>
          <w:lang w:val="en-US"/>
        </w:rPr>
      </w:pPr>
      <w:r w:rsidRPr="00673328">
        <w:rPr>
          <w:sz w:val="22"/>
          <w:szCs w:val="22"/>
          <w:lang w:val="en-US"/>
        </w:rPr>
        <w:t>Appendix A.2: Geometric mean for budget growth, 2006-2009</w:t>
      </w:r>
    </w:p>
    <w:tbl>
      <w:tblPr>
        <w:tblW w:w="7300" w:type="dxa"/>
        <w:jc w:val="right"/>
        <w:tblInd w:w="70" w:type="dxa"/>
        <w:tblCellMar>
          <w:left w:w="70" w:type="dxa"/>
          <w:right w:w="70" w:type="dxa"/>
        </w:tblCellMar>
        <w:tblLook w:val="04A0"/>
      </w:tblPr>
      <w:tblGrid>
        <w:gridCol w:w="1116"/>
        <w:gridCol w:w="1238"/>
        <w:gridCol w:w="1238"/>
        <w:gridCol w:w="1238"/>
        <w:gridCol w:w="1238"/>
        <w:gridCol w:w="1341"/>
      </w:tblGrid>
      <w:tr w:rsidR="00673328" w:rsidRPr="001A62FF" w:rsidTr="002129F5">
        <w:trPr>
          <w:trHeight w:val="300"/>
          <w:jc w:val="right"/>
        </w:trPr>
        <w:tc>
          <w:tcPr>
            <w:tcW w:w="7300" w:type="dxa"/>
            <w:gridSpan w:val="6"/>
            <w:tcBorders>
              <w:top w:val="nil"/>
              <w:left w:val="nil"/>
              <w:bottom w:val="nil"/>
              <w:right w:val="nil"/>
            </w:tcBorders>
            <w:shd w:val="clear" w:color="000000" w:fill="B2A1C7"/>
            <w:vAlign w:val="bottom"/>
            <w:hideMark/>
          </w:tcPr>
          <w:p w:rsidR="00673328" w:rsidRPr="00673328" w:rsidRDefault="00673328" w:rsidP="00673328">
            <w:pPr>
              <w:spacing w:after="0" w:line="240" w:lineRule="auto"/>
              <w:jc w:val="center"/>
              <w:rPr>
                <w:rFonts w:ascii="Calibri" w:eastAsia="Times New Roman" w:hAnsi="Calibri" w:cs="Times New Roman"/>
                <w:b/>
                <w:bCs/>
                <w:color w:val="000000"/>
                <w:lang w:val="en-US" w:eastAsia="es-ES"/>
              </w:rPr>
            </w:pPr>
            <w:r w:rsidRPr="00673328">
              <w:rPr>
                <w:rFonts w:ascii="Calibri" w:eastAsia="Times New Roman" w:hAnsi="Calibri" w:cs="Times New Roman"/>
                <w:b/>
                <w:bCs/>
                <w:color w:val="000000"/>
                <w:lang w:val="en-US" w:eastAsia="es-ES"/>
              </w:rPr>
              <w:t xml:space="preserve">RECURRENT AND CAPITAL SPENDING BY FACILITY LEVEL, % </w:t>
            </w:r>
          </w:p>
        </w:tc>
      </w:tr>
      <w:tr w:rsidR="00673328" w:rsidRPr="00673328" w:rsidTr="002129F5">
        <w:trPr>
          <w:trHeight w:val="630"/>
          <w:jc w:val="right"/>
        </w:trPr>
        <w:tc>
          <w:tcPr>
            <w:tcW w:w="1007" w:type="dxa"/>
            <w:tcBorders>
              <w:top w:val="nil"/>
              <w:left w:val="nil"/>
              <w:bottom w:val="nil"/>
              <w:right w:val="nil"/>
            </w:tcBorders>
            <w:shd w:val="clear" w:color="000000" w:fill="B2A1C7"/>
            <w:noWrap/>
            <w:vAlign w:val="bottom"/>
            <w:hideMark/>
          </w:tcPr>
          <w:p w:rsidR="00673328" w:rsidRPr="00673328" w:rsidRDefault="00673328" w:rsidP="00673328">
            <w:pPr>
              <w:spacing w:after="0" w:line="240" w:lineRule="auto"/>
              <w:rPr>
                <w:rFonts w:ascii="Calibri" w:eastAsia="Times New Roman" w:hAnsi="Calibri" w:cs="Times New Roman"/>
                <w:color w:val="000000"/>
                <w:sz w:val="24"/>
                <w:szCs w:val="24"/>
                <w:lang w:val="en-US" w:eastAsia="es-ES"/>
              </w:rPr>
            </w:pPr>
            <w:r w:rsidRPr="00673328">
              <w:rPr>
                <w:rFonts w:ascii="Calibri" w:eastAsia="Times New Roman" w:hAnsi="Calibri" w:cs="Times New Roman"/>
                <w:color w:val="000000"/>
                <w:sz w:val="24"/>
                <w:szCs w:val="24"/>
                <w:lang w:val="en-US" w:eastAsia="es-ES"/>
              </w:rPr>
              <w:t> </w:t>
            </w:r>
          </w:p>
        </w:tc>
        <w:tc>
          <w:tcPr>
            <w:tcW w:w="1238" w:type="dxa"/>
            <w:tcBorders>
              <w:top w:val="nil"/>
              <w:left w:val="nil"/>
              <w:bottom w:val="nil"/>
              <w:right w:val="nil"/>
            </w:tcBorders>
            <w:shd w:val="clear" w:color="000000" w:fill="B2A1C7"/>
            <w:vAlign w:val="center"/>
            <w:hideMark/>
          </w:tcPr>
          <w:p w:rsidR="00673328" w:rsidRPr="00673328" w:rsidRDefault="00673328" w:rsidP="00673328">
            <w:pPr>
              <w:spacing w:after="0" w:line="240" w:lineRule="auto"/>
              <w:jc w:val="center"/>
              <w:rPr>
                <w:rFonts w:ascii="Calibri" w:eastAsia="Times New Roman" w:hAnsi="Calibri" w:cs="Times New Roman"/>
                <w:b/>
                <w:bCs/>
                <w:color w:val="000000"/>
                <w:sz w:val="24"/>
                <w:szCs w:val="24"/>
                <w:lang w:eastAsia="es-ES"/>
              </w:rPr>
            </w:pPr>
            <w:r w:rsidRPr="00673328">
              <w:rPr>
                <w:rFonts w:ascii="Calibri" w:eastAsia="Times New Roman" w:hAnsi="Calibri" w:cs="Times New Roman"/>
                <w:b/>
                <w:bCs/>
                <w:color w:val="000000"/>
                <w:sz w:val="24"/>
                <w:szCs w:val="24"/>
                <w:lang w:eastAsia="es-ES"/>
              </w:rPr>
              <w:t>2006</w:t>
            </w:r>
          </w:p>
        </w:tc>
        <w:tc>
          <w:tcPr>
            <w:tcW w:w="1238" w:type="dxa"/>
            <w:tcBorders>
              <w:top w:val="nil"/>
              <w:left w:val="nil"/>
              <w:bottom w:val="nil"/>
              <w:right w:val="nil"/>
            </w:tcBorders>
            <w:shd w:val="clear" w:color="000000" w:fill="B2A1C7"/>
            <w:vAlign w:val="center"/>
            <w:hideMark/>
          </w:tcPr>
          <w:p w:rsidR="00673328" w:rsidRPr="00673328" w:rsidRDefault="00673328" w:rsidP="00673328">
            <w:pPr>
              <w:spacing w:after="0" w:line="240" w:lineRule="auto"/>
              <w:jc w:val="center"/>
              <w:rPr>
                <w:rFonts w:ascii="Calibri" w:eastAsia="Times New Roman" w:hAnsi="Calibri" w:cs="Times New Roman"/>
                <w:b/>
                <w:bCs/>
                <w:color w:val="000000"/>
                <w:sz w:val="24"/>
                <w:szCs w:val="24"/>
                <w:lang w:eastAsia="es-ES"/>
              </w:rPr>
            </w:pPr>
            <w:r w:rsidRPr="00673328">
              <w:rPr>
                <w:rFonts w:ascii="Calibri" w:eastAsia="Times New Roman" w:hAnsi="Calibri" w:cs="Times New Roman"/>
                <w:b/>
                <w:bCs/>
                <w:color w:val="000000"/>
                <w:sz w:val="24"/>
                <w:szCs w:val="24"/>
                <w:lang w:eastAsia="es-ES"/>
              </w:rPr>
              <w:t>2007</w:t>
            </w:r>
          </w:p>
        </w:tc>
        <w:tc>
          <w:tcPr>
            <w:tcW w:w="1238" w:type="dxa"/>
            <w:tcBorders>
              <w:top w:val="nil"/>
              <w:left w:val="nil"/>
              <w:bottom w:val="nil"/>
              <w:right w:val="nil"/>
            </w:tcBorders>
            <w:shd w:val="clear" w:color="000000" w:fill="B2A1C7"/>
            <w:vAlign w:val="center"/>
            <w:hideMark/>
          </w:tcPr>
          <w:p w:rsidR="00673328" w:rsidRPr="00673328" w:rsidRDefault="00673328" w:rsidP="00673328">
            <w:pPr>
              <w:spacing w:after="0" w:line="240" w:lineRule="auto"/>
              <w:jc w:val="center"/>
              <w:rPr>
                <w:rFonts w:ascii="Calibri" w:eastAsia="Times New Roman" w:hAnsi="Calibri" w:cs="Times New Roman"/>
                <w:b/>
                <w:bCs/>
                <w:color w:val="000000"/>
                <w:sz w:val="24"/>
                <w:szCs w:val="24"/>
                <w:lang w:eastAsia="es-ES"/>
              </w:rPr>
            </w:pPr>
            <w:r w:rsidRPr="00673328">
              <w:rPr>
                <w:rFonts w:ascii="Calibri" w:eastAsia="Times New Roman" w:hAnsi="Calibri" w:cs="Times New Roman"/>
                <w:b/>
                <w:bCs/>
                <w:color w:val="000000"/>
                <w:sz w:val="24"/>
                <w:szCs w:val="24"/>
                <w:lang w:eastAsia="es-ES"/>
              </w:rPr>
              <w:t>2008</w:t>
            </w:r>
          </w:p>
        </w:tc>
        <w:tc>
          <w:tcPr>
            <w:tcW w:w="1238" w:type="dxa"/>
            <w:tcBorders>
              <w:top w:val="nil"/>
              <w:left w:val="nil"/>
              <w:bottom w:val="nil"/>
              <w:right w:val="nil"/>
            </w:tcBorders>
            <w:shd w:val="clear" w:color="000000" w:fill="B2A1C7"/>
            <w:vAlign w:val="center"/>
            <w:hideMark/>
          </w:tcPr>
          <w:p w:rsidR="00673328" w:rsidRPr="00673328" w:rsidRDefault="00673328" w:rsidP="00673328">
            <w:pPr>
              <w:spacing w:after="0" w:line="240" w:lineRule="auto"/>
              <w:jc w:val="center"/>
              <w:rPr>
                <w:rFonts w:ascii="Calibri" w:eastAsia="Times New Roman" w:hAnsi="Calibri" w:cs="Times New Roman"/>
                <w:b/>
                <w:bCs/>
                <w:color w:val="000000"/>
                <w:sz w:val="24"/>
                <w:szCs w:val="24"/>
                <w:lang w:eastAsia="es-ES"/>
              </w:rPr>
            </w:pPr>
            <w:r w:rsidRPr="00673328">
              <w:rPr>
                <w:rFonts w:ascii="Calibri" w:eastAsia="Times New Roman" w:hAnsi="Calibri" w:cs="Times New Roman"/>
                <w:b/>
                <w:bCs/>
                <w:color w:val="000000"/>
                <w:sz w:val="24"/>
                <w:szCs w:val="24"/>
                <w:lang w:eastAsia="es-ES"/>
              </w:rPr>
              <w:t>2009</w:t>
            </w:r>
          </w:p>
        </w:tc>
        <w:tc>
          <w:tcPr>
            <w:tcW w:w="1341" w:type="dxa"/>
            <w:tcBorders>
              <w:top w:val="nil"/>
              <w:left w:val="nil"/>
              <w:bottom w:val="nil"/>
              <w:right w:val="nil"/>
            </w:tcBorders>
            <w:shd w:val="clear" w:color="000000" w:fill="B2A1C7"/>
            <w:vAlign w:val="center"/>
            <w:hideMark/>
          </w:tcPr>
          <w:p w:rsidR="00673328" w:rsidRPr="00673328" w:rsidRDefault="00673328" w:rsidP="00673328">
            <w:pPr>
              <w:spacing w:after="0" w:line="240" w:lineRule="auto"/>
              <w:jc w:val="center"/>
              <w:rPr>
                <w:rFonts w:ascii="Calibri" w:eastAsia="Times New Roman" w:hAnsi="Calibri" w:cs="Times New Roman"/>
                <w:b/>
                <w:bCs/>
                <w:color w:val="000000"/>
                <w:sz w:val="24"/>
                <w:szCs w:val="24"/>
                <w:lang w:eastAsia="es-ES"/>
              </w:rPr>
            </w:pPr>
            <w:r w:rsidRPr="00673328">
              <w:rPr>
                <w:rFonts w:ascii="Calibri" w:eastAsia="Times New Roman" w:hAnsi="Calibri" w:cs="Times New Roman"/>
                <w:b/>
                <w:bCs/>
                <w:color w:val="000000"/>
                <w:sz w:val="24"/>
                <w:szCs w:val="24"/>
                <w:lang w:eastAsia="es-ES"/>
              </w:rPr>
              <w:t>2010 (</w:t>
            </w:r>
            <w:proofErr w:type="spellStart"/>
            <w:r w:rsidRPr="00673328">
              <w:rPr>
                <w:rFonts w:ascii="Calibri" w:eastAsia="Times New Roman" w:hAnsi="Calibri" w:cs="Times New Roman"/>
                <w:b/>
                <w:bCs/>
                <w:color w:val="000000"/>
                <w:sz w:val="24"/>
                <w:szCs w:val="24"/>
                <w:lang w:eastAsia="es-ES"/>
              </w:rPr>
              <w:t>Budgeted</w:t>
            </w:r>
            <w:proofErr w:type="spellEnd"/>
            <w:r w:rsidRPr="00673328">
              <w:rPr>
                <w:rFonts w:ascii="Calibri" w:eastAsia="Times New Roman" w:hAnsi="Calibri" w:cs="Times New Roman"/>
                <w:b/>
                <w:bCs/>
                <w:color w:val="000000"/>
                <w:sz w:val="24"/>
                <w:szCs w:val="24"/>
                <w:lang w:eastAsia="es-ES"/>
              </w:rPr>
              <w:t>)</w:t>
            </w:r>
          </w:p>
        </w:tc>
      </w:tr>
      <w:tr w:rsidR="00673328" w:rsidRPr="00673328" w:rsidTr="002129F5">
        <w:trPr>
          <w:trHeight w:val="315"/>
          <w:jc w:val="right"/>
        </w:trPr>
        <w:tc>
          <w:tcPr>
            <w:tcW w:w="1007" w:type="dxa"/>
            <w:tcBorders>
              <w:top w:val="nil"/>
              <w:left w:val="nil"/>
              <w:bottom w:val="nil"/>
              <w:right w:val="nil"/>
            </w:tcBorders>
            <w:shd w:val="clear" w:color="000000" w:fill="CCCCFF"/>
            <w:noWrap/>
            <w:vAlign w:val="bottom"/>
            <w:hideMark/>
          </w:tcPr>
          <w:p w:rsidR="00673328" w:rsidRPr="00673328" w:rsidRDefault="00673328" w:rsidP="00673328">
            <w:pPr>
              <w:spacing w:after="0" w:line="240" w:lineRule="auto"/>
              <w:rPr>
                <w:rFonts w:ascii="Calibri" w:eastAsia="Times New Roman" w:hAnsi="Calibri" w:cs="Times New Roman"/>
                <w:b/>
                <w:bCs/>
                <w:color w:val="000000"/>
                <w:sz w:val="24"/>
                <w:szCs w:val="24"/>
                <w:lang w:eastAsia="es-ES"/>
              </w:rPr>
            </w:pPr>
            <w:proofErr w:type="spellStart"/>
            <w:r w:rsidRPr="00673328">
              <w:rPr>
                <w:rFonts w:ascii="Calibri" w:eastAsia="Times New Roman" w:hAnsi="Calibri" w:cs="Times New Roman"/>
                <w:b/>
                <w:bCs/>
                <w:color w:val="000000"/>
                <w:sz w:val="24"/>
                <w:szCs w:val="24"/>
                <w:lang w:eastAsia="es-ES"/>
              </w:rPr>
              <w:t>Preschool</w:t>
            </w:r>
            <w:proofErr w:type="spellEnd"/>
          </w:p>
        </w:tc>
        <w:tc>
          <w:tcPr>
            <w:tcW w:w="1238" w:type="dxa"/>
            <w:tcBorders>
              <w:top w:val="nil"/>
              <w:left w:val="nil"/>
              <w:bottom w:val="nil"/>
              <w:right w:val="nil"/>
            </w:tcBorders>
            <w:shd w:val="clear" w:color="000000" w:fill="CCCCFF"/>
            <w:noWrap/>
            <w:vAlign w:val="bottom"/>
            <w:hideMark/>
          </w:tcPr>
          <w:p w:rsidR="00673328" w:rsidRPr="00673328" w:rsidRDefault="00673328" w:rsidP="00673328">
            <w:pPr>
              <w:spacing w:after="0" w:line="240" w:lineRule="auto"/>
              <w:rPr>
                <w:rFonts w:ascii="Calibri" w:eastAsia="Times New Roman" w:hAnsi="Calibri" w:cs="Times New Roman"/>
                <w:color w:val="000000"/>
                <w:lang w:eastAsia="es-ES"/>
              </w:rPr>
            </w:pPr>
            <w:r w:rsidRPr="00673328">
              <w:rPr>
                <w:rFonts w:ascii="Calibri" w:eastAsia="Times New Roman" w:hAnsi="Calibri" w:cs="Times New Roman"/>
                <w:color w:val="000000"/>
                <w:lang w:eastAsia="es-ES"/>
              </w:rPr>
              <w:t> </w:t>
            </w:r>
          </w:p>
        </w:tc>
        <w:tc>
          <w:tcPr>
            <w:tcW w:w="1238" w:type="dxa"/>
            <w:tcBorders>
              <w:top w:val="nil"/>
              <w:left w:val="nil"/>
              <w:bottom w:val="nil"/>
              <w:right w:val="nil"/>
            </w:tcBorders>
            <w:shd w:val="clear" w:color="000000" w:fill="CCCCFF"/>
            <w:noWrap/>
            <w:vAlign w:val="bottom"/>
            <w:hideMark/>
          </w:tcPr>
          <w:p w:rsidR="00673328" w:rsidRPr="00673328" w:rsidRDefault="00673328" w:rsidP="00673328">
            <w:pPr>
              <w:spacing w:after="0" w:line="240" w:lineRule="auto"/>
              <w:rPr>
                <w:rFonts w:ascii="Calibri" w:eastAsia="Times New Roman" w:hAnsi="Calibri" w:cs="Times New Roman"/>
                <w:color w:val="000000"/>
                <w:lang w:eastAsia="es-ES"/>
              </w:rPr>
            </w:pPr>
            <w:r w:rsidRPr="00673328">
              <w:rPr>
                <w:rFonts w:ascii="Calibri" w:eastAsia="Times New Roman" w:hAnsi="Calibri" w:cs="Times New Roman"/>
                <w:color w:val="000000"/>
                <w:lang w:eastAsia="es-ES"/>
              </w:rPr>
              <w:t> </w:t>
            </w:r>
          </w:p>
        </w:tc>
        <w:tc>
          <w:tcPr>
            <w:tcW w:w="1238" w:type="dxa"/>
            <w:tcBorders>
              <w:top w:val="nil"/>
              <w:left w:val="nil"/>
              <w:bottom w:val="nil"/>
              <w:right w:val="nil"/>
            </w:tcBorders>
            <w:shd w:val="clear" w:color="000000" w:fill="CCCCFF"/>
            <w:noWrap/>
            <w:vAlign w:val="bottom"/>
            <w:hideMark/>
          </w:tcPr>
          <w:p w:rsidR="00673328" w:rsidRPr="00673328" w:rsidRDefault="00673328" w:rsidP="00673328">
            <w:pPr>
              <w:spacing w:after="0" w:line="240" w:lineRule="auto"/>
              <w:rPr>
                <w:rFonts w:ascii="Calibri" w:eastAsia="Times New Roman" w:hAnsi="Calibri" w:cs="Times New Roman"/>
                <w:color w:val="000000"/>
                <w:lang w:eastAsia="es-ES"/>
              </w:rPr>
            </w:pPr>
            <w:r w:rsidRPr="00673328">
              <w:rPr>
                <w:rFonts w:ascii="Calibri" w:eastAsia="Times New Roman" w:hAnsi="Calibri" w:cs="Times New Roman"/>
                <w:color w:val="000000"/>
                <w:lang w:eastAsia="es-ES"/>
              </w:rPr>
              <w:t> </w:t>
            </w:r>
          </w:p>
        </w:tc>
        <w:tc>
          <w:tcPr>
            <w:tcW w:w="1238" w:type="dxa"/>
            <w:tcBorders>
              <w:top w:val="nil"/>
              <w:left w:val="nil"/>
              <w:bottom w:val="nil"/>
              <w:right w:val="nil"/>
            </w:tcBorders>
            <w:shd w:val="clear" w:color="000000" w:fill="CCCCFF"/>
            <w:noWrap/>
            <w:vAlign w:val="bottom"/>
            <w:hideMark/>
          </w:tcPr>
          <w:p w:rsidR="00673328" w:rsidRPr="00673328" w:rsidRDefault="00673328" w:rsidP="00673328">
            <w:pPr>
              <w:spacing w:after="0" w:line="240" w:lineRule="auto"/>
              <w:rPr>
                <w:rFonts w:ascii="Calibri" w:eastAsia="Times New Roman" w:hAnsi="Calibri" w:cs="Times New Roman"/>
                <w:color w:val="000000"/>
                <w:lang w:eastAsia="es-ES"/>
              </w:rPr>
            </w:pPr>
            <w:r w:rsidRPr="00673328">
              <w:rPr>
                <w:rFonts w:ascii="Calibri" w:eastAsia="Times New Roman" w:hAnsi="Calibri" w:cs="Times New Roman"/>
                <w:color w:val="000000"/>
                <w:lang w:eastAsia="es-ES"/>
              </w:rPr>
              <w:t> </w:t>
            </w:r>
          </w:p>
        </w:tc>
        <w:tc>
          <w:tcPr>
            <w:tcW w:w="1341" w:type="dxa"/>
            <w:tcBorders>
              <w:top w:val="nil"/>
              <w:left w:val="nil"/>
              <w:bottom w:val="nil"/>
              <w:right w:val="nil"/>
            </w:tcBorders>
            <w:shd w:val="clear" w:color="000000" w:fill="CCCCFF"/>
            <w:noWrap/>
            <w:vAlign w:val="bottom"/>
            <w:hideMark/>
          </w:tcPr>
          <w:p w:rsidR="00673328" w:rsidRPr="00673328" w:rsidRDefault="00673328" w:rsidP="00673328">
            <w:pPr>
              <w:spacing w:after="0" w:line="240" w:lineRule="auto"/>
              <w:rPr>
                <w:rFonts w:ascii="Calibri" w:eastAsia="Times New Roman" w:hAnsi="Calibri" w:cs="Times New Roman"/>
                <w:color w:val="000000"/>
                <w:lang w:eastAsia="es-ES"/>
              </w:rPr>
            </w:pPr>
            <w:r w:rsidRPr="00673328">
              <w:rPr>
                <w:rFonts w:ascii="Calibri" w:eastAsia="Times New Roman" w:hAnsi="Calibri" w:cs="Times New Roman"/>
                <w:color w:val="000000"/>
                <w:lang w:eastAsia="es-ES"/>
              </w:rPr>
              <w:t> </w:t>
            </w:r>
          </w:p>
        </w:tc>
      </w:tr>
      <w:tr w:rsidR="00673328" w:rsidRPr="00673328" w:rsidTr="002129F5">
        <w:trPr>
          <w:trHeight w:val="300"/>
          <w:jc w:val="right"/>
        </w:trPr>
        <w:tc>
          <w:tcPr>
            <w:tcW w:w="1007" w:type="dxa"/>
            <w:tcBorders>
              <w:top w:val="nil"/>
              <w:left w:val="nil"/>
              <w:bottom w:val="nil"/>
              <w:right w:val="nil"/>
            </w:tcBorders>
            <w:shd w:val="clear" w:color="auto" w:fill="auto"/>
            <w:noWrap/>
            <w:vAlign w:val="bottom"/>
            <w:hideMark/>
          </w:tcPr>
          <w:p w:rsidR="00673328" w:rsidRPr="00673328" w:rsidRDefault="00673328" w:rsidP="00673328">
            <w:pPr>
              <w:spacing w:after="0" w:line="240" w:lineRule="auto"/>
              <w:rPr>
                <w:rFonts w:ascii="Calibri" w:eastAsia="Times New Roman" w:hAnsi="Calibri" w:cs="Times New Roman"/>
                <w:color w:val="000000"/>
                <w:lang w:eastAsia="es-ES"/>
              </w:rPr>
            </w:pPr>
            <w:r w:rsidRPr="00673328">
              <w:rPr>
                <w:rFonts w:ascii="Calibri" w:eastAsia="Times New Roman" w:hAnsi="Calibri" w:cs="Times New Roman"/>
                <w:color w:val="000000"/>
                <w:lang w:eastAsia="es-ES"/>
              </w:rPr>
              <w:t>TOTAL</w:t>
            </w:r>
          </w:p>
        </w:tc>
        <w:tc>
          <w:tcPr>
            <w:tcW w:w="1238" w:type="dxa"/>
            <w:tcBorders>
              <w:top w:val="nil"/>
              <w:left w:val="nil"/>
              <w:bottom w:val="nil"/>
              <w:right w:val="nil"/>
            </w:tcBorders>
            <w:shd w:val="clear" w:color="auto" w:fill="auto"/>
            <w:noWrap/>
            <w:vAlign w:val="bottom"/>
            <w:hideMark/>
          </w:tcPr>
          <w:p w:rsidR="00673328" w:rsidRPr="00673328" w:rsidRDefault="00673328" w:rsidP="00673328">
            <w:pPr>
              <w:spacing w:after="0" w:line="240" w:lineRule="auto"/>
              <w:rPr>
                <w:rFonts w:ascii="Calibri" w:eastAsia="Times New Roman" w:hAnsi="Calibri" w:cs="Times New Roman"/>
                <w:color w:val="000000"/>
                <w:lang w:eastAsia="es-ES"/>
              </w:rPr>
            </w:pPr>
          </w:p>
        </w:tc>
        <w:tc>
          <w:tcPr>
            <w:tcW w:w="1238" w:type="dxa"/>
            <w:tcBorders>
              <w:top w:val="nil"/>
              <w:left w:val="nil"/>
              <w:bottom w:val="nil"/>
              <w:right w:val="nil"/>
            </w:tcBorders>
            <w:shd w:val="clear" w:color="auto" w:fill="auto"/>
            <w:noWrap/>
            <w:vAlign w:val="bottom"/>
            <w:hideMark/>
          </w:tcPr>
          <w:p w:rsidR="00673328" w:rsidRPr="00673328" w:rsidRDefault="00673328" w:rsidP="00673328">
            <w:pPr>
              <w:spacing w:after="0" w:line="240" w:lineRule="auto"/>
              <w:jc w:val="right"/>
              <w:rPr>
                <w:rFonts w:ascii="Calibri" w:eastAsia="Times New Roman" w:hAnsi="Calibri" w:cs="Times New Roman"/>
                <w:color w:val="000000"/>
                <w:lang w:eastAsia="es-ES"/>
              </w:rPr>
            </w:pPr>
            <w:r w:rsidRPr="00673328">
              <w:rPr>
                <w:rFonts w:ascii="Calibri" w:eastAsia="Times New Roman" w:hAnsi="Calibri" w:cs="Times New Roman"/>
                <w:color w:val="000000"/>
                <w:lang w:eastAsia="es-ES"/>
              </w:rPr>
              <w:t>4.67%</w:t>
            </w:r>
          </w:p>
        </w:tc>
        <w:tc>
          <w:tcPr>
            <w:tcW w:w="1238" w:type="dxa"/>
            <w:tcBorders>
              <w:top w:val="nil"/>
              <w:left w:val="nil"/>
              <w:bottom w:val="nil"/>
              <w:right w:val="nil"/>
            </w:tcBorders>
            <w:shd w:val="clear" w:color="auto" w:fill="auto"/>
            <w:noWrap/>
            <w:vAlign w:val="bottom"/>
            <w:hideMark/>
          </w:tcPr>
          <w:p w:rsidR="00673328" w:rsidRPr="00673328" w:rsidRDefault="00673328" w:rsidP="00673328">
            <w:pPr>
              <w:spacing w:after="0" w:line="240" w:lineRule="auto"/>
              <w:jc w:val="right"/>
              <w:rPr>
                <w:rFonts w:ascii="Calibri" w:eastAsia="Times New Roman" w:hAnsi="Calibri" w:cs="Times New Roman"/>
                <w:color w:val="000000"/>
                <w:lang w:eastAsia="es-ES"/>
              </w:rPr>
            </w:pPr>
            <w:r w:rsidRPr="00673328">
              <w:rPr>
                <w:rFonts w:ascii="Calibri" w:eastAsia="Times New Roman" w:hAnsi="Calibri" w:cs="Times New Roman"/>
                <w:color w:val="000000"/>
                <w:lang w:eastAsia="es-ES"/>
              </w:rPr>
              <w:t>2.32%</w:t>
            </w:r>
          </w:p>
        </w:tc>
        <w:tc>
          <w:tcPr>
            <w:tcW w:w="1238" w:type="dxa"/>
            <w:tcBorders>
              <w:top w:val="nil"/>
              <w:left w:val="nil"/>
              <w:bottom w:val="nil"/>
              <w:right w:val="nil"/>
            </w:tcBorders>
            <w:shd w:val="clear" w:color="auto" w:fill="auto"/>
            <w:noWrap/>
            <w:vAlign w:val="bottom"/>
            <w:hideMark/>
          </w:tcPr>
          <w:p w:rsidR="00673328" w:rsidRPr="00673328" w:rsidRDefault="00673328" w:rsidP="00673328">
            <w:pPr>
              <w:spacing w:after="0" w:line="240" w:lineRule="auto"/>
              <w:jc w:val="right"/>
              <w:rPr>
                <w:rFonts w:ascii="Calibri" w:eastAsia="Times New Roman" w:hAnsi="Calibri" w:cs="Times New Roman"/>
                <w:color w:val="000000"/>
                <w:lang w:eastAsia="es-ES"/>
              </w:rPr>
            </w:pPr>
            <w:r w:rsidRPr="00673328">
              <w:rPr>
                <w:rFonts w:ascii="Calibri" w:eastAsia="Times New Roman" w:hAnsi="Calibri" w:cs="Times New Roman"/>
                <w:color w:val="000000"/>
                <w:lang w:eastAsia="es-ES"/>
              </w:rPr>
              <w:t>6.85%</w:t>
            </w:r>
          </w:p>
        </w:tc>
        <w:tc>
          <w:tcPr>
            <w:tcW w:w="1341" w:type="dxa"/>
            <w:tcBorders>
              <w:top w:val="nil"/>
              <w:left w:val="nil"/>
              <w:bottom w:val="nil"/>
              <w:right w:val="nil"/>
            </w:tcBorders>
            <w:shd w:val="clear" w:color="auto" w:fill="auto"/>
            <w:noWrap/>
            <w:vAlign w:val="bottom"/>
            <w:hideMark/>
          </w:tcPr>
          <w:p w:rsidR="00673328" w:rsidRPr="00673328" w:rsidRDefault="00673328" w:rsidP="00673328">
            <w:pPr>
              <w:spacing w:after="0" w:line="240" w:lineRule="auto"/>
              <w:jc w:val="right"/>
              <w:rPr>
                <w:rFonts w:ascii="Calibri" w:eastAsia="Times New Roman" w:hAnsi="Calibri" w:cs="Times New Roman"/>
                <w:color w:val="000000"/>
                <w:lang w:eastAsia="es-ES"/>
              </w:rPr>
            </w:pPr>
            <w:r w:rsidRPr="00673328">
              <w:rPr>
                <w:rFonts w:ascii="Calibri" w:eastAsia="Times New Roman" w:hAnsi="Calibri" w:cs="Times New Roman"/>
                <w:color w:val="000000"/>
                <w:lang w:eastAsia="es-ES"/>
              </w:rPr>
              <w:t>4.97%</w:t>
            </w:r>
          </w:p>
        </w:tc>
      </w:tr>
      <w:tr w:rsidR="00673328" w:rsidRPr="00673328" w:rsidTr="002129F5">
        <w:trPr>
          <w:trHeight w:val="300"/>
          <w:jc w:val="right"/>
        </w:trPr>
        <w:tc>
          <w:tcPr>
            <w:tcW w:w="1007" w:type="dxa"/>
            <w:tcBorders>
              <w:top w:val="nil"/>
              <w:left w:val="nil"/>
              <w:bottom w:val="nil"/>
              <w:right w:val="nil"/>
            </w:tcBorders>
            <w:shd w:val="clear" w:color="auto" w:fill="auto"/>
            <w:noWrap/>
            <w:vAlign w:val="bottom"/>
            <w:hideMark/>
          </w:tcPr>
          <w:p w:rsidR="00673328" w:rsidRPr="00673328" w:rsidRDefault="00673328" w:rsidP="00673328">
            <w:pPr>
              <w:spacing w:after="0" w:line="240" w:lineRule="auto"/>
              <w:rPr>
                <w:rFonts w:ascii="Calibri" w:eastAsia="Times New Roman" w:hAnsi="Calibri" w:cs="Times New Roman"/>
                <w:color w:val="000000"/>
                <w:lang w:eastAsia="es-ES"/>
              </w:rPr>
            </w:pPr>
            <w:r w:rsidRPr="00673328">
              <w:rPr>
                <w:rFonts w:ascii="Calibri" w:eastAsia="Times New Roman" w:hAnsi="Calibri" w:cs="Times New Roman"/>
                <w:color w:val="000000"/>
                <w:lang w:eastAsia="es-ES"/>
              </w:rPr>
              <w:t xml:space="preserve">   </w:t>
            </w:r>
            <w:proofErr w:type="spellStart"/>
            <w:r w:rsidRPr="00673328">
              <w:rPr>
                <w:rFonts w:ascii="Calibri" w:eastAsia="Times New Roman" w:hAnsi="Calibri" w:cs="Times New Roman"/>
                <w:color w:val="000000"/>
                <w:lang w:eastAsia="es-ES"/>
              </w:rPr>
              <w:t>Wages</w:t>
            </w:r>
            <w:proofErr w:type="spellEnd"/>
          </w:p>
        </w:tc>
        <w:tc>
          <w:tcPr>
            <w:tcW w:w="1238" w:type="dxa"/>
            <w:tcBorders>
              <w:top w:val="nil"/>
              <w:left w:val="nil"/>
              <w:bottom w:val="nil"/>
              <w:right w:val="nil"/>
            </w:tcBorders>
            <w:shd w:val="clear" w:color="auto" w:fill="auto"/>
            <w:noWrap/>
            <w:vAlign w:val="bottom"/>
            <w:hideMark/>
          </w:tcPr>
          <w:p w:rsidR="00673328" w:rsidRPr="00673328" w:rsidRDefault="00673328" w:rsidP="00673328">
            <w:pPr>
              <w:spacing w:after="0" w:line="240" w:lineRule="auto"/>
              <w:rPr>
                <w:rFonts w:ascii="Calibri" w:eastAsia="Times New Roman" w:hAnsi="Calibri" w:cs="Times New Roman"/>
                <w:color w:val="000000"/>
                <w:lang w:eastAsia="es-ES"/>
              </w:rPr>
            </w:pPr>
          </w:p>
        </w:tc>
        <w:tc>
          <w:tcPr>
            <w:tcW w:w="1238" w:type="dxa"/>
            <w:tcBorders>
              <w:top w:val="nil"/>
              <w:left w:val="nil"/>
              <w:bottom w:val="nil"/>
              <w:right w:val="nil"/>
            </w:tcBorders>
            <w:shd w:val="clear" w:color="auto" w:fill="auto"/>
            <w:noWrap/>
            <w:vAlign w:val="bottom"/>
            <w:hideMark/>
          </w:tcPr>
          <w:p w:rsidR="00673328" w:rsidRPr="00673328" w:rsidRDefault="00673328" w:rsidP="00673328">
            <w:pPr>
              <w:spacing w:after="0" w:line="240" w:lineRule="auto"/>
              <w:jc w:val="right"/>
              <w:rPr>
                <w:rFonts w:ascii="Calibri" w:eastAsia="Times New Roman" w:hAnsi="Calibri" w:cs="Times New Roman"/>
                <w:color w:val="000000"/>
                <w:lang w:eastAsia="es-ES"/>
              </w:rPr>
            </w:pPr>
            <w:r w:rsidRPr="00673328">
              <w:rPr>
                <w:rFonts w:ascii="Calibri" w:eastAsia="Times New Roman" w:hAnsi="Calibri" w:cs="Times New Roman"/>
                <w:color w:val="000000"/>
                <w:lang w:eastAsia="es-ES"/>
              </w:rPr>
              <w:t>3.62%</w:t>
            </w:r>
          </w:p>
        </w:tc>
        <w:tc>
          <w:tcPr>
            <w:tcW w:w="1238" w:type="dxa"/>
            <w:tcBorders>
              <w:top w:val="nil"/>
              <w:left w:val="nil"/>
              <w:bottom w:val="nil"/>
              <w:right w:val="nil"/>
            </w:tcBorders>
            <w:shd w:val="clear" w:color="auto" w:fill="auto"/>
            <w:noWrap/>
            <w:vAlign w:val="bottom"/>
            <w:hideMark/>
          </w:tcPr>
          <w:p w:rsidR="00673328" w:rsidRPr="00673328" w:rsidRDefault="00673328" w:rsidP="00673328">
            <w:pPr>
              <w:spacing w:after="0" w:line="240" w:lineRule="auto"/>
              <w:jc w:val="right"/>
              <w:rPr>
                <w:rFonts w:ascii="Calibri" w:eastAsia="Times New Roman" w:hAnsi="Calibri" w:cs="Times New Roman"/>
                <w:color w:val="000000"/>
                <w:lang w:eastAsia="es-ES"/>
              </w:rPr>
            </w:pPr>
            <w:r w:rsidRPr="00673328">
              <w:rPr>
                <w:rFonts w:ascii="Calibri" w:eastAsia="Times New Roman" w:hAnsi="Calibri" w:cs="Times New Roman"/>
                <w:color w:val="000000"/>
                <w:lang w:eastAsia="es-ES"/>
              </w:rPr>
              <w:t>1.80%</w:t>
            </w:r>
          </w:p>
        </w:tc>
        <w:tc>
          <w:tcPr>
            <w:tcW w:w="1238" w:type="dxa"/>
            <w:tcBorders>
              <w:top w:val="nil"/>
              <w:left w:val="nil"/>
              <w:bottom w:val="nil"/>
              <w:right w:val="nil"/>
            </w:tcBorders>
            <w:shd w:val="clear" w:color="auto" w:fill="auto"/>
            <w:noWrap/>
            <w:vAlign w:val="bottom"/>
            <w:hideMark/>
          </w:tcPr>
          <w:p w:rsidR="00673328" w:rsidRPr="00673328" w:rsidRDefault="00673328" w:rsidP="00673328">
            <w:pPr>
              <w:spacing w:after="0" w:line="240" w:lineRule="auto"/>
              <w:jc w:val="right"/>
              <w:rPr>
                <w:rFonts w:ascii="Calibri" w:eastAsia="Times New Roman" w:hAnsi="Calibri" w:cs="Times New Roman"/>
                <w:color w:val="000000"/>
                <w:lang w:eastAsia="es-ES"/>
              </w:rPr>
            </w:pPr>
            <w:r w:rsidRPr="00673328">
              <w:rPr>
                <w:rFonts w:ascii="Calibri" w:eastAsia="Times New Roman" w:hAnsi="Calibri" w:cs="Times New Roman"/>
                <w:color w:val="000000"/>
                <w:lang w:eastAsia="es-ES"/>
              </w:rPr>
              <w:t>7.30%</w:t>
            </w:r>
          </w:p>
        </w:tc>
        <w:tc>
          <w:tcPr>
            <w:tcW w:w="1341" w:type="dxa"/>
            <w:tcBorders>
              <w:top w:val="nil"/>
              <w:left w:val="nil"/>
              <w:bottom w:val="nil"/>
              <w:right w:val="nil"/>
            </w:tcBorders>
            <w:shd w:val="clear" w:color="auto" w:fill="auto"/>
            <w:noWrap/>
            <w:vAlign w:val="bottom"/>
            <w:hideMark/>
          </w:tcPr>
          <w:p w:rsidR="00673328" w:rsidRPr="00673328" w:rsidRDefault="00673328" w:rsidP="00673328">
            <w:pPr>
              <w:spacing w:after="0" w:line="240" w:lineRule="auto"/>
              <w:jc w:val="right"/>
              <w:rPr>
                <w:rFonts w:ascii="Calibri" w:eastAsia="Times New Roman" w:hAnsi="Calibri" w:cs="Times New Roman"/>
                <w:color w:val="000000"/>
                <w:lang w:eastAsia="es-ES"/>
              </w:rPr>
            </w:pPr>
            <w:r w:rsidRPr="00673328">
              <w:rPr>
                <w:rFonts w:ascii="Calibri" w:eastAsia="Times New Roman" w:hAnsi="Calibri" w:cs="Times New Roman"/>
                <w:color w:val="000000"/>
                <w:lang w:eastAsia="es-ES"/>
              </w:rPr>
              <w:t>3.99%</w:t>
            </w:r>
          </w:p>
        </w:tc>
      </w:tr>
      <w:tr w:rsidR="00673328" w:rsidRPr="00673328" w:rsidTr="002129F5">
        <w:trPr>
          <w:trHeight w:val="300"/>
          <w:jc w:val="right"/>
        </w:trPr>
        <w:tc>
          <w:tcPr>
            <w:tcW w:w="2245" w:type="dxa"/>
            <w:gridSpan w:val="2"/>
            <w:tcBorders>
              <w:top w:val="nil"/>
              <w:left w:val="nil"/>
              <w:bottom w:val="nil"/>
              <w:right w:val="nil"/>
            </w:tcBorders>
            <w:shd w:val="clear" w:color="auto" w:fill="auto"/>
            <w:noWrap/>
            <w:vAlign w:val="bottom"/>
            <w:hideMark/>
          </w:tcPr>
          <w:p w:rsidR="00673328" w:rsidRPr="00673328" w:rsidRDefault="00673328" w:rsidP="00673328">
            <w:pPr>
              <w:spacing w:after="0" w:line="240" w:lineRule="auto"/>
              <w:rPr>
                <w:rFonts w:ascii="Calibri" w:eastAsia="Times New Roman" w:hAnsi="Calibri" w:cs="Times New Roman"/>
                <w:color w:val="000000"/>
                <w:lang w:eastAsia="es-ES"/>
              </w:rPr>
            </w:pPr>
            <w:r w:rsidRPr="00673328">
              <w:rPr>
                <w:rFonts w:ascii="Calibri" w:eastAsia="Times New Roman" w:hAnsi="Calibri" w:cs="Times New Roman"/>
                <w:color w:val="000000"/>
                <w:lang w:eastAsia="es-ES"/>
              </w:rPr>
              <w:t xml:space="preserve">   Non-</w:t>
            </w:r>
            <w:proofErr w:type="spellStart"/>
            <w:r w:rsidRPr="00673328">
              <w:rPr>
                <w:rFonts w:ascii="Calibri" w:eastAsia="Times New Roman" w:hAnsi="Calibri" w:cs="Times New Roman"/>
                <w:color w:val="000000"/>
                <w:lang w:eastAsia="es-ES"/>
              </w:rPr>
              <w:t>Wages</w:t>
            </w:r>
            <w:proofErr w:type="spellEnd"/>
          </w:p>
        </w:tc>
        <w:tc>
          <w:tcPr>
            <w:tcW w:w="1238" w:type="dxa"/>
            <w:tcBorders>
              <w:top w:val="nil"/>
              <w:left w:val="nil"/>
              <w:bottom w:val="nil"/>
              <w:right w:val="nil"/>
            </w:tcBorders>
            <w:shd w:val="clear" w:color="auto" w:fill="auto"/>
            <w:noWrap/>
            <w:vAlign w:val="bottom"/>
            <w:hideMark/>
          </w:tcPr>
          <w:p w:rsidR="00673328" w:rsidRPr="00673328" w:rsidRDefault="00673328" w:rsidP="00673328">
            <w:pPr>
              <w:spacing w:after="0" w:line="240" w:lineRule="auto"/>
              <w:jc w:val="right"/>
              <w:rPr>
                <w:rFonts w:ascii="Calibri" w:eastAsia="Times New Roman" w:hAnsi="Calibri" w:cs="Times New Roman"/>
                <w:color w:val="000000"/>
                <w:lang w:eastAsia="es-ES"/>
              </w:rPr>
            </w:pPr>
            <w:r w:rsidRPr="00673328">
              <w:rPr>
                <w:rFonts w:ascii="Calibri" w:eastAsia="Times New Roman" w:hAnsi="Calibri" w:cs="Times New Roman"/>
                <w:color w:val="000000"/>
                <w:lang w:eastAsia="es-ES"/>
              </w:rPr>
              <w:t>8.42%</w:t>
            </w:r>
          </w:p>
        </w:tc>
        <w:tc>
          <w:tcPr>
            <w:tcW w:w="1238" w:type="dxa"/>
            <w:tcBorders>
              <w:top w:val="nil"/>
              <w:left w:val="nil"/>
              <w:bottom w:val="nil"/>
              <w:right w:val="nil"/>
            </w:tcBorders>
            <w:shd w:val="clear" w:color="auto" w:fill="auto"/>
            <w:noWrap/>
            <w:vAlign w:val="bottom"/>
            <w:hideMark/>
          </w:tcPr>
          <w:p w:rsidR="00673328" w:rsidRPr="00673328" w:rsidRDefault="00673328" w:rsidP="00673328">
            <w:pPr>
              <w:spacing w:after="0" w:line="240" w:lineRule="auto"/>
              <w:jc w:val="right"/>
              <w:rPr>
                <w:rFonts w:ascii="Calibri" w:eastAsia="Times New Roman" w:hAnsi="Calibri" w:cs="Times New Roman"/>
                <w:color w:val="000000"/>
                <w:lang w:eastAsia="es-ES"/>
              </w:rPr>
            </w:pPr>
            <w:r w:rsidRPr="00673328">
              <w:rPr>
                <w:rFonts w:ascii="Calibri" w:eastAsia="Times New Roman" w:hAnsi="Calibri" w:cs="Times New Roman"/>
                <w:color w:val="000000"/>
                <w:lang w:eastAsia="es-ES"/>
              </w:rPr>
              <w:t>5.75%</w:t>
            </w:r>
          </w:p>
        </w:tc>
        <w:tc>
          <w:tcPr>
            <w:tcW w:w="1238" w:type="dxa"/>
            <w:tcBorders>
              <w:top w:val="nil"/>
              <w:left w:val="nil"/>
              <w:bottom w:val="nil"/>
              <w:right w:val="nil"/>
            </w:tcBorders>
            <w:shd w:val="clear" w:color="auto" w:fill="auto"/>
            <w:noWrap/>
            <w:vAlign w:val="bottom"/>
            <w:hideMark/>
          </w:tcPr>
          <w:p w:rsidR="00673328" w:rsidRPr="00673328" w:rsidRDefault="00673328" w:rsidP="00673328">
            <w:pPr>
              <w:spacing w:after="0" w:line="240" w:lineRule="auto"/>
              <w:jc w:val="right"/>
              <w:rPr>
                <w:rFonts w:ascii="Calibri" w:eastAsia="Times New Roman" w:hAnsi="Calibri" w:cs="Times New Roman"/>
                <w:color w:val="000000"/>
                <w:lang w:eastAsia="es-ES"/>
              </w:rPr>
            </w:pPr>
            <w:r w:rsidRPr="00673328">
              <w:rPr>
                <w:rFonts w:ascii="Calibri" w:eastAsia="Times New Roman" w:hAnsi="Calibri" w:cs="Times New Roman"/>
                <w:color w:val="000000"/>
                <w:lang w:eastAsia="es-ES"/>
              </w:rPr>
              <w:t>-7.93%</w:t>
            </w:r>
          </w:p>
        </w:tc>
        <w:tc>
          <w:tcPr>
            <w:tcW w:w="1341" w:type="dxa"/>
            <w:tcBorders>
              <w:top w:val="nil"/>
              <w:left w:val="nil"/>
              <w:bottom w:val="nil"/>
              <w:right w:val="nil"/>
            </w:tcBorders>
            <w:shd w:val="clear" w:color="auto" w:fill="auto"/>
            <w:noWrap/>
            <w:vAlign w:val="bottom"/>
            <w:hideMark/>
          </w:tcPr>
          <w:p w:rsidR="00673328" w:rsidRPr="00673328" w:rsidRDefault="00673328" w:rsidP="00673328">
            <w:pPr>
              <w:spacing w:after="0" w:line="240" w:lineRule="auto"/>
              <w:jc w:val="right"/>
              <w:rPr>
                <w:rFonts w:ascii="Calibri" w:eastAsia="Times New Roman" w:hAnsi="Calibri" w:cs="Times New Roman"/>
                <w:color w:val="000000"/>
                <w:lang w:eastAsia="es-ES"/>
              </w:rPr>
            </w:pPr>
            <w:r w:rsidRPr="00673328">
              <w:rPr>
                <w:rFonts w:ascii="Calibri" w:eastAsia="Times New Roman" w:hAnsi="Calibri" w:cs="Times New Roman"/>
                <w:color w:val="000000"/>
                <w:lang w:eastAsia="es-ES"/>
              </w:rPr>
              <w:t>7.54%</w:t>
            </w:r>
          </w:p>
        </w:tc>
      </w:tr>
      <w:tr w:rsidR="00673328" w:rsidRPr="00673328" w:rsidTr="002129F5">
        <w:trPr>
          <w:trHeight w:val="300"/>
          <w:jc w:val="right"/>
        </w:trPr>
        <w:tc>
          <w:tcPr>
            <w:tcW w:w="1007" w:type="dxa"/>
            <w:tcBorders>
              <w:top w:val="nil"/>
              <w:left w:val="nil"/>
              <w:bottom w:val="nil"/>
              <w:right w:val="nil"/>
            </w:tcBorders>
            <w:shd w:val="clear" w:color="auto" w:fill="auto"/>
            <w:noWrap/>
            <w:vAlign w:val="bottom"/>
            <w:hideMark/>
          </w:tcPr>
          <w:p w:rsidR="00673328" w:rsidRPr="00673328" w:rsidRDefault="00673328" w:rsidP="00673328">
            <w:pPr>
              <w:spacing w:after="0" w:line="240" w:lineRule="auto"/>
              <w:rPr>
                <w:rFonts w:ascii="Calibri" w:eastAsia="Times New Roman" w:hAnsi="Calibri" w:cs="Times New Roman"/>
                <w:color w:val="000000"/>
                <w:lang w:eastAsia="es-ES"/>
              </w:rPr>
            </w:pPr>
            <w:r w:rsidRPr="00673328">
              <w:rPr>
                <w:rFonts w:ascii="Calibri" w:eastAsia="Times New Roman" w:hAnsi="Calibri" w:cs="Times New Roman"/>
                <w:color w:val="000000"/>
                <w:lang w:eastAsia="es-ES"/>
              </w:rPr>
              <w:t xml:space="preserve">   Capital</w:t>
            </w:r>
          </w:p>
        </w:tc>
        <w:tc>
          <w:tcPr>
            <w:tcW w:w="1238" w:type="dxa"/>
            <w:tcBorders>
              <w:top w:val="nil"/>
              <w:left w:val="nil"/>
              <w:bottom w:val="nil"/>
              <w:right w:val="nil"/>
            </w:tcBorders>
            <w:shd w:val="clear" w:color="auto" w:fill="auto"/>
            <w:noWrap/>
            <w:vAlign w:val="bottom"/>
            <w:hideMark/>
          </w:tcPr>
          <w:p w:rsidR="00673328" w:rsidRPr="00673328" w:rsidRDefault="00673328" w:rsidP="00673328">
            <w:pPr>
              <w:spacing w:after="0" w:line="240" w:lineRule="auto"/>
              <w:rPr>
                <w:rFonts w:ascii="Calibri" w:eastAsia="Times New Roman" w:hAnsi="Calibri" w:cs="Times New Roman"/>
                <w:color w:val="000000"/>
                <w:lang w:eastAsia="es-ES"/>
              </w:rPr>
            </w:pPr>
          </w:p>
        </w:tc>
        <w:tc>
          <w:tcPr>
            <w:tcW w:w="1238" w:type="dxa"/>
            <w:tcBorders>
              <w:top w:val="nil"/>
              <w:left w:val="nil"/>
              <w:bottom w:val="nil"/>
              <w:right w:val="nil"/>
            </w:tcBorders>
            <w:shd w:val="clear" w:color="auto" w:fill="auto"/>
            <w:noWrap/>
            <w:vAlign w:val="bottom"/>
            <w:hideMark/>
          </w:tcPr>
          <w:p w:rsidR="00673328" w:rsidRPr="00673328" w:rsidRDefault="00673328" w:rsidP="00673328">
            <w:pPr>
              <w:spacing w:after="0" w:line="240" w:lineRule="auto"/>
              <w:jc w:val="right"/>
              <w:rPr>
                <w:rFonts w:ascii="Calibri" w:eastAsia="Times New Roman" w:hAnsi="Calibri" w:cs="Times New Roman"/>
                <w:color w:val="000000"/>
                <w:lang w:eastAsia="es-ES"/>
              </w:rPr>
            </w:pPr>
            <w:r w:rsidRPr="00673328">
              <w:rPr>
                <w:rFonts w:ascii="Calibri" w:eastAsia="Times New Roman" w:hAnsi="Calibri" w:cs="Times New Roman"/>
                <w:color w:val="000000"/>
                <w:lang w:eastAsia="es-ES"/>
              </w:rPr>
              <w:t>46.93%</w:t>
            </w:r>
          </w:p>
        </w:tc>
        <w:tc>
          <w:tcPr>
            <w:tcW w:w="1238" w:type="dxa"/>
            <w:tcBorders>
              <w:top w:val="nil"/>
              <w:left w:val="nil"/>
              <w:bottom w:val="nil"/>
              <w:right w:val="nil"/>
            </w:tcBorders>
            <w:shd w:val="clear" w:color="auto" w:fill="auto"/>
            <w:noWrap/>
            <w:vAlign w:val="bottom"/>
            <w:hideMark/>
          </w:tcPr>
          <w:p w:rsidR="00673328" w:rsidRPr="00673328" w:rsidRDefault="00673328" w:rsidP="00673328">
            <w:pPr>
              <w:spacing w:after="0" w:line="240" w:lineRule="auto"/>
              <w:jc w:val="right"/>
              <w:rPr>
                <w:rFonts w:ascii="Calibri" w:eastAsia="Times New Roman" w:hAnsi="Calibri" w:cs="Times New Roman"/>
                <w:color w:val="000000"/>
                <w:lang w:eastAsia="es-ES"/>
              </w:rPr>
            </w:pPr>
            <w:r w:rsidRPr="00673328">
              <w:rPr>
                <w:rFonts w:ascii="Calibri" w:eastAsia="Times New Roman" w:hAnsi="Calibri" w:cs="Times New Roman"/>
                <w:color w:val="000000"/>
                <w:lang w:eastAsia="es-ES"/>
              </w:rPr>
              <w:t>10.87%</w:t>
            </w:r>
          </w:p>
        </w:tc>
        <w:tc>
          <w:tcPr>
            <w:tcW w:w="1238" w:type="dxa"/>
            <w:tcBorders>
              <w:top w:val="nil"/>
              <w:left w:val="nil"/>
              <w:bottom w:val="nil"/>
              <w:right w:val="nil"/>
            </w:tcBorders>
            <w:shd w:val="clear" w:color="auto" w:fill="auto"/>
            <w:noWrap/>
            <w:vAlign w:val="bottom"/>
            <w:hideMark/>
          </w:tcPr>
          <w:p w:rsidR="00673328" w:rsidRPr="00673328" w:rsidRDefault="00673328" w:rsidP="00673328">
            <w:pPr>
              <w:spacing w:after="0" w:line="240" w:lineRule="auto"/>
              <w:jc w:val="right"/>
              <w:rPr>
                <w:rFonts w:ascii="Calibri" w:eastAsia="Times New Roman" w:hAnsi="Calibri" w:cs="Times New Roman"/>
                <w:color w:val="000000"/>
                <w:lang w:eastAsia="es-ES"/>
              </w:rPr>
            </w:pPr>
            <w:r w:rsidRPr="00673328">
              <w:rPr>
                <w:rFonts w:ascii="Calibri" w:eastAsia="Times New Roman" w:hAnsi="Calibri" w:cs="Times New Roman"/>
                <w:color w:val="000000"/>
                <w:lang w:eastAsia="es-ES"/>
              </w:rPr>
              <w:t>93.14%</w:t>
            </w:r>
          </w:p>
        </w:tc>
        <w:tc>
          <w:tcPr>
            <w:tcW w:w="1341" w:type="dxa"/>
            <w:tcBorders>
              <w:top w:val="nil"/>
              <w:left w:val="nil"/>
              <w:bottom w:val="nil"/>
              <w:right w:val="nil"/>
            </w:tcBorders>
            <w:shd w:val="clear" w:color="auto" w:fill="auto"/>
            <w:noWrap/>
            <w:vAlign w:val="bottom"/>
            <w:hideMark/>
          </w:tcPr>
          <w:p w:rsidR="00673328" w:rsidRPr="00673328" w:rsidRDefault="00673328" w:rsidP="00673328">
            <w:pPr>
              <w:spacing w:after="0" w:line="240" w:lineRule="auto"/>
              <w:jc w:val="right"/>
              <w:rPr>
                <w:rFonts w:ascii="Calibri" w:eastAsia="Times New Roman" w:hAnsi="Calibri" w:cs="Times New Roman"/>
                <w:color w:val="000000"/>
                <w:lang w:eastAsia="es-ES"/>
              </w:rPr>
            </w:pPr>
            <w:r w:rsidRPr="00673328">
              <w:rPr>
                <w:rFonts w:ascii="Calibri" w:eastAsia="Times New Roman" w:hAnsi="Calibri" w:cs="Times New Roman"/>
                <w:color w:val="000000"/>
                <w:lang w:eastAsia="es-ES"/>
              </w:rPr>
              <w:t>51.63%</w:t>
            </w:r>
          </w:p>
        </w:tc>
      </w:tr>
      <w:tr w:rsidR="00673328" w:rsidRPr="00673328" w:rsidTr="002129F5">
        <w:trPr>
          <w:trHeight w:val="315"/>
          <w:jc w:val="right"/>
        </w:trPr>
        <w:tc>
          <w:tcPr>
            <w:tcW w:w="1007" w:type="dxa"/>
            <w:tcBorders>
              <w:top w:val="nil"/>
              <w:left w:val="nil"/>
              <w:bottom w:val="nil"/>
              <w:right w:val="nil"/>
            </w:tcBorders>
            <w:shd w:val="clear" w:color="000000" w:fill="CCCCFF"/>
            <w:noWrap/>
            <w:vAlign w:val="bottom"/>
            <w:hideMark/>
          </w:tcPr>
          <w:p w:rsidR="00673328" w:rsidRPr="00673328" w:rsidRDefault="00673328" w:rsidP="00673328">
            <w:pPr>
              <w:spacing w:after="0" w:line="240" w:lineRule="auto"/>
              <w:rPr>
                <w:rFonts w:ascii="Calibri" w:eastAsia="Times New Roman" w:hAnsi="Calibri" w:cs="Times New Roman"/>
                <w:b/>
                <w:bCs/>
                <w:color w:val="000000"/>
                <w:lang w:eastAsia="es-ES"/>
              </w:rPr>
            </w:pPr>
            <w:proofErr w:type="spellStart"/>
            <w:r w:rsidRPr="00673328">
              <w:rPr>
                <w:rFonts w:ascii="Calibri" w:eastAsia="Times New Roman" w:hAnsi="Calibri" w:cs="Times New Roman"/>
                <w:b/>
                <w:bCs/>
                <w:color w:val="000000"/>
                <w:lang w:eastAsia="es-ES"/>
              </w:rPr>
              <w:t>Primary</w:t>
            </w:r>
            <w:proofErr w:type="spellEnd"/>
          </w:p>
        </w:tc>
        <w:tc>
          <w:tcPr>
            <w:tcW w:w="1238" w:type="dxa"/>
            <w:tcBorders>
              <w:top w:val="nil"/>
              <w:left w:val="nil"/>
              <w:bottom w:val="nil"/>
              <w:right w:val="nil"/>
            </w:tcBorders>
            <w:shd w:val="clear" w:color="000000" w:fill="CCCCFF"/>
            <w:noWrap/>
            <w:vAlign w:val="bottom"/>
            <w:hideMark/>
          </w:tcPr>
          <w:p w:rsidR="00673328" w:rsidRPr="00673328" w:rsidRDefault="00673328" w:rsidP="00673328">
            <w:pPr>
              <w:spacing w:after="0" w:line="240" w:lineRule="auto"/>
              <w:rPr>
                <w:rFonts w:ascii="Calibri" w:eastAsia="Times New Roman" w:hAnsi="Calibri" w:cs="Times New Roman"/>
                <w:color w:val="000000"/>
                <w:lang w:eastAsia="es-ES"/>
              </w:rPr>
            </w:pPr>
            <w:r w:rsidRPr="00673328">
              <w:rPr>
                <w:rFonts w:ascii="Calibri" w:eastAsia="Times New Roman" w:hAnsi="Calibri" w:cs="Times New Roman"/>
                <w:color w:val="000000"/>
                <w:lang w:eastAsia="es-ES"/>
              </w:rPr>
              <w:t> </w:t>
            </w:r>
          </w:p>
        </w:tc>
        <w:tc>
          <w:tcPr>
            <w:tcW w:w="1238" w:type="dxa"/>
            <w:tcBorders>
              <w:top w:val="nil"/>
              <w:left w:val="nil"/>
              <w:bottom w:val="nil"/>
              <w:right w:val="nil"/>
            </w:tcBorders>
            <w:shd w:val="clear" w:color="000000" w:fill="CCCCFF"/>
            <w:noWrap/>
            <w:vAlign w:val="bottom"/>
            <w:hideMark/>
          </w:tcPr>
          <w:p w:rsidR="00673328" w:rsidRPr="00673328" w:rsidRDefault="00673328" w:rsidP="00673328">
            <w:pPr>
              <w:spacing w:after="0" w:line="240" w:lineRule="auto"/>
              <w:rPr>
                <w:rFonts w:ascii="Calibri" w:eastAsia="Times New Roman" w:hAnsi="Calibri" w:cs="Times New Roman"/>
                <w:color w:val="000000"/>
                <w:lang w:eastAsia="es-ES"/>
              </w:rPr>
            </w:pPr>
            <w:r w:rsidRPr="00673328">
              <w:rPr>
                <w:rFonts w:ascii="Calibri" w:eastAsia="Times New Roman" w:hAnsi="Calibri" w:cs="Times New Roman"/>
                <w:color w:val="000000"/>
                <w:lang w:eastAsia="es-ES"/>
              </w:rPr>
              <w:t> </w:t>
            </w:r>
          </w:p>
        </w:tc>
        <w:tc>
          <w:tcPr>
            <w:tcW w:w="1238" w:type="dxa"/>
            <w:tcBorders>
              <w:top w:val="nil"/>
              <w:left w:val="nil"/>
              <w:bottom w:val="nil"/>
              <w:right w:val="nil"/>
            </w:tcBorders>
            <w:shd w:val="clear" w:color="000000" w:fill="CCCCFF"/>
            <w:noWrap/>
            <w:vAlign w:val="bottom"/>
            <w:hideMark/>
          </w:tcPr>
          <w:p w:rsidR="00673328" w:rsidRPr="00673328" w:rsidRDefault="00673328" w:rsidP="00673328">
            <w:pPr>
              <w:spacing w:after="0" w:line="240" w:lineRule="auto"/>
              <w:rPr>
                <w:rFonts w:ascii="Calibri" w:eastAsia="Times New Roman" w:hAnsi="Calibri" w:cs="Times New Roman"/>
                <w:color w:val="000000"/>
                <w:lang w:eastAsia="es-ES"/>
              </w:rPr>
            </w:pPr>
            <w:r w:rsidRPr="00673328">
              <w:rPr>
                <w:rFonts w:ascii="Calibri" w:eastAsia="Times New Roman" w:hAnsi="Calibri" w:cs="Times New Roman"/>
                <w:color w:val="000000"/>
                <w:lang w:eastAsia="es-ES"/>
              </w:rPr>
              <w:t> </w:t>
            </w:r>
          </w:p>
        </w:tc>
        <w:tc>
          <w:tcPr>
            <w:tcW w:w="1238" w:type="dxa"/>
            <w:tcBorders>
              <w:top w:val="nil"/>
              <w:left w:val="nil"/>
              <w:bottom w:val="nil"/>
              <w:right w:val="nil"/>
            </w:tcBorders>
            <w:shd w:val="clear" w:color="000000" w:fill="CCCCFF"/>
            <w:noWrap/>
            <w:vAlign w:val="bottom"/>
            <w:hideMark/>
          </w:tcPr>
          <w:p w:rsidR="00673328" w:rsidRPr="00673328" w:rsidRDefault="00673328" w:rsidP="00673328">
            <w:pPr>
              <w:spacing w:after="0" w:line="240" w:lineRule="auto"/>
              <w:rPr>
                <w:rFonts w:ascii="Calibri" w:eastAsia="Times New Roman" w:hAnsi="Calibri" w:cs="Times New Roman"/>
                <w:color w:val="000000"/>
                <w:lang w:eastAsia="es-ES"/>
              </w:rPr>
            </w:pPr>
            <w:r w:rsidRPr="00673328">
              <w:rPr>
                <w:rFonts w:ascii="Calibri" w:eastAsia="Times New Roman" w:hAnsi="Calibri" w:cs="Times New Roman"/>
                <w:color w:val="000000"/>
                <w:lang w:eastAsia="es-ES"/>
              </w:rPr>
              <w:t> </w:t>
            </w:r>
          </w:p>
        </w:tc>
        <w:tc>
          <w:tcPr>
            <w:tcW w:w="1341" w:type="dxa"/>
            <w:tcBorders>
              <w:top w:val="nil"/>
              <w:left w:val="nil"/>
              <w:bottom w:val="nil"/>
              <w:right w:val="nil"/>
            </w:tcBorders>
            <w:shd w:val="clear" w:color="000000" w:fill="CCCCFF"/>
            <w:noWrap/>
            <w:vAlign w:val="bottom"/>
            <w:hideMark/>
          </w:tcPr>
          <w:p w:rsidR="00673328" w:rsidRPr="00673328" w:rsidRDefault="00673328" w:rsidP="00673328">
            <w:pPr>
              <w:spacing w:after="0" w:line="240" w:lineRule="auto"/>
              <w:rPr>
                <w:rFonts w:ascii="Calibri" w:eastAsia="Times New Roman" w:hAnsi="Calibri" w:cs="Times New Roman"/>
                <w:color w:val="000000"/>
                <w:lang w:eastAsia="es-ES"/>
              </w:rPr>
            </w:pPr>
            <w:r w:rsidRPr="00673328">
              <w:rPr>
                <w:rFonts w:ascii="Calibri" w:eastAsia="Times New Roman" w:hAnsi="Calibri" w:cs="Times New Roman"/>
                <w:color w:val="000000"/>
                <w:lang w:eastAsia="es-ES"/>
              </w:rPr>
              <w:t> </w:t>
            </w:r>
          </w:p>
        </w:tc>
      </w:tr>
      <w:tr w:rsidR="00673328" w:rsidRPr="00673328" w:rsidTr="002129F5">
        <w:trPr>
          <w:trHeight w:val="300"/>
          <w:jc w:val="right"/>
        </w:trPr>
        <w:tc>
          <w:tcPr>
            <w:tcW w:w="1007" w:type="dxa"/>
            <w:tcBorders>
              <w:top w:val="nil"/>
              <w:left w:val="nil"/>
              <w:bottom w:val="nil"/>
              <w:right w:val="nil"/>
            </w:tcBorders>
            <w:shd w:val="clear" w:color="auto" w:fill="auto"/>
            <w:noWrap/>
            <w:vAlign w:val="bottom"/>
            <w:hideMark/>
          </w:tcPr>
          <w:p w:rsidR="00673328" w:rsidRPr="00673328" w:rsidRDefault="00673328" w:rsidP="00673328">
            <w:pPr>
              <w:spacing w:after="0" w:line="240" w:lineRule="auto"/>
              <w:rPr>
                <w:rFonts w:ascii="Calibri" w:eastAsia="Times New Roman" w:hAnsi="Calibri" w:cs="Times New Roman"/>
                <w:color w:val="000000"/>
                <w:lang w:eastAsia="es-ES"/>
              </w:rPr>
            </w:pPr>
            <w:r w:rsidRPr="00673328">
              <w:rPr>
                <w:rFonts w:ascii="Calibri" w:eastAsia="Times New Roman" w:hAnsi="Calibri" w:cs="Times New Roman"/>
                <w:color w:val="000000"/>
                <w:lang w:eastAsia="es-ES"/>
              </w:rPr>
              <w:t>TOTAL</w:t>
            </w:r>
          </w:p>
        </w:tc>
        <w:tc>
          <w:tcPr>
            <w:tcW w:w="1238" w:type="dxa"/>
            <w:tcBorders>
              <w:top w:val="nil"/>
              <w:left w:val="nil"/>
              <w:bottom w:val="nil"/>
              <w:right w:val="nil"/>
            </w:tcBorders>
            <w:shd w:val="clear" w:color="auto" w:fill="auto"/>
            <w:noWrap/>
            <w:vAlign w:val="bottom"/>
            <w:hideMark/>
          </w:tcPr>
          <w:p w:rsidR="00673328" w:rsidRPr="00673328" w:rsidRDefault="00673328" w:rsidP="00673328">
            <w:pPr>
              <w:spacing w:after="0" w:line="240" w:lineRule="auto"/>
              <w:rPr>
                <w:rFonts w:ascii="Calibri" w:eastAsia="Times New Roman" w:hAnsi="Calibri" w:cs="Times New Roman"/>
                <w:color w:val="000000"/>
                <w:lang w:eastAsia="es-ES"/>
              </w:rPr>
            </w:pPr>
          </w:p>
        </w:tc>
        <w:tc>
          <w:tcPr>
            <w:tcW w:w="1238" w:type="dxa"/>
            <w:tcBorders>
              <w:top w:val="nil"/>
              <w:left w:val="nil"/>
              <w:bottom w:val="nil"/>
              <w:right w:val="nil"/>
            </w:tcBorders>
            <w:shd w:val="clear" w:color="auto" w:fill="auto"/>
            <w:noWrap/>
            <w:vAlign w:val="bottom"/>
            <w:hideMark/>
          </w:tcPr>
          <w:p w:rsidR="00673328" w:rsidRPr="00673328" w:rsidRDefault="00673328" w:rsidP="00673328">
            <w:pPr>
              <w:spacing w:after="0" w:line="240" w:lineRule="auto"/>
              <w:jc w:val="right"/>
              <w:rPr>
                <w:rFonts w:ascii="Calibri" w:eastAsia="Times New Roman" w:hAnsi="Calibri" w:cs="Times New Roman"/>
                <w:color w:val="000000"/>
                <w:lang w:eastAsia="es-ES"/>
              </w:rPr>
            </w:pPr>
            <w:r w:rsidRPr="00673328">
              <w:rPr>
                <w:rFonts w:ascii="Calibri" w:eastAsia="Times New Roman" w:hAnsi="Calibri" w:cs="Times New Roman"/>
                <w:color w:val="000000"/>
                <w:lang w:eastAsia="es-ES"/>
              </w:rPr>
              <w:t>12.87%</w:t>
            </w:r>
          </w:p>
        </w:tc>
        <w:tc>
          <w:tcPr>
            <w:tcW w:w="1238" w:type="dxa"/>
            <w:tcBorders>
              <w:top w:val="nil"/>
              <w:left w:val="nil"/>
              <w:bottom w:val="nil"/>
              <w:right w:val="nil"/>
            </w:tcBorders>
            <w:shd w:val="clear" w:color="auto" w:fill="auto"/>
            <w:noWrap/>
            <w:vAlign w:val="bottom"/>
            <w:hideMark/>
          </w:tcPr>
          <w:p w:rsidR="00673328" w:rsidRPr="00673328" w:rsidRDefault="00673328" w:rsidP="00673328">
            <w:pPr>
              <w:spacing w:after="0" w:line="240" w:lineRule="auto"/>
              <w:jc w:val="right"/>
              <w:rPr>
                <w:rFonts w:ascii="Calibri" w:eastAsia="Times New Roman" w:hAnsi="Calibri" w:cs="Times New Roman"/>
                <w:color w:val="000000"/>
                <w:lang w:eastAsia="es-ES"/>
              </w:rPr>
            </w:pPr>
            <w:r w:rsidRPr="00673328">
              <w:rPr>
                <w:rFonts w:ascii="Calibri" w:eastAsia="Times New Roman" w:hAnsi="Calibri" w:cs="Times New Roman"/>
                <w:color w:val="000000"/>
                <w:lang w:eastAsia="es-ES"/>
              </w:rPr>
              <w:t>14.14%</w:t>
            </w:r>
          </w:p>
        </w:tc>
        <w:tc>
          <w:tcPr>
            <w:tcW w:w="1238" w:type="dxa"/>
            <w:tcBorders>
              <w:top w:val="nil"/>
              <w:left w:val="nil"/>
              <w:bottom w:val="nil"/>
              <w:right w:val="nil"/>
            </w:tcBorders>
            <w:shd w:val="clear" w:color="auto" w:fill="auto"/>
            <w:noWrap/>
            <w:vAlign w:val="bottom"/>
            <w:hideMark/>
          </w:tcPr>
          <w:p w:rsidR="00673328" w:rsidRPr="00673328" w:rsidRDefault="00673328" w:rsidP="00673328">
            <w:pPr>
              <w:spacing w:after="0" w:line="240" w:lineRule="auto"/>
              <w:jc w:val="right"/>
              <w:rPr>
                <w:rFonts w:ascii="Calibri" w:eastAsia="Times New Roman" w:hAnsi="Calibri" w:cs="Times New Roman"/>
                <w:color w:val="000000"/>
                <w:lang w:eastAsia="es-ES"/>
              </w:rPr>
            </w:pPr>
            <w:r w:rsidRPr="00673328">
              <w:rPr>
                <w:rFonts w:ascii="Calibri" w:eastAsia="Times New Roman" w:hAnsi="Calibri" w:cs="Times New Roman"/>
                <w:color w:val="000000"/>
                <w:lang w:eastAsia="es-ES"/>
              </w:rPr>
              <w:t>13.38%</w:t>
            </w:r>
          </w:p>
        </w:tc>
        <w:tc>
          <w:tcPr>
            <w:tcW w:w="1341" w:type="dxa"/>
            <w:tcBorders>
              <w:top w:val="nil"/>
              <w:left w:val="nil"/>
              <w:bottom w:val="nil"/>
              <w:right w:val="nil"/>
            </w:tcBorders>
            <w:shd w:val="clear" w:color="auto" w:fill="auto"/>
            <w:noWrap/>
            <w:vAlign w:val="bottom"/>
            <w:hideMark/>
          </w:tcPr>
          <w:p w:rsidR="00673328" w:rsidRPr="00673328" w:rsidRDefault="00673328" w:rsidP="00673328">
            <w:pPr>
              <w:spacing w:after="0" w:line="240" w:lineRule="auto"/>
              <w:jc w:val="right"/>
              <w:rPr>
                <w:rFonts w:ascii="Calibri" w:eastAsia="Times New Roman" w:hAnsi="Calibri" w:cs="Times New Roman"/>
                <w:color w:val="000000"/>
                <w:lang w:eastAsia="es-ES"/>
              </w:rPr>
            </w:pPr>
            <w:r w:rsidRPr="00673328">
              <w:rPr>
                <w:rFonts w:ascii="Calibri" w:eastAsia="Times New Roman" w:hAnsi="Calibri" w:cs="Times New Roman"/>
                <w:color w:val="000000"/>
                <w:lang w:eastAsia="es-ES"/>
              </w:rPr>
              <w:t>8.28%</w:t>
            </w:r>
          </w:p>
        </w:tc>
      </w:tr>
      <w:tr w:rsidR="00673328" w:rsidRPr="00673328" w:rsidTr="002129F5">
        <w:trPr>
          <w:trHeight w:val="300"/>
          <w:jc w:val="right"/>
        </w:trPr>
        <w:tc>
          <w:tcPr>
            <w:tcW w:w="1007" w:type="dxa"/>
            <w:tcBorders>
              <w:top w:val="nil"/>
              <w:left w:val="nil"/>
              <w:bottom w:val="nil"/>
              <w:right w:val="nil"/>
            </w:tcBorders>
            <w:shd w:val="clear" w:color="auto" w:fill="auto"/>
            <w:noWrap/>
            <w:vAlign w:val="bottom"/>
            <w:hideMark/>
          </w:tcPr>
          <w:p w:rsidR="00673328" w:rsidRPr="00673328" w:rsidRDefault="00673328" w:rsidP="00673328">
            <w:pPr>
              <w:spacing w:after="0" w:line="240" w:lineRule="auto"/>
              <w:rPr>
                <w:rFonts w:ascii="Calibri" w:eastAsia="Times New Roman" w:hAnsi="Calibri" w:cs="Times New Roman"/>
                <w:color w:val="000000"/>
                <w:lang w:eastAsia="es-ES"/>
              </w:rPr>
            </w:pPr>
            <w:r w:rsidRPr="00673328">
              <w:rPr>
                <w:rFonts w:ascii="Calibri" w:eastAsia="Times New Roman" w:hAnsi="Calibri" w:cs="Times New Roman"/>
                <w:color w:val="000000"/>
                <w:lang w:eastAsia="es-ES"/>
              </w:rPr>
              <w:t xml:space="preserve">   </w:t>
            </w:r>
            <w:proofErr w:type="spellStart"/>
            <w:r w:rsidRPr="00673328">
              <w:rPr>
                <w:rFonts w:ascii="Calibri" w:eastAsia="Times New Roman" w:hAnsi="Calibri" w:cs="Times New Roman"/>
                <w:color w:val="000000"/>
                <w:lang w:eastAsia="es-ES"/>
              </w:rPr>
              <w:t>Wages</w:t>
            </w:r>
            <w:proofErr w:type="spellEnd"/>
          </w:p>
        </w:tc>
        <w:tc>
          <w:tcPr>
            <w:tcW w:w="1238" w:type="dxa"/>
            <w:tcBorders>
              <w:top w:val="nil"/>
              <w:left w:val="nil"/>
              <w:bottom w:val="nil"/>
              <w:right w:val="nil"/>
            </w:tcBorders>
            <w:shd w:val="clear" w:color="auto" w:fill="auto"/>
            <w:noWrap/>
            <w:vAlign w:val="bottom"/>
            <w:hideMark/>
          </w:tcPr>
          <w:p w:rsidR="00673328" w:rsidRPr="00673328" w:rsidRDefault="00673328" w:rsidP="00673328">
            <w:pPr>
              <w:spacing w:after="0" w:line="240" w:lineRule="auto"/>
              <w:rPr>
                <w:rFonts w:ascii="Calibri" w:eastAsia="Times New Roman" w:hAnsi="Calibri" w:cs="Times New Roman"/>
                <w:color w:val="000000"/>
                <w:lang w:eastAsia="es-ES"/>
              </w:rPr>
            </w:pPr>
          </w:p>
        </w:tc>
        <w:tc>
          <w:tcPr>
            <w:tcW w:w="1238" w:type="dxa"/>
            <w:tcBorders>
              <w:top w:val="nil"/>
              <w:left w:val="nil"/>
              <w:bottom w:val="nil"/>
              <w:right w:val="nil"/>
            </w:tcBorders>
            <w:shd w:val="clear" w:color="auto" w:fill="auto"/>
            <w:noWrap/>
            <w:vAlign w:val="bottom"/>
            <w:hideMark/>
          </w:tcPr>
          <w:p w:rsidR="00673328" w:rsidRPr="00673328" w:rsidRDefault="00673328" w:rsidP="00673328">
            <w:pPr>
              <w:spacing w:after="0" w:line="240" w:lineRule="auto"/>
              <w:jc w:val="right"/>
              <w:rPr>
                <w:rFonts w:ascii="Calibri" w:eastAsia="Times New Roman" w:hAnsi="Calibri" w:cs="Times New Roman"/>
                <w:color w:val="000000"/>
                <w:lang w:eastAsia="es-ES"/>
              </w:rPr>
            </w:pPr>
            <w:r w:rsidRPr="00673328">
              <w:rPr>
                <w:rFonts w:ascii="Calibri" w:eastAsia="Times New Roman" w:hAnsi="Calibri" w:cs="Times New Roman"/>
                <w:color w:val="000000"/>
                <w:lang w:eastAsia="es-ES"/>
              </w:rPr>
              <w:t>-0.18%</w:t>
            </w:r>
          </w:p>
        </w:tc>
        <w:tc>
          <w:tcPr>
            <w:tcW w:w="1238" w:type="dxa"/>
            <w:tcBorders>
              <w:top w:val="nil"/>
              <w:left w:val="nil"/>
              <w:bottom w:val="nil"/>
              <w:right w:val="nil"/>
            </w:tcBorders>
            <w:shd w:val="clear" w:color="auto" w:fill="auto"/>
            <w:noWrap/>
            <w:vAlign w:val="bottom"/>
            <w:hideMark/>
          </w:tcPr>
          <w:p w:rsidR="00673328" w:rsidRPr="00673328" w:rsidRDefault="00673328" w:rsidP="00673328">
            <w:pPr>
              <w:spacing w:after="0" w:line="240" w:lineRule="auto"/>
              <w:jc w:val="right"/>
              <w:rPr>
                <w:rFonts w:ascii="Calibri" w:eastAsia="Times New Roman" w:hAnsi="Calibri" w:cs="Times New Roman"/>
                <w:color w:val="000000"/>
                <w:lang w:eastAsia="es-ES"/>
              </w:rPr>
            </w:pPr>
            <w:r w:rsidRPr="00673328">
              <w:rPr>
                <w:rFonts w:ascii="Calibri" w:eastAsia="Times New Roman" w:hAnsi="Calibri" w:cs="Times New Roman"/>
                <w:color w:val="000000"/>
                <w:lang w:eastAsia="es-ES"/>
              </w:rPr>
              <w:t>-1.43%</w:t>
            </w:r>
          </w:p>
        </w:tc>
        <w:tc>
          <w:tcPr>
            <w:tcW w:w="1238" w:type="dxa"/>
            <w:tcBorders>
              <w:top w:val="nil"/>
              <w:left w:val="nil"/>
              <w:bottom w:val="nil"/>
              <w:right w:val="nil"/>
            </w:tcBorders>
            <w:shd w:val="clear" w:color="auto" w:fill="auto"/>
            <w:noWrap/>
            <w:vAlign w:val="bottom"/>
            <w:hideMark/>
          </w:tcPr>
          <w:p w:rsidR="00673328" w:rsidRPr="00673328" w:rsidRDefault="00673328" w:rsidP="00673328">
            <w:pPr>
              <w:spacing w:after="0" w:line="240" w:lineRule="auto"/>
              <w:jc w:val="right"/>
              <w:rPr>
                <w:rFonts w:ascii="Calibri" w:eastAsia="Times New Roman" w:hAnsi="Calibri" w:cs="Times New Roman"/>
                <w:color w:val="000000"/>
                <w:lang w:eastAsia="es-ES"/>
              </w:rPr>
            </w:pPr>
            <w:r w:rsidRPr="00673328">
              <w:rPr>
                <w:rFonts w:ascii="Calibri" w:eastAsia="Times New Roman" w:hAnsi="Calibri" w:cs="Times New Roman"/>
                <w:color w:val="000000"/>
                <w:lang w:eastAsia="es-ES"/>
              </w:rPr>
              <w:t>3.38%</w:t>
            </w:r>
          </w:p>
        </w:tc>
        <w:tc>
          <w:tcPr>
            <w:tcW w:w="1341" w:type="dxa"/>
            <w:tcBorders>
              <w:top w:val="nil"/>
              <w:left w:val="nil"/>
              <w:bottom w:val="nil"/>
              <w:right w:val="nil"/>
            </w:tcBorders>
            <w:shd w:val="clear" w:color="auto" w:fill="auto"/>
            <w:noWrap/>
            <w:vAlign w:val="bottom"/>
            <w:hideMark/>
          </w:tcPr>
          <w:p w:rsidR="00673328" w:rsidRPr="00673328" w:rsidRDefault="00673328" w:rsidP="00673328">
            <w:pPr>
              <w:spacing w:after="0" w:line="240" w:lineRule="auto"/>
              <w:jc w:val="right"/>
              <w:rPr>
                <w:rFonts w:ascii="Calibri" w:eastAsia="Times New Roman" w:hAnsi="Calibri" w:cs="Times New Roman"/>
                <w:color w:val="000000"/>
                <w:lang w:eastAsia="es-ES"/>
              </w:rPr>
            </w:pPr>
            <w:r w:rsidRPr="00673328">
              <w:rPr>
                <w:rFonts w:ascii="Calibri" w:eastAsia="Times New Roman" w:hAnsi="Calibri" w:cs="Times New Roman"/>
                <w:color w:val="000000"/>
                <w:lang w:eastAsia="es-ES"/>
              </w:rPr>
              <w:t>1.69%</w:t>
            </w:r>
          </w:p>
        </w:tc>
      </w:tr>
      <w:tr w:rsidR="00673328" w:rsidRPr="00673328" w:rsidTr="002129F5">
        <w:trPr>
          <w:trHeight w:val="300"/>
          <w:jc w:val="right"/>
        </w:trPr>
        <w:tc>
          <w:tcPr>
            <w:tcW w:w="2245" w:type="dxa"/>
            <w:gridSpan w:val="2"/>
            <w:tcBorders>
              <w:top w:val="nil"/>
              <w:left w:val="nil"/>
              <w:bottom w:val="nil"/>
              <w:right w:val="nil"/>
            </w:tcBorders>
            <w:shd w:val="clear" w:color="auto" w:fill="auto"/>
            <w:noWrap/>
            <w:vAlign w:val="bottom"/>
            <w:hideMark/>
          </w:tcPr>
          <w:p w:rsidR="00673328" w:rsidRPr="00673328" w:rsidRDefault="00673328" w:rsidP="00673328">
            <w:pPr>
              <w:spacing w:after="0" w:line="240" w:lineRule="auto"/>
              <w:rPr>
                <w:rFonts w:ascii="Calibri" w:eastAsia="Times New Roman" w:hAnsi="Calibri" w:cs="Times New Roman"/>
                <w:color w:val="000000"/>
                <w:lang w:eastAsia="es-ES"/>
              </w:rPr>
            </w:pPr>
            <w:r w:rsidRPr="00673328">
              <w:rPr>
                <w:rFonts w:ascii="Calibri" w:eastAsia="Times New Roman" w:hAnsi="Calibri" w:cs="Times New Roman"/>
                <w:color w:val="000000"/>
                <w:lang w:eastAsia="es-ES"/>
              </w:rPr>
              <w:t xml:space="preserve">   Non-</w:t>
            </w:r>
            <w:proofErr w:type="spellStart"/>
            <w:r w:rsidRPr="00673328">
              <w:rPr>
                <w:rFonts w:ascii="Calibri" w:eastAsia="Times New Roman" w:hAnsi="Calibri" w:cs="Times New Roman"/>
                <w:color w:val="000000"/>
                <w:lang w:eastAsia="es-ES"/>
              </w:rPr>
              <w:t>Wages</w:t>
            </w:r>
            <w:proofErr w:type="spellEnd"/>
          </w:p>
        </w:tc>
        <w:tc>
          <w:tcPr>
            <w:tcW w:w="1238" w:type="dxa"/>
            <w:tcBorders>
              <w:top w:val="nil"/>
              <w:left w:val="nil"/>
              <w:bottom w:val="nil"/>
              <w:right w:val="nil"/>
            </w:tcBorders>
            <w:shd w:val="clear" w:color="auto" w:fill="auto"/>
            <w:noWrap/>
            <w:vAlign w:val="bottom"/>
            <w:hideMark/>
          </w:tcPr>
          <w:p w:rsidR="00673328" w:rsidRPr="00673328" w:rsidRDefault="00673328" w:rsidP="00673328">
            <w:pPr>
              <w:spacing w:after="0" w:line="240" w:lineRule="auto"/>
              <w:jc w:val="right"/>
              <w:rPr>
                <w:rFonts w:ascii="Calibri" w:eastAsia="Times New Roman" w:hAnsi="Calibri" w:cs="Times New Roman"/>
                <w:color w:val="000000"/>
                <w:lang w:eastAsia="es-ES"/>
              </w:rPr>
            </w:pPr>
            <w:r w:rsidRPr="00673328">
              <w:rPr>
                <w:rFonts w:ascii="Calibri" w:eastAsia="Times New Roman" w:hAnsi="Calibri" w:cs="Times New Roman"/>
                <w:color w:val="000000"/>
                <w:lang w:eastAsia="es-ES"/>
              </w:rPr>
              <w:t>71.10%</w:t>
            </w:r>
          </w:p>
        </w:tc>
        <w:tc>
          <w:tcPr>
            <w:tcW w:w="1238" w:type="dxa"/>
            <w:tcBorders>
              <w:top w:val="nil"/>
              <w:left w:val="nil"/>
              <w:bottom w:val="nil"/>
              <w:right w:val="nil"/>
            </w:tcBorders>
            <w:shd w:val="clear" w:color="auto" w:fill="auto"/>
            <w:noWrap/>
            <w:vAlign w:val="bottom"/>
            <w:hideMark/>
          </w:tcPr>
          <w:p w:rsidR="00673328" w:rsidRPr="00673328" w:rsidRDefault="00673328" w:rsidP="00673328">
            <w:pPr>
              <w:spacing w:after="0" w:line="240" w:lineRule="auto"/>
              <w:jc w:val="right"/>
              <w:rPr>
                <w:rFonts w:ascii="Calibri" w:eastAsia="Times New Roman" w:hAnsi="Calibri" w:cs="Times New Roman"/>
                <w:color w:val="000000"/>
                <w:lang w:eastAsia="es-ES"/>
              </w:rPr>
            </w:pPr>
            <w:r w:rsidRPr="00673328">
              <w:rPr>
                <w:rFonts w:ascii="Calibri" w:eastAsia="Times New Roman" w:hAnsi="Calibri" w:cs="Times New Roman"/>
                <w:color w:val="000000"/>
                <w:lang w:eastAsia="es-ES"/>
              </w:rPr>
              <w:t>95.06%</w:t>
            </w:r>
          </w:p>
        </w:tc>
        <w:tc>
          <w:tcPr>
            <w:tcW w:w="1238" w:type="dxa"/>
            <w:tcBorders>
              <w:top w:val="nil"/>
              <w:left w:val="nil"/>
              <w:bottom w:val="nil"/>
              <w:right w:val="nil"/>
            </w:tcBorders>
            <w:shd w:val="clear" w:color="auto" w:fill="auto"/>
            <w:noWrap/>
            <w:vAlign w:val="bottom"/>
            <w:hideMark/>
          </w:tcPr>
          <w:p w:rsidR="00673328" w:rsidRPr="00673328" w:rsidRDefault="00673328" w:rsidP="00673328">
            <w:pPr>
              <w:spacing w:after="0" w:line="240" w:lineRule="auto"/>
              <w:jc w:val="right"/>
              <w:rPr>
                <w:rFonts w:ascii="Calibri" w:eastAsia="Times New Roman" w:hAnsi="Calibri" w:cs="Times New Roman"/>
                <w:color w:val="000000"/>
                <w:lang w:eastAsia="es-ES"/>
              </w:rPr>
            </w:pPr>
            <w:r w:rsidRPr="00673328">
              <w:rPr>
                <w:rFonts w:ascii="Calibri" w:eastAsia="Times New Roman" w:hAnsi="Calibri" w:cs="Times New Roman"/>
                <w:color w:val="000000"/>
                <w:lang w:eastAsia="es-ES"/>
              </w:rPr>
              <w:t>34.79%</w:t>
            </w:r>
          </w:p>
        </w:tc>
        <w:tc>
          <w:tcPr>
            <w:tcW w:w="1341" w:type="dxa"/>
            <w:tcBorders>
              <w:top w:val="nil"/>
              <w:left w:val="nil"/>
              <w:bottom w:val="nil"/>
              <w:right w:val="nil"/>
            </w:tcBorders>
            <w:shd w:val="clear" w:color="auto" w:fill="auto"/>
            <w:noWrap/>
            <w:vAlign w:val="bottom"/>
            <w:hideMark/>
          </w:tcPr>
          <w:p w:rsidR="00673328" w:rsidRPr="00673328" w:rsidRDefault="00673328" w:rsidP="00673328">
            <w:pPr>
              <w:spacing w:after="0" w:line="240" w:lineRule="auto"/>
              <w:jc w:val="right"/>
              <w:rPr>
                <w:rFonts w:ascii="Calibri" w:eastAsia="Times New Roman" w:hAnsi="Calibri" w:cs="Times New Roman"/>
                <w:color w:val="000000"/>
                <w:lang w:eastAsia="es-ES"/>
              </w:rPr>
            </w:pPr>
            <w:r w:rsidRPr="00673328">
              <w:rPr>
                <w:rFonts w:ascii="Calibri" w:eastAsia="Times New Roman" w:hAnsi="Calibri" w:cs="Times New Roman"/>
                <w:color w:val="000000"/>
                <w:lang w:eastAsia="es-ES"/>
              </w:rPr>
              <w:t>36.65%</w:t>
            </w:r>
          </w:p>
        </w:tc>
      </w:tr>
      <w:tr w:rsidR="00673328" w:rsidRPr="00673328" w:rsidTr="002129F5">
        <w:trPr>
          <w:trHeight w:val="300"/>
          <w:jc w:val="right"/>
        </w:trPr>
        <w:tc>
          <w:tcPr>
            <w:tcW w:w="1007" w:type="dxa"/>
            <w:tcBorders>
              <w:top w:val="nil"/>
              <w:left w:val="nil"/>
              <w:bottom w:val="nil"/>
              <w:right w:val="nil"/>
            </w:tcBorders>
            <w:shd w:val="clear" w:color="auto" w:fill="auto"/>
            <w:noWrap/>
            <w:vAlign w:val="bottom"/>
            <w:hideMark/>
          </w:tcPr>
          <w:p w:rsidR="00673328" w:rsidRPr="00673328" w:rsidRDefault="00673328" w:rsidP="00673328">
            <w:pPr>
              <w:spacing w:after="0" w:line="240" w:lineRule="auto"/>
              <w:rPr>
                <w:rFonts w:ascii="Calibri" w:eastAsia="Times New Roman" w:hAnsi="Calibri" w:cs="Times New Roman"/>
                <w:color w:val="000000"/>
                <w:lang w:eastAsia="es-ES"/>
              </w:rPr>
            </w:pPr>
            <w:r w:rsidRPr="00673328">
              <w:rPr>
                <w:rFonts w:ascii="Calibri" w:eastAsia="Times New Roman" w:hAnsi="Calibri" w:cs="Times New Roman"/>
                <w:color w:val="000000"/>
                <w:lang w:eastAsia="es-ES"/>
              </w:rPr>
              <w:t xml:space="preserve">   Capital</w:t>
            </w:r>
          </w:p>
        </w:tc>
        <w:tc>
          <w:tcPr>
            <w:tcW w:w="1238" w:type="dxa"/>
            <w:tcBorders>
              <w:top w:val="nil"/>
              <w:left w:val="nil"/>
              <w:bottom w:val="nil"/>
              <w:right w:val="nil"/>
            </w:tcBorders>
            <w:shd w:val="clear" w:color="auto" w:fill="auto"/>
            <w:noWrap/>
            <w:vAlign w:val="bottom"/>
            <w:hideMark/>
          </w:tcPr>
          <w:p w:rsidR="00673328" w:rsidRPr="00673328" w:rsidRDefault="00673328" w:rsidP="00673328">
            <w:pPr>
              <w:spacing w:after="0" w:line="240" w:lineRule="auto"/>
              <w:rPr>
                <w:rFonts w:ascii="Calibri" w:eastAsia="Times New Roman" w:hAnsi="Calibri" w:cs="Times New Roman"/>
                <w:color w:val="000000"/>
                <w:lang w:eastAsia="es-ES"/>
              </w:rPr>
            </w:pPr>
          </w:p>
        </w:tc>
        <w:tc>
          <w:tcPr>
            <w:tcW w:w="1238" w:type="dxa"/>
            <w:tcBorders>
              <w:top w:val="nil"/>
              <w:left w:val="nil"/>
              <w:bottom w:val="nil"/>
              <w:right w:val="nil"/>
            </w:tcBorders>
            <w:shd w:val="clear" w:color="auto" w:fill="auto"/>
            <w:noWrap/>
            <w:vAlign w:val="bottom"/>
            <w:hideMark/>
          </w:tcPr>
          <w:p w:rsidR="00673328" w:rsidRPr="00673328" w:rsidRDefault="00673328" w:rsidP="00673328">
            <w:pPr>
              <w:spacing w:after="0" w:line="240" w:lineRule="auto"/>
              <w:jc w:val="right"/>
              <w:rPr>
                <w:rFonts w:ascii="Calibri" w:eastAsia="Times New Roman" w:hAnsi="Calibri" w:cs="Times New Roman"/>
                <w:color w:val="000000"/>
                <w:lang w:eastAsia="es-ES"/>
              </w:rPr>
            </w:pPr>
            <w:r w:rsidRPr="00673328">
              <w:rPr>
                <w:rFonts w:ascii="Calibri" w:eastAsia="Times New Roman" w:hAnsi="Calibri" w:cs="Times New Roman"/>
                <w:color w:val="000000"/>
                <w:lang w:eastAsia="es-ES"/>
              </w:rPr>
              <w:t>172.83%</w:t>
            </w:r>
          </w:p>
        </w:tc>
        <w:tc>
          <w:tcPr>
            <w:tcW w:w="1238" w:type="dxa"/>
            <w:tcBorders>
              <w:top w:val="nil"/>
              <w:left w:val="nil"/>
              <w:bottom w:val="nil"/>
              <w:right w:val="nil"/>
            </w:tcBorders>
            <w:shd w:val="clear" w:color="auto" w:fill="auto"/>
            <w:noWrap/>
            <w:vAlign w:val="bottom"/>
            <w:hideMark/>
          </w:tcPr>
          <w:p w:rsidR="00673328" w:rsidRPr="00673328" w:rsidRDefault="00673328" w:rsidP="00673328">
            <w:pPr>
              <w:spacing w:after="0" w:line="240" w:lineRule="auto"/>
              <w:jc w:val="right"/>
              <w:rPr>
                <w:rFonts w:ascii="Calibri" w:eastAsia="Times New Roman" w:hAnsi="Calibri" w:cs="Times New Roman"/>
                <w:color w:val="000000"/>
                <w:lang w:eastAsia="es-ES"/>
              </w:rPr>
            </w:pPr>
            <w:r w:rsidRPr="00673328">
              <w:rPr>
                <w:rFonts w:ascii="Calibri" w:eastAsia="Times New Roman" w:hAnsi="Calibri" w:cs="Times New Roman"/>
                <w:color w:val="000000"/>
                <w:lang w:eastAsia="es-ES"/>
              </w:rPr>
              <w:t>194.31%</w:t>
            </w:r>
          </w:p>
        </w:tc>
        <w:tc>
          <w:tcPr>
            <w:tcW w:w="1238" w:type="dxa"/>
            <w:tcBorders>
              <w:top w:val="nil"/>
              <w:left w:val="nil"/>
              <w:bottom w:val="nil"/>
              <w:right w:val="nil"/>
            </w:tcBorders>
            <w:shd w:val="clear" w:color="auto" w:fill="auto"/>
            <w:noWrap/>
            <w:vAlign w:val="bottom"/>
            <w:hideMark/>
          </w:tcPr>
          <w:p w:rsidR="00673328" w:rsidRPr="00673328" w:rsidRDefault="00673328" w:rsidP="00673328">
            <w:pPr>
              <w:spacing w:after="0" w:line="240" w:lineRule="auto"/>
              <w:jc w:val="right"/>
              <w:rPr>
                <w:rFonts w:ascii="Calibri" w:eastAsia="Times New Roman" w:hAnsi="Calibri" w:cs="Times New Roman"/>
                <w:color w:val="000000"/>
                <w:lang w:eastAsia="es-ES"/>
              </w:rPr>
            </w:pPr>
            <w:r w:rsidRPr="00673328">
              <w:rPr>
                <w:rFonts w:ascii="Calibri" w:eastAsia="Times New Roman" w:hAnsi="Calibri" w:cs="Times New Roman"/>
                <w:color w:val="000000"/>
                <w:lang w:eastAsia="es-ES"/>
              </w:rPr>
              <w:t>157.44%</w:t>
            </w:r>
          </w:p>
        </w:tc>
        <w:tc>
          <w:tcPr>
            <w:tcW w:w="1341" w:type="dxa"/>
            <w:tcBorders>
              <w:top w:val="nil"/>
              <w:left w:val="nil"/>
              <w:bottom w:val="nil"/>
              <w:right w:val="nil"/>
            </w:tcBorders>
            <w:shd w:val="clear" w:color="auto" w:fill="auto"/>
            <w:noWrap/>
            <w:vAlign w:val="bottom"/>
            <w:hideMark/>
          </w:tcPr>
          <w:p w:rsidR="00673328" w:rsidRPr="00673328" w:rsidRDefault="00673328" w:rsidP="00673328">
            <w:pPr>
              <w:spacing w:after="0" w:line="240" w:lineRule="auto"/>
              <w:jc w:val="right"/>
              <w:rPr>
                <w:rFonts w:ascii="Calibri" w:eastAsia="Times New Roman" w:hAnsi="Calibri" w:cs="Times New Roman"/>
                <w:color w:val="000000"/>
                <w:lang w:eastAsia="es-ES"/>
              </w:rPr>
            </w:pPr>
            <w:r w:rsidRPr="00673328">
              <w:rPr>
                <w:rFonts w:ascii="Calibri" w:eastAsia="Times New Roman" w:hAnsi="Calibri" w:cs="Times New Roman"/>
                <w:color w:val="000000"/>
                <w:lang w:eastAsia="es-ES"/>
              </w:rPr>
              <w:t>90.04%</w:t>
            </w:r>
          </w:p>
        </w:tc>
      </w:tr>
      <w:tr w:rsidR="00673328" w:rsidRPr="00673328" w:rsidTr="002129F5">
        <w:trPr>
          <w:trHeight w:val="315"/>
          <w:jc w:val="right"/>
        </w:trPr>
        <w:tc>
          <w:tcPr>
            <w:tcW w:w="1007" w:type="dxa"/>
            <w:tcBorders>
              <w:top w:val="nil"/>
              <w:left w:val="nil"/>
              <w:bottom w:val="nil"/>
              <w:right w:val="nil"/>
            </w:tcBorders>
            <w:shd w:val="clear" w:color="000000" w:fill="CCCCFF"/>
            <w:noWrap/>
            <w:vAlign w:val="bottom"/>
            <w:hideMark/>
          </w:tcPr>
          <w:p w:rsidR="00673328" w:rsidRPr="00673328" w:rsidRDefault="00673328" w:rsidP="00673328">
            <w:pPr>
              <w:spacing w:after="0" w:line="240" w:lineRule="auto"/>
              <w:rPr>
                <w:rFonts w:ascii="Calibri" w:eastAsia="Times New Roman" w:hAnsi="Calibri" w:cs="Times New Roman"/>
                <w:b/>
                <w:bCs/>
                <w:color w:val="000000"/>
                <w:lang w:eastAsia="es-ES"/>
              </w:rPr>
            </w:pPr>
            <w:proofErr w:type="spellStart"/>
            <w:r w:rsidRPr="00673328">
              <w:rPr>
                <w:rFonts w:ascii="Calibri" w:eastAsia="Times New Roman" w:hAnsi="Calibri" w:cs="Times New Roman"/>
                <w:b/>
                <w:bCs/>
                <w:color w:val="000000"/>
                <w:lang w:eastAsia="es-ES"/>
              </w:rPr>
              <w:t>Secondary</w:t>
            </w:r>
            <w:proofErr w:type="spellEnd"/>
          </w:p>
        </w:tc>
        <w:tc>
          <w:tcPr>
            <w:tcW w:w="1238" w:type="dxa"/>
            <w:tcBorders>
              <w:top w:val="nil"/>
              <w:left w:val="nil"/>
              <w:bottom w:val="nil"/>
              <w:right w:val="nil"/>
            </w:tcBorders>
            <w:shd w:val="clear" w:color="000000" w:fill="CCCCFF"/>
            <w:noWrap/>
            <w:vAlign w:val="bottom"/>
            <w:hideMark/>
          </w:tcPr>
          <w:p w:rsidR="00673328" w:rsidRPr="00673328" w:rsidRDefault="00673328" w:rsidP="00673328">
            <w:pPr>
              <w:spacing w:after="0" w:line="240" w:lineRule="auto"/>
              <w:rPr>
                <w:rFonts w:ascii="Calibri" w:eastAsia="Times New Roman" w:hAnsi="Calibri" w:cs="Times New Roman"/>
                <w:color w:val="000000"/>
                <w:lang w:eastAsia="es-ES"/>
              </w:rPr>
            </w:pPr>
            <w:r w:rsidRPr="00673328">
              <w:rPr>
                <w:rFonts w:ascii="Calibri" w:eastAsia="Times New Roman" w:hAnsi="Calibri" w:cs="Times New Roman"/>
                <w:color w:val="000000"/>
                <w:lang w:eastAsia="es-ES"/>
              </w:rPr>
              <w:t> </w:t>
            </w:r>
          </w:p>
        </w:tc>
        <w:tc>
          <w:tcPr>
            <w:tcW w:w="1238" w:type="dxa"/>
            <w:tcBorders>
              <w:top w:val="nil"/>
              <w:left w:val="nil"/>
              <w:bottom w:val="nil"/>
              <w:right w:val="nil"/>
            </w:tcBorders>
            <w:shd w:val="clear" w:color="000000" w:fill="CCCCFF"/>
            <w:noWrap/>
            <w:vAlign w:val="bottom"/>
            <w:hideMark/>
          </w:tcPr>
          <w:p w:rsidR="00673328" w:rsidRPr="00673328" w:rsidRDefault="00673328" w:rsidP="00673328">
            <w:pPr>
              <w:spacing w:after="0" w:line="240" w:lineRule="auto"/>
              <w:rPr>
                <w:rFonts w:ascii="Calibri" w:eastAsia="Times New Roman" w:hAnsi="Calibri" w:cs="Times New Roman"/>
                <w:color w:val="000000"/>
                <w:lang w:eastAsia="es-ES"/>
              </w:rPr>
            </w:pPr>
            <w:r w:rsidRPr="00673328">
              <w:rPr>
                <w:rFonts w:ascii="Calibri" w:eastAsia="Times New Roman" w:hAnsi="Calibri" w:cs="Times New Roman"/>
                <w:color w:val="000000"/>
                <w:lang w:eastAsia="es-ES"/>
              </w:rPr>
              <w:t> </w:t>
            </w:r>
          </w:p>
        </w:tc>
        <w:tc>
          <w:tcPr>
            <w:tcW w:w="1238" w:type="dxa"/>
            <w:tcBorders>
              <w:top w:val="nil"/>
              <w:left w:val="nil"/>
              <w:bottom w:val="nil"/>
              <w:right w:val="nil"/>
            </w:tcBorders>
            <w:shd w:val="clear" w:color="000000" w:fill="CCCCFF"/>
            <w:noWrap/>
            <w:vAlign w:val="bottom"/>
            <w:hideMark/>
          </w:tcPr>
          <w:p w:rsidR="00673328" w:rsidRPr="00673328" w:rsidRDefault="00673328" w:rsidP="00673328">
            <w:pPr>
              <w:spacing w:after="0" w:line="240" w:lineRule="auto"/>
              <w:rPr>
                <w:rFonts w:ascii="Calibri" w:eastAsia="Times New Roman" w:hAnsi="Calibri" w:cs="Times New Roman"/>
                <w:color w:val="000000"/>
                <w:lang w:eastAsia="es-ES"/>
              </w:rPr>
            </w:pPr>
            <w:r w:rsidRPr="00673328">
              <w:rPr>
                <w:rFonts w:ascii="Calibri" w:eastAsia="Times New Roman" w:hAnsi="Calibri" w:cs="Times New Roman"/>
                <w:color w:val="000000"/>
                <w:lang w:eastAsia="es-ES"/>
              </w:rPr>
              <w:t> </w:t>
            </w:r>
          </w:p>
        </w:tc>
        <w:tc>
          <w:tcPr>
            <w:tcW w:w="1238" w:type="dxa"/>
            <w:tcBorders>
              <w:top w:val="nil"/>
              <w:left w:val="nil"/>
              <w:bottom w:val="nil"/>
              <w:right w:val="nil"/>
            </w:tcBorders>
            <w:shd w:val="clear" w:color="000000" w:fill="CCCCFF"/>
            <w:noWrap/>
            <w:vAlign w:val="bottom"/>
            <w:hideMark/>
          </w:tcPr>
          <w:p w:rsidR="00673328" w:rsidRPr="00673328" w:rsidRDefault="00673328" w:rsidP="00673328">
            <w:pPr>
              <w:spacing w:after="0" w:line="240" w:lineRule="auto"/>
              <w:rPr>
                <w:rFonts w:ascii="Calibri" w:eastAsia="Times New Roman" w:hAnsi="Calibri" w:cs="Times New Roman"/>
                <w:color w:val="000000"/>
                <w:lang w:eastAsia="es-ES"/>
              </w:rPr>
            </w:pPr>
            <w:r w:rsidRPr="00673328">
              <w:rPr>
                <w:rFonts w:ascii="Calibri" w:eastAsia="Times New Roman" w:hAnsi="Calibri" w:cs="Times New Roman"/>
                <w:color w:val="000000"/>
                <w:lang w:eastAsia="es-ES"/>
              </w:rPr>
              <w:t> </w:t>
            </w:r>
          </w:p>
        </w:tc>
        <w:tc>
          <w:tcPr>
            <w:tcW w:w="1341" w:type="dxa"/>
            <w:tcBorders>
              <w:top w:val="nil"/>
              <w:left w:val="nil"/>
              <w:bottom w:val="nil"/>
              <w:right w:val="nil"/>
            </w:tcBorders>
            <w:shd w:val="clear" w:color="000000" w:fill="CCCCFF"/>
            <w:noWrap/>
            <w:vAlign w:val="bottom"/>
            <w:hideMark/>
          </w:tcPr>
          <w:p w:rsidR="00673328" w:rsidRPr="00673328" w:rsidRDefault="00673328" w:rsidP="00673328">
            <w:pPr>
              <w:spacing w:after="0" w:line="240" w:lineRule="auto"/>
              <w:rPr>
                <w:rFonts w:ascii="Calibri" w:eastAsia="Times New Roman" w:hAnsi="Calibri" w:cs="Times New Roman"/>
                <w:color w:val="000000"/>
                <w:lang w:eastAsia="es-ES"/>
              </w:rPr>
            </w:pPr>
            <w:r w:rsidRPr="00673328">
              <w:rPr>
                <w:rFonts w:ascii="Calibri" w:eastAsia="Times New Roman" w:hAnsi="Calibri" w:cs="Times New Roman"/>
                <w:color w:val="000000"/>
                <w:lang w:eastAsia="es-ES"/>
              </w:rPr>
              <w:t> </w:t>
            </w:r>
          </w:p>
        </w:tc>
      </w:tr>
      <w:tr w:rsidR="00673328" w:rsidRPr="00673328" w:rsidTr="002129F5">
        <w:trPr>
          <w:trHeight w:val="300"/>
          <w:jc w:val="right"/>
        </w:trPr>
        <w:tc>
          <w:tcPr>
            <w:tcW w:w="1007" w:type="dxa"/>
            <w:tcBorders>
              <w:top w:val="nil"/>
              <w:left w:val="nil"/>
              <w:bottom w:val="nil"/>
              <w:right w:val="nil"/>
            </w:tcBorders>
            <w:shd w:val="clear" w:color="auto" w:fill="auto"/>
            <w:noWrap/>
            <w:vAlign w:val="bottom"/>
            <w:hideMark/>
          </w:tcPr>
          <w:p w:rsidR="00673328" w:rsidRPr="00673328" w:rsidRDefault="00673328" w:rsidP="00673328">
            <w:pPr>
              <w:spacing w:after="0" w:line="240" w:lineRule="auto"/>
              <w:rPr>
                <w:rFonts w:ascii="Calibri" w:eastAsia="Times New Roman" w:hAnsi="Calibri" w:cs="Times New Roman"/>
                <w:color w:val="000000"/>
                <w:lang w:eastAsia="es-ES"/>
              </w:rPr>
            </w:pPr>
            <w:r w:rsidRPr="00673328">
              <w:rPr>
                <w:rFonts w:ascii="Calibri" w:eastAsia="Times New Roman" w:hAnsi="Calibri" w:cs="Times New Roman"/>
                <w:color w:val="000000"/>
                <w:lang w:eastAsia="es-ES"/>
              </w:rPr>
              <w:t>TOTAL</w:t>
            </w:r>
          </w:p>
        </w:tc>
        <w:tc>
          <w:tcPr>
            <w:tcW w:w="1238" w:type="dxa"/>
            <w:tcBorders>
              <w:top w:val="nil"/>
              <w:left w:val="nil"/>
              <w:bottom w:val="nil"/>
              <w:right w:val="nil"/>
            </w:tcBorders>
            <w:shd w:val="clear" w:color="auto" w:fill="auto"/>
            <w:noWrap/>
            <w:vAlign w:val="bottom"/>
            <w:hideMark/>
          </w:tcPr>
          <w:p w:rsidR="00673328" w:rsidRPr="00673328" w:rsidRDefault="00673328" w:rsidP="00673328">
            <w:pPr>
              <w:spacing w:after="0" w:line="240" w:lineRule="auto"/>
              <w:rPr>
                <w:rFonts w:ascii="Calibri" w:eastAsia="Times New Roman" w:hAnsi="Calibri" w:cs="Times New Roman"/>
                <w:color w:val="000000"/>
                <w:lang w:eastAsia="es-ES"/>
              </w:rPr>
            </w:pPr>
          </w:p>
        </w:tc>
        <w:tc>
          <w:tcPr>
            <w:tcW w:w="1238" w:type="dxa"/>
            <w:tcBorders>
              <w:top w:val="nil"/>
              <w:left w:val="nil"/>
              <w:bottom w:val="nil"/>
              <w:right w:val="nil"/>
            </w:tcBorders>
            <w:shd w:val="clear" w:color="auto" w:fill="auto"/>
            <w:noWrap/>
            <w:vAlign w:val="bottom"/>
            <w:hideMark/>
          </w:tcPr>
          <w:p w:rsidR="00673328" w:rsidRPr="00673328" w:rsidRDefault="00673328" w:rsidP="00673328">
            <w:pPr>
              <w:spacing w:after="0" w:line="240" w:lineRule="auto"/>
              <w:jc w:val="right"/>
              <w:rPr>
                <w:rFonts w:ascii="Calibri" w:eastAsia="Times New Roman" w:hAnsi="Calibri" w:cs="Times New Roman"/>
                <w:color w:val="000000"/>
                <w:lang w:eastAsia="es-ES"/>
              </w:rPr>
            </w:pPr>
            <w:r w:rsidRPr="00673328">
              <w:rPr>
                <w:rFonts w:ascii="Calibri" w:eastAsia="Times New Roman" w:hAnsi="Calibri" w:cs="Times New Roman"/>
                <w:color w:val="000000"/>
                <w:lang w:eastAsia="es-ES"/>
              </w:rPr>
              <w:t>8.26%</w:t>
            </w:r>
          </w:p>
        </w:tc>
        <w:tc>
          <w:tcPr>
            <w:tcW w:w="1238" w:type="dxa"/>
            <w:tcBorders>
              <w:top w:val="nil"/>
              <w:left w:val="nil"/>
              <w:bottom w:val="nil"/>
              <w:right w:val="nil"/>
            </w:tcBorders>
            <w:shd w:val="clear" w:color="auto" w:fill="auto"/>
            <w:noWrap/>
            <w:vAlign w:val="bottom"/>
            <w:hideMark/>
          </w:tcPr>
          <w:p w:rsidR="00673328" w:rsidRPr="00673328" w:rsidRDefault="00673328" w:rsidP="00673328">
            <w:pPr>
              <w:spacing w:after="0" w:line="240" w:lineRule="auto"/>
              <w:jc w:val="right"/>
              <w:rPr>
                <w:rFonts w:ascii="Calibri" w:eastAsia="Times New Roman" w:hAnsi="Calibri" w:cs="Times New Roman"/>
                <w:color w:val="000000"/>
                <w:lang w:eastAsia="es-ES"/>
              </w:rPr>
            </w:pPr>
            <w:r w:rsidRPr="00673328">
              <w:rPr>
                <w:rFonts w:ascii="Calibri" w:eastAsia="Times New Roman" w:hAnsi="Calibri" w:cs="Times New Roman"/>
                <w:color w:val="000000"/>
                <w:lang w:eastAsia="es-ES"/>
              </w:rPr>
              <w:t>7.14%</w:t>
            </w:r>
          </w:p>
        </w:tc>
        <w:tc>
          <w:tcPr>
            <w:tcW w:w="1238" w:type="dxa"/>
            <w:tcBorders>
              <w:top w:val="nil"/>
              <w:left w:val="nil"/>
              <w:bottom w:val="nil"/>
              <w:right w:val="nil"/>
            </w:tcBorders>
            <w:shd w:val="clear" w:color="auto" w:fill="auto"/>
            <w:noWrap/>
            <w:vAlign w:val="bottom"/>
            <w:hideMark/>
          </w:tcPr>
          <w:p w:rsidR="00673328" w:rsidRPr="00673328" w:rsidRDefault="00673328" w:rsidP="00673328">
            <w:pPr>
              <w:spacing w:after="0" w:line="240" w:lineRule="auto"/>
              <w:jc w:val="right"/>
              <w:rPr>
                <w:rFonts w:ascii="Calibri" w:eastAsia="Times New Roman" w:hAnsi="Calibri" w:cs="Times New Roman"/>
                <w:color w:val="000000"/>
                <w:lang w:eastAsia="es-ES"/>
              </w:rPr>
            </w:pPr>
            <w:r w:rsidRPr="00673328">
              <w:rPr>
                <w:rFonts w:ascii="Calibri" w:eastAsia="Times New Roman" w:hAnsi="Calibri" w:cs="Times New Roman"/>
                <w:color w:val="000000"/>
                <w:lang w:eastAsia="es-ES"/>
              </w:rPr>
              <w:t>10.04%</w:t>
            </w:r>
          </w:p>
        </w:tc>
        <w:tc>
          <w:tcPr>
            <w:tcW w:w="1341" w:type="dxa"/>
            <w:tcBorders>
              <w:top w:val="nil"/>
              <w:left w:val="nil"/>
              <w:bottom w:val="nil"/>
              <w:right w:val="nil"/>
            </w:tcBorders>
            <w:shd w:val="clear" w:color="auto" w:fill="auto"/>
            <w:noWrap/>
            <w:vAlign w:val="bottom"/>
            <w:hideMark/>
          </w:tcPr>
          <w:p w:rsidR="00673328" w:rsidRPr="00673328" w:rsidRDefault="00673328" w:rsidP="00673328">
            <w:pPr>
              <w:spacing w:after="0" w:line="240" w:lineRule="auto"/>
              <w:jc w:val="right"/>
              <w:rPr>
                <w:rFonts w:ascii="Calibri" w:eastAsia="Times New Roman" w:hAnsi="Calibri" w:cs="Times New Roman"/>
                <w:color w:val="000000"/>
                <w:lang w:eastAsia="es-ES"/>
              </w:rPr>
            </w:pPr>
            <w:r w:rsidRPr="00673328">
              <w:rPr>
                <w:rFonts w:ascii="Calibri" w:eastAsia="Times New Roman" w:hAnsi="Calibri" w:cs="Times New Roman"/>
                <w:color w:val="000000"/>
                <w:lang w:eastAsia="es-ES"/>
              </w:rPr>
              <w:t>3.01%</w:t>
            </w:r>
          </w:p>
        </w:tc>
      </w:tr>
      <w:tr w:rsidR="00673328" w:rsidRPr="00673328" w:rsidTr="002129F5">
        <w:trPr>
          <w:trHeight w:val="300"/>
          <w:jc w:val="right"/>
        </w:trPr>
        <w:tc>
          <w:tcPr>
            <w:tcW w:w="1007" w:type="dxa"/>
            <w:tcBorders>
              <w:top w:val="nil"/>
              <w:left w:val="nil"/>
              <w:bottom w:val="nil"/>
              <w:right w:val="nil"/>
            </w:tcBorders>
            <w:shd w:val="clear" w:color="auto" w:fill="auto"/>
            <w:noWrap/>
            <w:vAlign w:val="bottom"/>
            <w:hideMark/>
          </w:tcPr>
          <w:p w:rsidR="00673328" w:rsidRPr="00673328" w:rsidRDefault="00673328" w:rsidP="00673328">
            <w:pPr>
              <w:spacing w:after="0" w:line="240" w:lineRule="auto"/>
              <w:rPr>
                <w:rFonts w:ascii="Calibri" w:eastAsia="Times New Roman" w:hAnsi="Calibri" w:cs="Times New Roman"/>
                <w:color w:val="000000"/>
                <w:lang w:eastAsia="es-ES"/>
              </w:rPr>
            </w:pPr>
            <w:r w:rsidRPr="00673328">
              <w:rPr>
                <w:rFonts w:ascii="Calibri" w:eastAsia="Times New Roman" w:hAnsi="Calibri" w:cs="Times New Roman"/>
                <w:color w:val="000000"/>
                <w:lang w:eastAsia="es-ES"/>
              </w:rPr>
              <w:t xml:space="preserve">   </w:t>
            </w:r>
            <w:proofErr w:type="spellStart"/>
            <w:r w:rsidRPr="00673328">
              <w:rPr>
                <w:rFonts w:ascii="Calibri" w:eastAsia="Times New Roman" w:hAnsi="Calibri" w:cs="Times New Roman"/>
                <w:color w:val="000000"/>
                <w:lang w:eastAsia="es-ES"/>
              </w:rPr>
              <w:t>Wages</w:t>
            </w:r>
            <w:proofErr w:type="spellEnd"/>
          </w:p>
        </w:tc>
        <w:tc>
          <w:tcPr>
            <w:tcW w:w="1238" w:type="dxa"/>
            <w:tcBorders>
              <w:top w:val="nil"/>
              <w:left w:val="nil"/>
              <w:bottom w:val="nil"/>
              <w:right w:val="nil"/>
            </w:tcBorders>
            <w:shd w:val="clear" w:color="auto" w:fill="auto"/>
            <w:noWrap/>
            <w:vAlign w:val="bottom"/>
            <w:hideMark/>
          </w:tcPr>
          <w:p w:rsidR="00673328" w:rsidRPr="00673328" w:rsidRDefault="00673328" w:rsidP="00673328">
            <w:pPr>
              <w:spacing w:after="0" w:line="240" w:lineRule="auto"/>
              <w:rPr>
                <w:rFonts w:ascii="Calibri" w:eastAsia="Times New Roman" w:hAnsi="Calibri" w:cs="Times New Roman"/>
                <w:color w:val="000000"/>
                <w:lang w:eastAsia="es-ES"/>
              </w:rPr>
            </w:pPr>
          </w:p>
        </w:tc>
        <w:tc>
          <w:tcPr>
            <w:tcW w:w="1238" w:type="dxa"/>
            <w:tcBorders>
              <w:top w:val="nil"/>
              <w:left w:val="nil"/>
              <w:bottom w:val="nil"/>
              <w:right w:val="nil"/>
            </w:tcBorders>
            <w:shd w:val="clear" w:color="auto" w:fill="auto"/>
            <w:noWrap/>
            <w:vAlign w:val="bottom"/>
            <w:hideMark/>
          </w:tcPr>
          <w:p w:rsidR="00673328" w:rsidRPr="00673328" w:rsidRDefault="00673328" w:rsidP="00673328">
            <w:pPr>
              <w:spacing w:after="0" w:line="240" w:lineRule="auto"/>
              <w:jc w:val="right"/>
              <w:rPr>
                <w:rFonts w:ascii="Calibri" w:eastAsia="Times New Roman" w:hAnsi="Calibri" w:cs="Times New Roman"/>
                <w:color w:val="000000"/>
                <w:lang w:eastAsia="es-ES"/>
              </w:rPr>
            </w:pPr>
            <w:r w:rsidRPr="00673328">
              <w:rPr>
                <w:rFonts w:ascii="Calibri" w:eastAsia="Times New Roman" w:hAnsi="Calibri" w:cs="Times New Roman"/>
                <w:color w:val="000000"/>
                <w:lang w:eastAsia="es-ES"/>
              </w:rPr>
              <w:t>2.46%</w:t>
            </w:r>
          </w:p>
        </w:tc>
        <w:tc>
          <w:tcPr>
            <w:tcW w:w="1238" w:type="dxa"/>
            <w:tcBorders>
              <w:top w:val="nil"/>
              <w:left w:val="nil"/>
              <w:bottom w:val="nil"/>
              <w:right w:val="nil"/>
            </w:tcBorders>
            <w:shd w:val="clear" w:color="auto" w:fill="auto"/>
            <w:noWrap/>
            <w:vAlign w:val="bottom"/>
            <w:hideMark/>
          </w:tcPr>
          <w:p w:rsidR="00673328" w:rsidRPr="00673328" w:rsidRDefault="00673328" w:rsidP="00673328">
            <w:pPr>
              <w:spacing w:after="0" w:line="240" w:lineRule="auto"/>
              <w:jc w:val="right"/>
              <w:rPr>
                <w:rFonts w:ascii="Calibri" w:eastAsia="Times New Roman" w:hAnsi="Calibri" w:cs="Times New Roman"/>
                <w:color w:val="000000"/>
                <w:lang w:eastAsia="es-ES"/>
              </w:rPr>
            </w:pPr>
            <w:r w:rsidRPr="00673328">
              <w:rPr>
                <w:rFonts w:ascii="Calibri" w:eastAsia="Times New Roman" w:hAnsi="Calibri" w:cs="Times New Roman"/>
                <w:color w:val="000000"/>
                <w:lang w:eastAsia="es-ES"/>
              </w:rPr>
              <w:t>-0.16%</w:t>
            </w:r>
          </w:p>
        </w:tc>
        <w:tc>
          <w:tcPr>
            <w:tcW w:w="1238" w:type="dxa"/>
            <w:tcBorders>
              <w:top w:val="nil"/>
              <w:left w:val="nil"/>
              <w:bottom w:val="nil"/>
              <w:right w:val="nil"/>
            </w:tcBorders>
            <w:shd w:val="clear" w:color="auto" w:fill="auto"/>
            <w:noWrap/>
            <w:vAlign w:val="bottom"/>
            <w:hideMark/>
          </w:tcPr>
          <w:p w:rsidR="00673328" w:rsidRPr="00673328" w:rsidRDefault="00673328" w:rsidP="00673328">
            <w:pPr>
              <w:spacing w:after="0" w:line="240" w:lineRule="auto"/>
              <w:jc w:val="right"/>
              <w:rPr>
                <w:rFonts w:ascii="Calibri" w:eastAsia="Times New Roman" w:hAnsi="Calibri" w:cs="Times New Roman"/>
                <w:color w:val="000000"/>
                <w:lang w:eastAsia="es-ES"/>
              </w:rPr>
            </w:pPr>
            <w:r w:rsidRPr="00673328">
              <w:rPr>
                <w:rFonts w:ascii="Calibri" w:eastAsia="Times New Roman" w:hAnsi="Calibri" w:cs="Times New Roman"/>
                <w:color w:val="000000"/>
                <w:lang w:eastAsia="es-ES"/>
              </w:rPr>
              <w:t>1.96%</w:t>
            </w:r>
          </w:p>
        </w:tc>
        <w:tc>
          <w:tcPr>
            <w:tcW w:w="1341" w:type="dxa"/>
            <w:tcBorders>
              <w:top w:val="nil"/>
              <w:left w:val="nil"/>
              <w:bottom w:val="nil"/>
              <w:right w:val="nil"/>
            </w:tcBorders>
            <w:shd w:val="clear" w:color="auto" w:fill="auto"/>
            <w:noWrap/>
            <w:vAlign w:val="bottom"/>
            <w:hideMark/>
          </w:tcPr>
          <w:p w:rsidR="00673328" w:rsidRPr="00673328" w:rsidRDefault="00673328" w:rsidP="00673328">
            <w:pPr>
              <w:spacing w:after="0" w:line="240" w:lineRule="auto"/>
              <w:jc w:val="right"/>
              <w:rPr>
                <w:rFonts w:ascii="Calibri" w:eastAsia="Times New Roman" w:hAnsi="Calibri" w:cs="Times New Roman"/>
                <w:color w:val="000000"/>
                <w:lang w:eastAsia="es-ES"/>
              </w:rPr>
            </w:pPr>
            <w:r w:rsidRPr="00673328">
              <w:rPr>
                <w:rFonts w:ascii="Calibri" w:eastAsia="Times New Roman" w:hAnsi="Calibri" w:cs="Times New Roman"/>
                <w:color w:val="000000"/>
                <w:lang w:eastAsia="es-ES"/>
              </w:rPr>
              <w:t>0.36%</w:t>
            </w:r>
          </w:p>
        </w:tc>
      </w:tr>
      <w:tr w:rsidR="00673328" w:rsidRPr="00673328" w:rsidTr="002129F5">
        <w:trPr>
          <w:trHeight w:val="300"/>
          <w:jc w:val="right"/>
        </w:trPr>
        <w:tc>
          <w:tcPr>
            <w:tcW w:w="2245" w:type="dxa"/>
            <w:gridSpan w:val="2"/>
            <w:tcBorders>
              <w:top w:val="nil"/>
              <w:left w:val="nil"/>
              <w:bottom w:val="nil"/>
              <w:right w:val="nil"/>
            </w:tcBorders>
            <w:shd w:val="clear" w:color="auto" w:fill="auto"/>
            <w:noWrap/>
            <w:vAlign w:val="bottom"/>
            <w:hideMark/>
          </w:tcPr>
          <w:p w:rsidR="00673328" w:rsidRPr="00673328" w:rsidRDefault="00673328" w:rsidP="00673328">
            <w:pPr>
              <w:spacing w:after="0" w:line="240" w:lineRule="auto"/>
              <w:rPr>
                <w:rFonts w:ascii="Calibri" w:eastAsia="Times New Roman" w:hAnsi="Calibri" w:cs="Times New Roman"/>
                <w:color w:val="000000"/>
                <w:lang w:eastAsia="es-ES"/>
              </w:rPr>
            </w:pPr>
            <w:r w:rsidRPr="00673328">
              <w:rPr>
                <w:rFonts w:ascii="Calibri" w:eastAsia="Times New Roman" w:hAnsi="Calibri" w:cs="Times New Roman"/>
                <w:color w:val="000000"/>
                <w:lang w:eastAsia="es-ES"/>
              </w:rPr>
              <w:t xml:space="preserve">   Non-</w:t>
            </w:r>
            <w:proofErr w:type="spellStart"/>
            <w:r w:rsidRPr="00673328">
              <w:rPr>
                <w:rFonts w:ascii="Calibri" w:eastAsia="Times New Roman" w:hAnsi="Calibri" w:cs="Times New Roman"/>
                <w:color w:val="000000"/>
                <w:lang w:eastAsia="es-ES"/>
              </w:rPr>
              <w:t>Wages</w:t>
            </w:r>
            <w:proofErr w:type="spellEnd"/>
          </w:p>
        </w:tc>
        <w:tc>
          <w:tcPr>
            <w:tcW w:w="1238" w:type="dxa"/>
            <w:tcBorders>
              <w:top w:val="nil"/>
              <w:left w:val="nil"/>
              <w:bottom w:val="nil"/>
              <w:right w:val="nil"/>
            </w:tcBorders>
            <w:shd w:val="clear" w:color="auto" w:fill="auto"/>
            <w:noWrap/>
            <w:vAlign w:val="bottom"/>
            <w:hideMark/>
          </w:tcPr>
          <w:p w:rsidR="00673328" w:rsidRPr="00673328" w:rsidRDefault="00673328" w:rsidP="00673328">
            <w:pPr>
              <w:spacing w:after="0" w:line="240" w:lineRule="auto"/>
              <w:jc w:val="right"/>
              <w:rPr>
                <w:rFonts w:ascii="Calibri" w:eastAsia="Times New Roman" w:hAnsi="Calibri" w:cs="Times New Roman"/>
                <w:color w:val="000000"/>
                <w:lang w:eastAsia="es-ES"/>
              </w:rPr>
            </w:pPr>
            <w:r w:rsidRPr="00673328">
              <w:rPr>
                <w:rFonts w:ascii="Calibri" w:eastAsia="Times New Roman" w:hAnsi="Calibri" w:cs="Times New Roman"/>
                <w:color w:val="000000"/>
                <w:lang w:eastAsia="es-ES"/>
              </w:rPr>
              <w:t>205.87%</w:t>
            </w:r>
          </w:p>
        </w:tc>
        <w:tc>
          <w:tcPr>
            <w:tcW w:w="1238" w:type="dxa"/>
            <w:tcBorders>
              <w:top w:val="nil"/>
              <w:left w:val="nil"/>
              <w:bottom w:val="nil"/>
              <w:right w:val="nil"/>
            </w:tcBorders>
            <w:shd w:val="clear" w:color="auto" w:fill="auto"/>
            <w:noWrap/>
            <w:vAlign w:val="bottom"/>
            <w:hideMark/>
          </w:tcPr>
          <w:p w:rsidR="00673328" w:rsidRPr="00673328" w:rsidRDefault="00673328" w:rsidP="00673328">
            <w:pPr>
              <w:spacing w:after="0" w:line="240" w:lineRule="auto"/>
              <w:jc w:val="right"/>
              <w:rPr>
                <w:rFonts w:ascii="Calibri" w:eastAsia="Times New Roman" w:hAnsi="Calibri" w:cs="Times New Roman"/>
                <w:color w:val="000000"/>
                <w:lang w:eastAsia="es-ES"/>
              </w:rPr>
            </w:pPr>
            <w:r w:rsidRPr="00673328">
              <w:rPr>
                <w:rFonts w:ascii="Calibri" w:eastAsia="Times New Roman" w:hAnsi="Calibri" w:cs="Times New Roman"/>
                <w:color w:val="000000"/>
                <w:lang w:eastAsia="es-ES"/>
              </w:rPr>
              <w:t>50.24%</w:t>
            </w:r>
          </w:p>
        </w:tc>
        <w:tc>
          <w:tcPr>
            <w:tcW w:w="1238" w:type="dxa"/>
            <w:tcBorders>
              <w:top w:val="nil"/>
              <w:left w:val="nil"/>
              <w:bottom w:val="nil"/>
              <w:right w:val="nil"/>
            </w:tcBorders>
            <w:shd w:val="clear" w:color="auto" w:fill="auto"/>
            <w:noWrap/>
            <w:vAlign w:val="bottom"/>
            <w:hideMark/>
          </w:tcPr>
          <w:p w:rsidR="00673328" w:rsidRPr="00673328" w:rsidRDefault="00673328" w:rsidP="00673328">
            <w:pPr>
              <w:spacing w:after="0" w:line="240" w:lineRule="auto"/>
              <w:jc w:val="right"/>
              <w:rPr>
                <w:rFonts w:ascii="Calibri" w:eastAsia="Times New Roman" w:hAnsi="Calibri" w:cs="Times New Roman"/>
                <w:color w:val="000000"/>
                <w:lang w:eastAsia="es-ES"/>
              </w:rPr>
            </w:pPr>
            <w:r w:rsidRPr="00673328">
              <w:rPr>
                <w:rFonts w:ascii="Calibri" w:eastAsia="Times New Roman" w:hAnsi="Calibri" w:cs="Times New Roman"/>
                <w:color w:val="000000"/>
                <w:lang w:eastAsia="es-ES"/>
              </w:rPr>
              <w:t>76.47%</w:t>
            </w:r>
          </w:p>
        </w:tc>
        <w:tc>
          <w:tcPr>
            <w:tcW w:w="1341" w:type="dxa"/>
            <w:tcBorders>
              <w:top w:val="nil"/>
              <w:left w:val="nil"/>
              <w:bottom w:val="nil"/>
              <w:right w:val="nil"/>
            </w:tcBorders>
            <w:shd w:val="clear" w:color="auto" w:fill="auto"/>
            <w:noWrap/>
            <w:vAlign w:val="bottom"/>
            <w:hideMark/>
          </w:tcPr>
          <w:p w:rsidR="00673328" w:rsidRPr="00673328" w:rsidRDefault="00673328" w:rsidP="00673328">
            <w:pPr>
              <w:spacing w:after="0" w:line="240" w:lineRule="auto"/>
              <w:jc w:val="right"/>
              <w:rPr>
                <w:rFonts w:ascii="Calibri" w:eastAsia="Times New Roman" w:hAnsi="Calibri" w:cs="Times New Roman"/>
                <w:color w:val="000000"/>
                <w:lang w:eastAsia="es-ES"/>
              </w:rPr>
            </w:pPr>
            <w:r w:rsidRPr="00673328">
              <w:rPr>
                <w:rFonts w:ascii="Calibri" w:eastAsia="Times New Roman" w:hAnsi="Calibri" w:cs="Times New Roman"/>
                <w:color w:val="000000"/>
                <w:lang w:eastAsia="es-ES"/>
              </w:rPr>
              <w:t>26.30%</w:t>
            </w:r>
          </w:p>
        </w:tc>
      </w:tr>
      <w:tr w:rsidR="00673328" w:rsidRPr="00673328" w:rsidTr="002129F5">
        <w:trPr>
          <w:trHeight w:val="300"/>
          <w:jc w:val="right"/>
        </w:trPr>
        <w:tc>
          <w:tcPr>
            <w:tcW w:w="1007" w:type="dxa"/>
            <w:tcBorders>
              <w:top w:val="nil"/>
              <w:left w:val="nil"/>
              <w:bottom w:val="nil"/>
              <w:right w:val="nil"/>
            </w:tcBorders>
            <w:shd w:val="clear" w:color="auto" w:fill="auto"/>
            <w:noWrap/>
            <w:vAlign w:val="bottom"/>
            <w:hideMark/>
          </w:tcPr>
          <w:p w:rsidR="00673328" w:rsidRPr="00673328" w:rsidRDefault="00673328" w:rsidP="00673328">
            <w:pPr>
              <w:spacing w:after="0" w:line="240" w:lineRule="auto"/>
              <w:rPr>
                <w:rFonts w:ascii="Calibri" w:eastAsia="Times New Roman" w:hAnsi="Calibri" w:cs="Times New Roman"/>
                <w:color w:val="000000"/>
                <w:lang w:eastAsia="es-ES"/>
              </w:rPr>
            </w:pPr>
            <w:r w:rsidRPr="00673328">
              <w:rPr>
                <w:rFonts w:ascii="Calibri" w:eastAsia="Times New Roman" w:hAnsi="Calibri" w:cs="Times New Roman"/>
                <w:color w:val="000000"/>
                <w:lang w:eastAsia="es-ES"/>
              </w:rPr>
              <w:t xml:space="preserve">   Capital</w:t>
            </w:r>
          </w:p>
        </w:tc>
        <w:tc>
          <w:tcPr>
            <w:tcW w:w="1238" w:type="dxa"/>
            <w:tcBorders>
              <w:top w:val="nil"/>
              <w:left w:val="nil"/>
              <w:bottom w:val="nil"/>
              <w:right w:val="nil"/>
            </w:tcBorders>
            <w:shd w:val="clear" w:color="auto" w:fill="auto"/>
            <w:noWrap/>
            <w:vAlign w:val="bottom"/>
            <w:hideMark/>
          </w:tcPr>
          <w:p w:rsidR="00673328" w:rsidRPr="00673328" w:rsidRDefault="00673328" w:rsidP="00673328">
            <w:pPr>
              <w:spacing w:after="0" w:line="240" w:lineRule="auto"/>
              <w:rPr>
                <w:rFonts w:ascii="Calibri" w:eastAsia="Times New Roman" w:hAnsi="Calibri" w:cs="Times New Roman"/>
                <w:color w:val="000000"/>
                <w:lang w:eastAsia="es-ES"/>
              </w:rPr>
            </w:pPr>
          </w:p>
        </w:tc>
        <w:tc>
          <w:tcPr>
            <w:tcW w:w="1238" w:type="dxa"/>
            <w:tcBorders>
              <w:top w:val="nil"/>
              <w:left w:val="nil"/>
              <w:bottom w:val="nil"/>
              <w:right w:val="nil"/>
            </w:tcBorders>
            <w:shd w:val="clear" w:color="auto" w:fill="auto"/>
            <w:noWrap/>
            <w:vAlign w:val="bottom"/>
            <w:hideMark/>
          </w:tcPr>
          <w:p w:rsidR="00673328" w:rsidRPr="00673328" w:rsidRDefault="00673328" w:rsidP="00673328">
            <w:pPr>
              <w:spacing w:after="0" w:line="240" w:lineRule="auto"/>
              <w:jc w:val="right"/>
              <w:rPr>
                <w:rFonts w:ascii="Calibri" w:eastAsia="Times New Roman" w:hAnsi="Calibri" w:cs="Times New Roman"/>
                <w:color w:val="000000"/>
                <w:lang w:eastAsia="es-ES"/>
              </w:rPr>
            </w:pPr>
            <w:r w:rsidRPr="00673328">
              <w:rPr>
                <w:rFonts w:ascii="Calibri" w:eastAsia="Times New Roman" w:hAnsi="Calibri" w:cs="Times New Roman"/>
                <w:color w:val="000000"/>
                <w:lang w:eastAsia="es-ES"/>
              </w:rPr>
              <w:t>-0.42%</w:t>
            </w:r>
          </w:p>
        </w:tc>
        <w:tc>
          <w:tcPr>
            <w:tcW w:w="1238" w:type="dxa"/>
            <w:tcBorders>
              <w:top w:val="nil"/>
              <w:left w:val="nil"/>
              <w:bottom w:val="nil"/>
              <w:right w:val="nil"/>
            </w:tcBorders>
            <w:shd w:val="clear" w:color="auto" w:fill="auto"/>
            <w:noWrap/>
            <w:vAlign w:val="bottom"/>
            <w:hideMark/>
          </w:tcPr>
          <w:p w:rsidR="00673328" w:rsidRPr="00673328" w:rsidRDefault="00673328" w:rsidP="00673328">
            <w:pPr>
              <w:spacing w:after="0" w:line="240" w:lineRule="auto"/>
              <w:jc w:val="right"/>
              <w:rPr>
                <w:rFonts w:ascii="Calibri" w:eastAsia="Times New Roman" w:hAnsi="Calibri" w:cs="Times New Roman"/>
                <w:color w:val="000000"/>
                <w:lang w:eastAsia="es-ES"/>
              </w:rPr>
            </w:pPr>
            <w:r w:rsidRPr="00673328">
              <w:rPr>
                <w:rFonts w:ascii="Calibri" w:eastAsia="Times New Roman" w:hAnsi="Calibri" w:cs="Times New Roman"/>
                <w:color w:val="000000"/>
                <w:lang w:eastAsia="es-ES"/>
              </w:rPr>
              <w:t>60.53%</w:t>
            </w:r>
          </w:p>
        </w:tc>
        <w:tc>
          <w:tcPr>
            <w:tcW w:w="1238" w:type="dxa"/>
            <w:tcBorders>
              <w:top w:val="nil"/>
              <w:left w:val="nil"/>
              <w:bottom w:val="nil"/>
              <w:right w:val="nil"/>
            </w:tcBorders>
            <w:shd w:val="clear" w:color="auto" w:fill="auto"/>
            <w:noWrap/>
            <w:vAlign w:val="bottom"/>
            <w:hideMark/>
          </w:tcPr>
          <w:p w:rsidR="00673328" w:rsidRPr="00673328" w:rsidRDefault="00673328" w:rsidP="00673328">
            <w:pPr>
              <w:spacing w:after="0" w:line="240" w:lineRule="auto"/>
              <w:jc w:val="right"/>
              <w:rPr>
                <w:rFonts w:ascii="Calibri" w:eastAsia="Times New Roman" w:hAnsi="Calibri" w:cs="Times New Roman"/>
                <w:color w:val="000000"/>
                <w:lang w:eastAsia="es-ES"/>
              </w:rPr>
            </w:pPr>
            <w:r w:rsidRPr="00673328">
              <w:rPr>
                <w:rFonts w:ascii="Calibri" w:eastAsia="Times New Roman" w:hAnsi="Calibri" w:cs="Times New Roman"/>
                <w:color w:val="000000"/>
                <w:lang w:eastAsia="es-ES"/>
              </w:rPr>
              <w:t>63.31%</w:t>
            </w:r>
          </w:p>
        </w:tc>
        <w:tc>
          <w:tcPr>
            <w:tcW w:w="1341" w:type="dxa"/>
            <w:tcBorders>
              <w:top w:val="nil"/>
              <w:left w:val="nil"/>
              <w:bottom w:val="nil"/>
              <w:right w:val="nil"/>
            </w:tcBorders>
            <w:shd w:val="clear" w:color="auto" w:fill="auto"/>
            <w:noWrap/>
            <w:vAlign w:val="bottom"/>
            <w:hideMark/>
          </w:tcPr>
          <w:p w:rsidR="00673328" w:rsidRPr="00673328" w:rsidRDefault="00673328" w:rsidP="00673328">
            <w:pPr>
              <w:spacing w:after="0" w:line="240" w:lineRule="auto"/>
              <w:jc w:val="right"/>
              <w:rPr>
                <w:rFonts w:ascii="Calibri" w:eastAsia="Times New Roman" w:hAnsi="Calibri" w:cs="Times New Roman"/>
                <w:color w:val="000000"/>
                <w:lang w:eastAsia="es-ES"/>
              </w:rPr>
            </w:pPr>
            <w:r w:rsidRPr="00673328">
              <w:rPr>
                <w:rFonts w:ascii="Calibri" w:eastAsia="Times New Roman" w:hAnsi="Calibri" w:cs="Times New Roman"/>
                <w:color w:val="000000"/>
                <w:lang w:eastAsia="es-ES"/>
              </w:rPr>
              <w:t>19.92%</w:t>
            </w:r>
          </w:p>
        </w:tc>
      </w:tr>
      <w:tr w:rsidR="00673328" w:rsidRPr="00673328" w:rsidTr="002129F5">
        <w:trPr>
          <w:trHeight w:val="315"/>
          <w:jc w:val="right"/>
        </w:trPr>
        <w:tc>
          <w:tcPr>
            <w:tcW w:w="1007" w:type="dxa"/>
            <w:tcBorders>
              <w:top w:val="nil"/>
              <w:left w:val="nil"/>
              <w:bottom w:val="nil"/>
              <w:right w:val="nil"/>
            </w:tcBorders>
            <w:shd w:val="clear" w:color="000000" w:fill="CCCCFF"/>
            <w:noWrap/>
            <w:vAlign w:val="bottom"/>
            <w:hideMark/>
          </w:tcPr>
          <w:p w:rsidR="00673328" w:rsidRPr="00673328" w:rsidRDefault="00673328" w:rsidP="00673328">
            <w:pPr>
              <w:spacing w:after="0" w:line="240" w:lineRule="auto"/>
              <w:rPr>
                <w:rFonts w:ascii="Calibri" w:eastAsia="Times New Roman" w:hAnsi="Calibri" w:cs="Times New Roman"/>
                <w:b/>
                <w:bCs/>
                <w:color w:val="000000"/>
                <w:lang w:eastAsia="es-ES"/>
              </w:rPr>
            </w:pPr>
            <w:proofErr w:type="spellStart"/>
            <w:r w:rsidRPr="00673328">
              <w:rPr>
                <w:rFonts w:ascii="Calibri" w:eastAsia="Times New Roman" w:hAnsi="Calibri" w:cs="Times New Roman"/>
                <w:b/>
                <w:bCs/>
                <w:color w:val="000000"/>
                <w:lang w:eastAsia="es-ES"/>
              </w:rPr>
              <w:t>University</w:t>
            </w:r>
            <w:proofErr w:type="spellEnd"/>
          </w:p>
        </w:tc>
        <w:tc>
          <w:tcPr>
            <w:tcW w:w="1238" w:type="dxa"/>
            <w:tcBorders>
              <w:top w:val="nil"/>
              <w:left w:val="nil"/>
              <w:bottom w:val="nil"/>
              <w:right w:val="nil"/>
            </w:tcBorders>
            <w:shd w:val="clear" w:color="000000" w:fill="CCCCFF"/>
            <w:noWrap/>
            <w:vAlign w:val="bottom"/>
            <w:hideMark/>
          </w:tcPr>
          <w:p w:rsidR="00673328" w:rsidRPr="00673328" w:rsidRDefault="00673328" w:rsidP="00673328">
            <w:pPr>
              <w:spacing w:after="0" w:line="240" w:lineRule="auto"/>
              <w:rPr>
                <w:rFonts w:ascii="Calibri" w:eastAsia="Times New Roman" w:hAnsi="Calibri" w:cs="Times New Roman"/>
                <w:b/>
                <w:bCs/>
                <w:color w:val="000000"/>
                <w:lang w:eastAsia="es-ES"/>
              </w:rPr>
            </w:pPr>
            <w:r w:rsidRPr="00673328">
              <w:rPr>
                <w:rFonts w:ascii="Calibri" w:eastAsia="Times New Roman" w:hAnsi="Calibri" w:cs="Times New Roman"/>
                <w:b/>
                <w:bCs/>
                <w:color w:val="000000"/>
                <w:lang w:eastAsia="es-ES"/>
              </w:rPr>
              <w:t> </w:t>
            </w:r>
          </w:p>
        </w:tc>
        <w:tc>
          <w:tcPr>
            <w:tcW w:w="1238" w:type="dxa"/>
            <w:tcBorders>
              <w:top w:val="nil"/>
              <w:left w:val="nil"/>
              <w:bottom w:val="nil"/>
              <w:right w:val="nil"/>
            </w:tcBorders>
            <w:shd w:val="clear" w:color="000000" w:fill="CCCCFF"/>
            <w:noWrap/>
            <w:vAlign w:val="bottom"/>
            <w:hideMark/>
          </w:tcPr>
          <w:p w:rsidR="00673328" w:rsidRPr="00673328" w:rsidRDefault="00673328" w:rsidP="00673328">
            <w:pPr>
              <w:spacing w:after="0" w:line="240" w:lineRule="auto"/>
              <w:rPr>
                <w:rFonts w:ascii="Calibri" w:eastAsia="Times New Roman" w:hAnsi="Calibri" w:cs="Times New Roman"/>
                <w:b/>
                <w:bCs/>
                <w:color w:val="000000"/>
                <w:lang w:eastAsia="es-ES"/>
              </w:rPr>
            </w:pPr>
            <w:r w:rsidRPr="00673328">
              <w:rPr>
                <w:rFonts w:ascii="Calibri" w:eastAsia="Times New Roman" w:hAnsi="Calibri" w:cs="Times New Roman"/>
                <w:b/>
                <w:bCs/>
                <w:color w:val="000000"/>
                <w:lang w:eastAsia="es-ES"/>
              </w:rPr>
              <w:t> </w:t>
            </w:r>
          </w:p>
        </w:tc>
        <w:tc>
          <w:tcPr>
            <w:tcW w:w="1238" w:type="dxa"/>
            <w:tcBorders>
              <w:top w:val="nil"/>
              <w:left w:val="nil"/>
              <w:bottom w:val="nil"/>
              <w:right w:val="nil"/>
            </w:tcBorders>
            <w:shd w:val="clear" w:color="000000" w:fill="CCCCFF"/>
            <w:noWrap/>
            <w:vAlign w:val="bottom"/>
            <w:hideMark/>
          </w:tcPr>
          <w:p w:rsidR="00673328" w:rsidRPr="00673328" w:rsidRDefault="00673328" w:rsidP="00673328">
            <w:pPr>
              <w:spacing w:after="0" w:line="240" w:lineRule="auto"/>
              <w:rPr>
                <w:rFonts w:ascii="Calibri" w:eastAsia="Times New Roman" w:hAnsi="Calibri" w:cs="Times New Roman"/>
                <w:b/>
                <w:bCs/>
                <w:color w:val="000000"/>
                <w:lang w:eastAsia="es-ES"/>
              </w:rPr>
            </w:pPr>
            <w:r w:rsidRPr="00673328">
              <w:rPr>
                <w:rFonts w:ascii="Calibri" w:eastAsia="Times New Roman" w:hAnsi="Calibri" w:cs="Times New Roman"/>
                <w:b/>
                <w:bCs/>
                <w:color w:val="000000"/>
                <w:lang w:eastAsia="es-ES"/>
              </w:rPr>
              <w:t> </w:t>
            </w:r>
          </w:p>
        </w:tc>
        <w:tc>
          <w:tcPr>
            <w:tcW w:w="1238" w:type="dxa"/>
            <w:tcBorders>
              <w:top w:val="nil"/>
              <w:left w:val="nil"/>
              <w:bottom w:val="nil"/>
              <w:right w:val="nil"/>
            </w:tcBorders>
            <w:shd w:val="clear" w:color="000000" w:fill="CCCCFF"/>
            <w:noWrap/>
            <w:vAlign w:val="bottom"/>
            <w:hideMark/>
          </w:tcPr>
          <w:p w:rsidR="00673328" w:rsidRPr="00673328" w:rsidRDefault="00673328" w:rsidP="00673328">
            <w:pPr>
              <w:spacing w:after="0" w:line="240" w:lineRule="auto"/>
              <w:rPr>
                <w:rFonts w:ascii="Calibri" w:eastAsia="Times New Roman" w:hAnsi="Calibri" w:cs="Times New Roman"/>
                <w:b/>
                <w:bCs/>
                <w:color w:val="000000"/>
                <w:lang w:eastAsia="es-ES"/>
              </w:rPr>
            </w:pPr>
            <w:r w:rsidRPr="00673328">
              <w:rPr>
                <w:rFonts w:ascii="Calibri" w:eastAsia="Times New Roman" w:hAnsi="Calibri" w:cs="Times New Roman"/>
                <w:b/>
                <w:bCs/>
                <w:color w:val="000000"/>
                <w:lang w:eastAsia="es-ES"/>
              </w:rPr>
              <w:t> </w:t>
            </w:r>
          </w:p>
        </w:tc>
        <w:tc>
          <w:tcPr>
            <w:tcW w:w="1341" w:type="dxa"/>
            <w:tcBorders>
              <w:top w:val="nil"/>
              <w:left w:val="nil"/>
              <w:bottom w:val="nil"/>
              <w:right w:val="nil"/>
            </w:tcBorders>
            <w:shd w:val="clear" w:color="000000" w:fill="CCCCFF"/>
            <w:noWrap/>
            <w:vAlign w:val="bottom"/>
            <w:hideMark/>
          </w:tcPr>
          <w:p w:rsidR="00673328" w:rsidRPr="00673328" w:rsidRDefault="00673328" w:rsidP="00673328">
            <w:pPr>
              <w:spacing w:after="0" w:line="240" w:lineRule="auto"/>
              <w:rPr>
                <w:rFonts w:ascii="Calibri" w:eastAsia="Times New Roman" w:hAnsi="Calibri" w:cs="Times New Roman"/>
                <w:b/>
                <w:bCs/>
                <w:color w:val="000000"/>
                <w:lang w:eastAsia="es-ES"/>
              </w:rPr>
            </w:pPr>
            <w:r w:rsidRPr="00673328">
              <w:rPr>
                <w:rFonts w:ascii="Calibri" w:eastAsia="Times New Roman" w:hAnsi="Calibri" w:cs="Times New Roman"/>
                <w:b/>
                <w:bCs/>
                <w:color w:val="000000"/>
                <w:lang w:eastAsia="es-ES"/>
              </w:rPr>
              <w:t> </w:t>
            </w:r>
          </w:p>
        </w:tc>
      </w:tr>
      <w:tr w:rsidR="00673328" w:rsidRPr="00673328" w:rsidTr="002129F5">
        <w:trPr>
          <w:trHeight w:val="300"/>
          <w:jc w:val="right"/>
        </w:trPr>
        <w:tc>
          <w:tcPr>
            <w:tcW w:w="1007" w:type="dxa"/>
            <w:tcBorders>
              <w:top w:val="nil"/>
              <w:left w:val="nil"/>
              <w:bottom w:val="nil"/>
              <w:right w:val="nil"/>
            </w:tcBorders>
            <w:shd w:val="clear" w:color="auto" w:fill="auto"/>
            <w:noWrap/>
            <w:vAlign w:val="bottom"/>
            <w:hideMark/>
          </w:tcPr>
          <w:p w:rsidR="00673328" w:rsidRPr="00673328" w:rsidRDefault="00673328" w:rsidP="00673328">
            <w:pPr>
              <w:spacing w:after="0" w:line="240" w:lineRule="auto"/>
              <w:rPr>
                <w:rFonts w:ascii="Calibri" w:eastAsia="Times New Roman" w:hAnsi="Calibri" w:cs="Times New Roman"/>
                <w:color w:val="000000"/>
                <w:lang w:eastAsia="es-ES"/>
              </w:rPr>
            </w:pPr>
            <w:r w:rsidRPr="00673328">
              <w:rPr>
                <w:rFonts w:ascii="Calibri" w:eastAsia="Times New Roman" w:hAnsi="Calibri" w:cs="Times New Roman"/>
                <w:color w:val="000000"/>
                <w:lang w:eastAsia="es-ES"/>
              </w:rPr>
              <w:t>TOTAL</w:t>
            </w:r>
          </w:p>
        </w:tc>
        <w:tc>
          <w:tcPr>
            <w:tcW w:w="1238" w:type="dxa"/>
            <w:tcBorders>
              <w:top w:val="nil"/>
              <w:left w:val="nil"/>
              <w:bottom w:val="nil"/>
              <w:right w:val="nil"/>
            </w:tcBorders>
            <w:shd w:val="clear" w:color="auto" w:fill="auto"/>
            <w:noWrap/>
            <w:vAlign w:val="bottom"/>
            <w:hideMark/>
          </w:tcPr>
          <w:p w:rsidR="00673328" w:rsidRPr="00673328" w:rsidRDefault="00673328" w:rsidP="00673328">
            <w:pPr>
              <w:spacing w:after="0" w:line="240" w:lineRule="auto"/>
              <w:rPr>
                <w:rFonts w:ascii="Calibri" w:eastAsia="Times New Roman" w:hAnsi="Calibri" w:cs="Times New Roman"/>
                <w:color w:val="000000"/>
                <w:lang w:eastAsia="es-ES"/>
              </w:rPr>
            </w:pPr>
          </w:p>
        </w:tc>
        <w:tc>
          <w:tcPr>
            <w:tcW w:w="1238" w:type="dxa"/>
            <w:tcBorders>
              <w:top w:val="nil"/>
              <w:left w:val="nil"/>
              <w:bottom w:val="nil"/>
              <w:right w:val="nil"/>
            </w:tcBorders>
            <w:shd w:val="clear" w:color="auto" w:fill="auto"/>
            <w:noWrap/>
            <w:vAlign w:val="bottom"/>
            <w:hideMark/>
          </w:tcPr>
          <w:p w:rsidR="00673328" w:rsidRPr="00673328" w:rsidRDefault="00673328" w:rsidP="00673328">
            <w:pPr>
              <w:spacing w:after="0" w:line="240" w:lineRule="auto"/>
              <w:jc w:val="right"/>
              <w:rPr>
                <w:rFonts w:ascii="Calibri" w:eastAsia="Times New Roman" w:hAnsi="Calibri" w:cs="Times New Roman"/>
                <w:color w:val="000000"/>
                <w:lang w:eastAsia="es-ES"/>
              </w:rPr>
            </w:pPr>
            <w:r w:rsidRPr="00673328">
              <w:rPr>
                <w:rFonts w:ascii="Calibri" w:eastAsia="Times New Roman" w:hAnsi="Calibri" w:cs="Times New Roman"/>
                <w:color w:val="000000"/>
                <w:lang w:eastAsia="es-ES"/>
              </w:rPr>
              <w:t>9.55%</w:t>
            </w:r>
          </w:p>
        </w:tc>
        <w:tc>
          <w:tcPr>
            <w:tcW w:w="1238" w:type="dxa"/>
            <w:tcBorders>
              <w:top w:val="nil"/>
              <w:left w:val="nil"/>
              <w:bottom w:val="nil"/>
              <w:right w:val="nil"/>
            </w:tcBorders>
            <w:shd w:val="clear" w:color="auto" w:fill="auto"/>
            <w:noWrap/>
            <w:vAlign w:val="bottom"/>
            <w:hideMark/>
          </w:tcPr>
          <w:p w:rsidR="00673328" w:rsidRPr="00673328" w:rsidRDefault="00673328" w:rsidP="00673328">
            <w:pPr>
              <w:spacing w:after="0" w:line="240" w:lineRule="auto"/>
              <w:jc w:val="right"/>
              <w:rPr>
                <w:rFonts w:ascii="Calibri" w:eastAsia="Times New Roman" w:hAnsi="Calibri" w:cs="Times New Roman"/>
                <w:color w:val="000000"/>
                <w:lang w:eastAsia="es-ES"/>
              </w:rPr>
            </w:pPr>
            <w:r w:rsidRPr="00673328">
              <w:rPr>
                <w:rFonts w:ascii="Calibri" w:eastAsia="Times New Roman" w:hAnsi="Calibri" w:cs="Times New Roman"/>
                <w:color w:val="000000"/>
                <w:lang w:eastAsia="es-ES"/>
              </w:rPr>
              <w:t>9.37%</w:t>
            </w:r>
          </w:p>
        </w:tc>
        <w:tc>
          <w:tcPr>
            <w:tcW w:w="1238" w:type="dxa"/>
            <w:tcBorders>
              <w:top w:val="nil"/>
              <w:left w:val="nil"/>
              <w:bottom w:val="nil"/>
              <w:right w:val="nil"/>
            </w:tcBorders>
            <w:shd w:val="clear" w:color="auto" w:fill="auto"/>
            <w:noWrap/>
            <w:vAlign w:val="bottom"/>
            <w:hideMark/>
          </w:tcPr>
          <w:p w:rsidR="00673328" w:rsidRPr="00673328" w:rsidRDefault="00673328" w:rsidP="00673328">
            <w:pPr>
              <w:spacing w:after="0" w:line="240" w:lineRule="auto"/>
              <w:jc w:val="right"/>
              <w:rPr>
                <w:rFonts w:ascii="Calibri" w:eastAsia="Times New Roman" w:hAnsi="Calibri" w:cs="Times New Roman"/>
                <w:color w:val="000000"/>
                <w:lang w:eastAsia="es-ES"/>
              </w:rPr>
            </w:pPr>
            <w:r w:rsidRPr="00673328">
              <w:rPr>
                <w:rFonts w:ascii="Calibri" w:eastAsia="Times New Roman" w:hAnsi="Calibri" w:cs="Times New Roman"/>
                <w:color w:val="000000"/>
                <w:lang w:eastAsia="es-ES"/>
              </w:rPr>
              <w:t>10.64%</w:t>
            </w:r>
          </w:p>
        </w:tc>
        <w:tc>
          <w:tcPr>
            <w:tcW w:w="1341" w:type="dxa"/>
            <w:tcBorders>
              <w:top w:val="nil"/>
              <w:left w:val="nil"/>
              <w:bottom w:val="nil"/>
              <w:right w:val="nil"/>
            </w:tcBorders>
            <w:shd w:val="clear" w:color="auto" w:fill="auto"/>
            <w:noWrap/>
            <w:vAlign w:val="bottom"/>
            <w:hideMark/>
          </w:tcPr>
          <w:p w:rsidR="00673328" w:rsidRPr="00673328" w:rsidRDefault="00673328" w:rsidP="00673328">
            <w:pPr>
              <w:spacing w:after="0" w:line="240" w:lineRule="auto"/>
              <w:jc w:val="right"/>
              <w:rPr>
                <w:rFonts w:ascii="Calibri" w:eastAsia="Times New Roman" w:hAnsi="Calibri" w:cs="Times New Roman"/>
                <w:color w:val="000000"/>
                <w:lang w:eastAsia="es-ES"/>
              </w:rPr>
            </w:pPr>
            <w:r w:rsidRPr="00673328">
              <w:rPr>
                <w:rFonts w:ascii="Calibri" w:eastAsia="Times New Roman" w:hAnsi="Calibri" w:cs="Times New Roman"/>
                <w:color w:val="000000"/>
                <w:lang w:eastAsia="es-ES"/>
              </w:rPr>
              <w:t>5.03%</w:t>
            </w:r>
          </w:p>
        </w:tc>
      </w:tr>
      <w:tr w:rsidR="00673328" w:rsidRPr="00673328" w:rsidTr="002129F5">
        <w:trPr>
          <w:trHeight w:val="300"/>
          <w:jc w:val="right"/>
        </w:trPr>
        <w:tc>
          <w:tcPr>
            <w:tcW w:w="1007" w:type="dxa"/>
            <w:tcBorders>
              <w:top w:val="nil"/>
              <w:left w:val="nil"/>
              <w:bottom w:val="nil"/>
              <w:right w:val="nil"/>
            </w:tcBorders>
            <w:shd w:val="clear" w:color="auto" w:fill="auto"/>
            <w:noWrap/>
            <w:vAlign w:val="bottom"/>
            <w:hideMark/>
          </w:tcPr>
          <w:p w:rsidR="00673328" w:rsidRPr="00673328" w:rsidRDefault="00673328" w:rsidP="00673328">
            <w:pPr>
              <w:spacing w:after="0" w:line="240" w:lineRule="auto"/>
              <w:rPr>
                <w:rFonts w:ascii="Calibri" w:eastAsia="Times New Roman" w:hAnsi="Calibri" w:cs="Times New Roman"/>
                <w:color w:val="000000"/>
                <w:lang w:eastAsia="es-ES"/>
              </w:rPr>
            </w:pPr>
            <w:r w:rsidRPr="00673328">
              <w:rPr>
                <w:rFonts w:ascii="Calibri" w:eastAsia="Times New Roman" w:hAnsi="Calibri" w:cs="Times New Roman"/>
                <w:color w:val="000000"/>
                <w:lang w:eastAsia="es-ES"/>
              </w:rPr>
              <w:t xml:space="preserve">   </w:t>
            </w:r>
            <w:proofErr w:type="spellStart"/>
            <w:r w:rsidRPr="00673328">
              <w:rPr>
                <w:rFonts w:ascii="Calibri" w:eastAsia="Times New Roman" w:hAnsi="Calibri" w:cs="Times New Roman"/>
                <w:color w:val="000000"/>
                <w:lang w:eastAsia="es-ES"/>
              </w:rPr>
              <w:t>Wages</w:t>
            </w:r>
            <w:proofErr w:type="spellEnd"/>
          </w:p>
        </w:tc>
        <w:tc>
          <w:tcPr>
            <w:tcW w:w="1238" w:type="dxa"/>
            <w:tcBorders>
              <w:top w:val="nil"/>
              <w:left w:val="nil"/>
              <w:bottom w:val="nil"/>
              <w:right w:val="nil"/>
            </w:tcBorders>
            <w:shd w:val="clear" w:color="auto" w:fill="auto"/>
            <w:noWrap/>
            <w:vAlign w:val="bottom"/>
            <w:hideMark/>
          </w:tcPr>
          <w:p w:rsidR="00673328" w:rsidRPr="00673328" w:rsidRDefault="00673328" w:rsidP="00673328">
            <w:pPr>
              <w:spacing w:after="0" w:line="240" w:lineRule="auto"/>
              <w:rPr>
                <w:rFonts w:ascii="Calibri" w:eastAsia="Times New Roman" w:hAnsi="Calibri" w:cs="Times New Roman"/>
                <w:color w:val="000000"/>
                <w:lang w:eastAsia="es-ES"/>
              </w:rPr>
            </w:pPr>
          </w:p>
        </w:tc>
        <w:tc>
          <w:tcPr>
            <w:tcW w:w="1238" w:type="dxa"/>
            <w:tcBorders>
              <w:top w:val="nil"/>
              <w:left w:val="nil"/>
              <w:bottom w:val="nil"/>
              <w:right w:val="nil"/>
            </w:tcBorders>
            <w:shd w:val="clear" w:color="auto" w:fill="auto"/>
            <w:noWrap/>
            <w:vAlign w:val="bottom"/>
            <w:hideMark/>
          </w:tcPr>
          <w:p w:rsidR="00673328" w:rsidRPr="00673328" w:rsidRDefault="00673328" w:rsidP="00673328">
            <w:pPr>
              <w:spacing w:after="0" w:line="240" w:lineRule="auto"/>
              <w:jc w:val="right"/>
              <w:rPr>
                <w:rFonts w:ascii="Calibri" w:eastAsia="Times New Roman" w:hAnsi="Calibri" w:cs="Times New Roman"/>
                <w:color w:val="000000"/>
                <w:lang w:eastAsia="es-ES"/>
              </w:rPr>
            </w:pPr>
            <w:r w:rsidRPr="00673328">
              <w:rPr>
                <w:rFonts w:ascii="Calibri" w:eastAsia="Times New Roman" w:hAnsi="Calibri" w:cs="Times New Roman"/>
                <w:color w:val="000000"/>
                <w:lang w:eastAsia="es-ES"/>
              </w:rPr>
              <w:t>1.97%</w:t>
            </w:r>
          </w:p>
        </w:tc>
        <w:tc>
          <w:tcPr>
            <w:tcW w:w="1238" w:type="dxa"/>
            <w:tcBorders>
              <w:top w:val="nil"/>
              <w:left w:val="nil"/>
              <w:bottom w:val="nil"/>
              <w:right w:val="nil"/>
            </w:tcBorders>
            <w:shd w:val="clear" w:color="auto" w:fill="auto"/>
            <w:noWrap/>
            <w:vAlign w:val="bottom"/>
            <w:hideMark/>
          </w:tcPr>
          <w:p w:rsidR="00673328" w:rsidRPr="00673328" w:rsidRDefault="00673328" w:rsidP="00673328">
            <w:pPr>
              <w:spacing w:after="0" w:line="240" w:lineRule="auto"/>
              <w:jc w:val="right"/>
              <w:rPr>
                <w:rFonts w:ascii="Calibri" w:eastAsia="Times New Roman" w:hAnsi="Calibri" w:cs="Times New Roman"/>
                <w:color w:val="000000"/>
                <w:lang w:eastAsia="es-ES"/>
              </w:rPr>
            </w:pPr>
            <w:r w:rsidRPr="00673328">
              <w:rPr>
                <w:rFonts w:ascii="Calibri" w:eastAsia="Times New Roman" w:hAnsi="Calibri" w:cs="Times New Roman"/>
                <w:color w:val="000000"/>
                <w:lang w:eastAsia="es-ES"/>
              </w:rPr>
              <w:t>4.45%</w:t>
            </w:r>
          </w:p>
        </w:tc>
        <w:tc>
          <w:tcPr>
            <w:tcW w:w="1238" w:type="dxa"/>
            <w:tcBorders>
              <w:top w:val="nil"/>
              <w:left w:val="nil"/>
              <w:bottom w:val="nil"/>
              <w:right w:val="nil"/>
            </w:tcBorders>
            <w:shd w:val="clear" w:color="auto" w:fill="auto"/>
            <w:noWrap/>
            <w:vAlign w:val="bottom"/>
            <w:hideMark/>
          </w:tcPr>
          <w:p w:rsidR="00673328" w:rsidRPr="00673328" w:rsidRDefault="00673328" w:rsidP="00673328">
            <w:pPr>
              <w:spacing w:after="0" w:line="240" w:lineRule="auto"/>
              <w:jc w:val="right"/>
              <w:rPr>
                <w:rFonts w:ascii="Calibri" w:eastAsia="Times New Roman" w:hAnsi="Calibri" w:cs="Times New Roman"/>
                <w:color w:val="000000"/>
                <w:lang w:eastAsia="es-ES"/>
              </w:rPr>
            </w:pPr>
            <w:r w:rsidRPr="00673328">
              <w:rPr>
                <w:rFonts w:ascii="Calibri" w:eastAsia="Times New Roman" w:hAnsi="Calibri" w:cs="Times New Roman"/>
                <w:color w:val="000000"/>
                <w:lang w:eastAsia="es-ES"/>
              </w:rPr>
              <w:t>15.50%</w:t>
            </w:r>
          </w:p>
        </w:tc>
        <w:tc>
          <w:tcPr>
            <w:tcW w:w="1341" w:type="dxa"/>
            <w:tcBorders>
              <w:top w:val="nil"/>
              <w:left w:val="nil"/>
              <w:bottom w:val="nil"/>
              <w:right w:val="nil"/>
            </w:tcBorders>
            <w:shd w:val="clear" w:color="auto" w:fill="auto"/>
            <w:noWrap/>
            <w:vAlign w:val="bottom"/>
            <w:hideMark/>
          </w:tcPr>
          <w:p w:rsidR="00673328" w:rsidRPr="00673328" w:rsidRDefault="00673328" w:rsidP="00673328">
            <w:pPr>
              <w:spacing w:after="0" w:line="240" w:lineRule="auto"/>
              <w:jc w:val="right"/>
              <w:rPr>
                <w:rFonts w:ascii="Calibri" w:eastAsia="Times New Roman" w:hAnsi="Calibri" w:cs="Times New Roman"/>
                <w:color w:val="000000"/>
                <w:lang w:eastAsia="es-ES"/>
              </w:rPr>
            </w:pPr>
            <w:r w:rsidRPr="00673328">
              <w:rPr>
                <w:rFonts w:ascii="Calibri" w:eastAsia="Times New Roman" w:hAnsi="Calibri" w:cs="Times New Roman"/>
                <w:color w:val="000000"/>
                <w:lang w:eastAsia="es-ES"/>
              </w:rPr>
              <w:t>11.04%</w:t>
            </w:r>
          </w:p>
        </w:tc>
      </w:tr>
      <w:tr w:rsidR="00673328" w:rsidRPr="00673328" w:rsidTr="002129F5">
        <w:trPr>
          <w:trHeight w:val="300"/>
          <w:jc w:val="right"/>
        </w:trPr>
        <w:tc>
          <w:tcPr>
            <w:tcW w:w="2245" w:type="dxa"/>
            <w:gridSpan w:val="2"/>
            <w:tcBorders>
              <w:top w:val="nil"/>
              <w:left w:val="nil"/>
              <w:bottom w:val="nil"/>
              <w:right w:val="nil"/>
            </w:tcBorders>
            <w:shd w:val="clear" w:color="auto" w:fill="auto"/>
            <w:noWrap/>
            <w:vAlign w:val="bottom"/>
            <w:hideMark/>
          </w:tcPr>
          <w:p w:rsidR="00673328" w:rsidRPr="00673328" w:rsidRDefault="00673328" w:rsidP="00673328">
            <w:pPr>
              <w:spacing w:after="0" w:line="240" w:lineRule="auto"/>
              <w:rPr>
                <w:rFonts w:ascii="Calibri" w:eastAsia="Times New Roman" w:hAnsi="Calibri" w:cs="Times New Roman"/>
                <w:color w:val="000000"/>
                <w:lang w:eastAsia="es-ES"/>
              </w:rPr>
            </w:pPr>
            <w:r w:rsidRPr="00673328">
              <w:rPr>
                <w:rFonts w:ascii="Calibri" w:eastAsia="Times New Roman" w:hAnsi="Calibri" w:cs="Times New Roman"/>
                <w:color w:val="000000"/>
                <w:lang w:eastAsia="es-ES"/>
              </w:rPr>
              <w:t xml:space="preserve">   Non-</w:t>
            </w:r>
            <w:proofErr w:type="spellStart"/>
            <w:r w:rsidRPr="00673328">
              <w:rPr>
                <w:rFonts w:ascii="Calibri" w:eastAsia="Times New Roman" w:hAnsi="Calibri" w:cs="Times New Roman"/>
                <w:color w:val="000000"/>
                <w:lang w:eastAsia="es-ES"/>
              </w:rPr>
              <w:t>Wages</w:t>
            </w:r>
            <w:proofErr w:type="spellEnd"/>
          </w:p>
        </w:tc>
        <w:tc>
          <w:tcPr>
            <w:tcW w:w="1238" w:type="dxa"/>
            <w:tcBorders>
              <w:top w:val="nil"/>
              <w:left w:val="nil"/>
              <w:bottom w:val="nil"/>
              <w:right w:val="nil"/>
            </w:tcBorders>
            <w:shd w:val="clear" w:color="auto" w:fill="auto"/>
            <w:noWrap/>
            <w:vAlign w:val="bottom"/>
            <w:hideMark/>
          </w:tcPr>
          <w:p w:rsidR="00673328" w:rsidRPr="00673328" w:rsidRDefault="00673328" w:rsidP="00673328">
            <w:pPr>
              <w:spacing w:after="0" w:line="240" w:lineRule="auto"/>
              <w:jc w:val="right"/>
              <w:rPr>
                <w:rFonts w:ascii="Calibri" w:eastAsia="Times New Roman" w:hAnsi="Calibri" w:cs="Times New Roman"/>
                <w:color w:val="000000"/>
                <w:lang w:eastAsia="es-ES"/>
              </w:rPr>
            </w:pPr>
            <w:r w:rsidRPr="00673328">
              <w:rPr>
                <w:rFonts w:ascii="Calibri" w:eastAsia="Times New Roman" w:hAnsi="Calibri" w:cs="Times New Roman"/>
                <w:color w:val="000000"/>
                <w:lang w:eastAsia="es-ES"/>
              </w:rPr>
              <w:t>9.14%</w:t>
            </w:r>
          </w:p>
        </w:tc>
        <w:tc>
          <w:tcPr>
            <w:tcW w:w="1238" w:type="dxa"/>
            <w:tcBorders>
              <w:top w:val="nil"/>
              <w:left w:val="nil"/>
              <w:bottom w:val="nil"/>
              <w:right w:val="nil"/>
            </w:tcBorders>
            <w:shd w:val="clear" w:color="auto" w:fill="auto"/>
            <w:noWrap/>
            <w:vAlign w:val="bottom"/>
            <w:hideMark/>
          </w:tcPr>
          <w:p w:rsidR="00673328" w:rsidRPr="00673328" w:rsidRDefault="00673328" w:rsidP="00673328">
            <w:pPr>
              <w:spacing w:after="0" w:line="240" w:lineRule="auto"/>
              <w:jc w:val="right"/>
              <w:rPr>
                <w:rFonts w:ascii="Calibri" w:eastAsia="Times New Roman" w:hAnsi="Calibri" w:cs="Times New Roman"/>
                <w:color w:val="000000"/>
                <w:lang w:eastAsia="es-ES"/>
              </w:rPr>
            </w:pPr>
            <w:r w:rsidRPr="00673328">
              <w:rPr>
                <w:rFonts w:ascii="Calibri" w:eastAsia="Times New Roman" w:hAnsi="Calibri" w:cs="Times New Roman"/>
                <w:color w:val="000000"/>
                <w:lang w:eastAsia="es-ES"/>
              </w:rPr>
              <w:t>3.80%</w:t>
            </w:r>
          </w:p>
        </w:tc>
        <w:tc>
          <w:tcPr>
            <w:tcW w:w="1238" w:type="dxa"/>
            <w:tcBorders>
              <w:top w:val="nil"/>
              <w:left w:val="nil"/>
              <w:bottom w:val="nil"/>
              <w:right w:val="nil"/>
            </w:tcBorders>
            <w:shd w:val="clear" w:color="auto" w:fill="auto"/>
            <w:noWrap/>
            <w:vAlign w:val="bottom"/>
            <w:hideMark/>
          </w:tcPr>
          <w:p w:rsidR="00673328" w:rsidRPr="00673328" w:rsidRDefault="00673328" w:rsidP="00673328">
            <w:pPr>
              <w:spacing w:after="0" w:line="240" w:lineRule="auto"/>
              <w:jc w:val="right"/>
              <w:rPr>
                <w:rFonts w:ascii="Calibri" w:eastAsia="Times New Roman" w:hAnsi="Calibri" w:cs="Times New Roman"/>
                <w:color w:val="000000"/>
                <w:lang w:eastAsia="es-ES"/>
              </w:rPr>
            </w:pPr>
            <w:r w:rsidRPr="00673328">
              <w:rPr>
                <w:rFonts w:ascii="Calibri" w:eastAsia="Times New Roman" w:hAnsi="Calibri" w:cs="Times New Roman"/>
                <w:color w:val="000000"/>
                <w:lang w:eastAsia="es-ES"/>
              </w:rPr>
              <w:t>7.18%</w:t>
            </w:r>
          </w:p>
        </w:tc>
        <w:tc>
          <w:tcPr>
            <w:tcW w:w="1341" w:type="dxa"/>
            <w:tcBorders>
              <w:top w:val="nil"/>
              <w:left w:val="nil"/>
              <w:bottom w:val="nil"/>
              <w:right w:val="nil"/>
            </w:tcBorders>
            <w:shd w:val="clear" w:color="auto" w:fill="auto"/>
            <w:noWrap/>
            <w:vAlign w:val="bottom"/>
            <w:hideMark/>
          </w:tcPr>
          <w:p w:rsidR="00673328" w:rsidRPr="00673328" w:rsidRDefault="00673328" w:rsidP="00673328">
            <w:pPr>
              <w:spacing w:after="0" w:line="240" w:lineRule="auto"/>
              <w:jc w:val="right"/>
              <w:rPr>
                <w:rFonts w:ascii="Calibri" w:eastAsia="Times New Roman" w:hAnsi="Calibri" w:cs="Times New Roman"/>
                <w:color w:val="000000"/>
                <w:lang w:eastAsia="es-ES"/>
              </w:rPr>
            </w:pPr>
            <w:r w:rsidRPr="00673328">
              <w:rPr>
                <w:rFonts w:ascii="Calibri" w:eastAsia="Times New Roman" w:hAnsi="Calibri" w:cs="Times New Roman"/>
                <w:color w:val="000000"/>
                <w:lang w:eastAsia="es-ES"/>
              </w:rPr>
              <w:t>1.69%</w:t>
            </w:r>
          </w:p>
        </w:tc>
      </w:tr>
      <w:tr w:rsidR="00673328" w:rsidRPr="00673328" w:rsidTr="002129F5">
        <w:trPr>
          <w:trHeight w:val="300"/>
          <w:jc w:val="right"/>
        </w:trPr>
        <w:tc>
          <w:tcPr>
            <w:tcW w:w="1007" w:type="dxa"/>
            <w:tcBorders>
              <w:top w:val="nil"/>
              <w:left w:val="nil"/>
              <w:bottom w:val="nil"/>
              <w:right w:val="nil"/>
            </w:tcBorders>
            <w:shd w:val="clear" w:color="auto" w:fill="auto"/>
            <w:noWrap/>
            <w:vAlign w:val="bottom"/>
            <w:hideMark/>
          </w:tcPr>
          <w:p w:rsidR="00673328" w:rsidRPr="00673328" w:rsidRDefault="00673328" w:rsidP="00673328">
            <w:pPr>
              <w:spacing w:after="0" w:line="240" w:lineRule="auto"/>
              <w:rPr>
                <w:rFonts w:ascii="Calibri" w:eastAsia="Times New Roman" w:hAnsi="Calibri" w:cs="Times New Roman"/>
                <w:color w:val="000000"/>
                <w:lang w:eastAsia="es-ES"/>
              </w:rPr>
            </w:pPr>
            <w:r w:rsidRPr="00673328">
              <w:rPr>
                <w:rFonts w:ascii="Calibri" w:eastAsia="Times New Roman" w:hAnsi="Calibri" w:cs="Times New Roman"/>
                <w:color w:val="000000"/>
                <w:lang w:eastAsia="es-ES"/>
              </w:rPr>
              <w:t xml:space="preserve">   Capital</w:t>
            </w:r>
          </w:p>
        </w:tc>
        <w:tc>
          <w:tcPr>
            <w:tcW w:w="1238" w:type="dxa"/>
            <w:tcBorders>
              <w:top w:val="nil"/>
              <w:left w:val="nil"/>
              <w:bottom w:val="nil"/>
              <w:right w:val="nil"/>
            </w:tcBorders>
            <w:shd w:val="clear" w:color="auto" w:fill="auto"/>
            <w:noWrap/>
            <w:vAlign w:val="bottom"/>
            <w:hideMark/>
          </w:tcPr>
          <w:p w:rsidR="00673328" w:rsidRPr="00673328" w:rsidRDefault="00673328" w:rsidP="00673328">
            <w:pPr>
              <w:spacing w:after="0" w:line="240" w:lineRule="auto"/>
              <w:rPr>
                <w:rFonts w:ascii="Calibri" w:eastAsia="Times New Roman" w:hAnsi="Calibri" w:cs="Times New Roman"/>
                <w:color w:val="000000"/>
                <w:lang w:eastAsia="es-ES"/>
              </w:rPr>
            </w:pPr>
          </w:p>
        </w:tc>
        <w:tc>
          <w:tcPr>
            <w:tcW w:w="1238" w:type="dxa"/>
            <w:tcBorders>
              <w:top w:val="nil"/>
              <w:left w:val="nil"/>
              <w:bottom w:val="nil"/>
              <w:right w:val="nil"/>
            </w:tcBorders>
            <w:shd w:val="clear" w:color="auto" w:fill="auto"/>
            <w:noWrap/>
            <w:vAlign w:val="bottom"/>
            <w:hideMark/>
          </w:tcPr>
          <w:p w:rsidR="00673328" w:rsidRPr="00673328" w:rsidRDefault="00673328" w:rsidP="00673328">
            <w:pPr>
              <w:spacing w:after="0" w:line="240" w:lineRule="auto"/>
              <w:jc w:val="right"/>
              <w:rPr>
                <w:rFonts w:ascii="Calibri" w:eastAsia="Times New Roman" w:hAnsi="Calibri" w:cs="Times New Roman"/>
                <w:color w:val="000000"/>
                <w:lang w:eastAsia="es-ES"/>
              </w:rPr>
            </w:pPr>
            <w:r w:rsidRPr="00673328">
              <w:rPr>
                <w:rFonts w:ascii="Calibri" w:eastAsia="Times New Roman" w:hAnsi="Calibri" w:cs="Times New Roman"/>
                <w:color w:val="000000"/>
                <w:lang w:eastAsia="es-ES"/>
              </w:rPr>
              <w:t>31.90%</w:t>
            </w:r>
          </w:p>
        </w:tc>
        <w:tc>
          <w:tcPr>
            <w:tcW w:w="1238" w:type="dxa"/>
            <w:tcBorders>
              <w:top w:val="nil"/>
              <w:left w:val="nil"/>
              <w:bottom w:val="nil"/>
              <w:right w:val="nil"/>
            </w:tcBorders>
            <w:shd w:val="clear" w:color="auto" w:fill="auto"/>
            <w:noWrap/>
            <w:vAlign w:val="bottom"/>
            <w:hideMark/>
          </w:tcPr>
          <w:p w:rsidR="00673328" w:rsidRPr="00673328" w:rsidRDefault="00673328" w:rsidP="00673328">
            <w:pPr>
              <w:spacing w:after="0" w:line="240" w:lineRule="auto"/>
              <w:jc w:val="right"/>
              <w:rPr>
                <w:rFonts w:ascii="Calibri" w:eastAsia="Times New Roman" w:hAnsi="Calibri" w:cs="Times New Roman"/>
                <w:color w:val="000000"/>
                <w:lang w:eastAsia="es-ES"/>
              </w:rPr>
            </w:pPr>
            <w:r w:rsidRPr="00673328">
              <w:rPr>
                <w:rFonts w:ascii="Calibri" w:eastAsia="Times New Roman" w:hAnsi="Calibri" w:cs="Times New Roman"/>
                <w:color w:val="000000"/>
                <w:lang w:eastAsia="es-ES"/>
              </w:rPr>
              <w:t>31.37%</w:t>
            </w:r>
          </w:p>
        </w:tc>
        <w:tc>
          <w:tcPr>
            <w:tcW w:w="1238" w:type="dxa"/>
            <w:tcBorders>
              <w:top w:val="nil"/>
              <w:left w:val="nil"/>
              <w:bottom w:val="nil"/>
              <w:right w:val="nil"/>
            </w:tcBorders>
            <w:shd w:val="clear" w:color="auto" w:fill="auto"/>
            <w:noWrap/>
            <w:vAlign w:val="bottom"/>
            <w:hideMark/>
          </w:tcPr>
          <w:p w:rsidR="00673328" w:rsidRPr="00673328" w:rsidRDefault="00673328" w:rsidP="00673328">
            <w:pPr>
              <w:spacing w:after="0" w:line="240" w:lineRule="auto"/>
              <w:jc w:val="right"/>
              <w:rPr>
                <w:rFonts w:ascii="Calibri" w:eastAsia="Times New Roman" w:hAnsi="Calibri" w:cs="Times New Roman"/>
                <w:color w:val="000000"/>
                <w:lang w:eastAsia="es-ES"/>
              </w:rPr>
            </w:pPr>
            <w:r w:rsidRPr="00673328">
              <w:rPr>
                <w:rFonts w:ascii="Calibri" w:eastAsia="Times New Roman" w:hAnsi="Calibri" w:cs="Times New Roman"/>
                <w:color w:val="000000"/>
                <w:lang w:eastAsia="es-ES"/>
              </w:rPr>
              <w:t>1.53%</w:t>
            </w:r>
          </w:p>
        </w:tc>
        <w:tc>
          <w:tcPr>
            <w:tcW w:w="1341" w:type="dxa"/>
            <w:tcBorders>
              <w:top w:val="nil"/>
              <w:left w:val="nil"/>
              <w:bottom w:val="nil"/>
              <w:right w:val="nil"/>
            </w:tcBorders>
            <w:shd w:val="clear" w:color="auto" w:fill="auto"/>
            <w:noWrap/>
            <w:vAlign w:val="bottom"/>
            <w:hideMark/>
          </w:tcPr>
          <w:p w:rsidR="00673328" w:rsidRPr="00673328" w:rsidRDefault="00673328" w:rsidP="00673328">
            <w:pPr>
              <w:spacing w:after="0" w:line="240" w:lineRule="auto"/>
              <w:jc w:val="right"/>
              <w:rPr>
                <w:rFonts w:ascii="Calibri" w:eastAsia="Times New Roman" w:hAnsi="Calibri" w:cs="Times New Roman"/>
                <w:color w:val="000000"/>
                <w:lang w:eastAsia="es-ES"/>
              </w:rPr>
            </w:pPr>
            <w:r w:rsidRPr="00673328">
              <w:rPr>
                <w:rFonts w:ascii="Calibri" w:eastAsia="Times New Roman" w:hAnsi="Calibri" w:cs="Times New Roman"/>
                <w:color w:val="000000"/>
                <w:lang w:eastAsia="es-ES"/>
              </w:rPr>
              <w:t>-7.53%</w:t>
            </w:r>
          </w:p>
        </w:tc>
      </w:tr>
      <w:tr w:rsidR="00673328" w:rsidRPr="00673328" w:rsidTr="002129F5">
        <w:trPr>
          <w:trHeight w:val="315"/>
          <w:jc w:val="right"/>
        </w:trPr>
        <w:tc>
          <w:tcPr>
            <w:tcW w:w="2245" w:type="dxa"/>
            <w:gridSpan w:val="2"/>
            <w:tcBorders>
              <w:top w:val="nil"/>
              <w:left w:val="nil"/>
              <w:bottom w:val="nil"/>
              <w:right w:val="nil"/>
            </w:tcBorders>
            <w:shd w:val="clear" w:color="000000" w:fill="CCCCFF"/>
            <w:noWrap/>
            <w:vAlign w:val="bottom"/>
            <w:hideMark/>
          </w:tcPr>
          <w:p w:rsidR="00673328" w:rsidRPr="00673328" w:rsidRDefault="00673328" w:rsidP="00673328">
            <w:pPr>
              <w:spacing w:after="0" w:line="240" w:lineRule="auto"/>
              <w:rPr>
                <w:rFonts w:ascii="Calibri" w:eastAsia="Times New Roman" w:hAnsi="Calibri" w:cs="Times New Roman"/>
                <w:b/>
                <w:bCs/>
                <w:color w:val="000000"/>
                <w:lang w:eastAsia="es-ES"/>
              </w:rPr>
            </w:pPr>
            <w:proofErr w:type="spellStart"/>
            <w:r w:rsidRPr="00673328">
              <w:rPr>
                <w:rFonts w:ascii="Calibri" w:eastAsia="Times New Roman" w:hAnsi="Calibri" w:cs="Times New Roman"/>
                <w:b/>
                <w:bCs/>
                <w:color w:val="000000"/>
                <w:lang w:eastAsia="es-ES"/>
              </w:rPr>
              <w:t>Other</w:t>
            </w:r>
            <w:proofErr w:type="spellEnd"/>
            <w:r w:rsidRPr="00673328">
              <w:rPr>
                <w:rFonts w:ascii="Calibri" w:eastAsia="Times New Roman" w:hAnsi="Calibri" w:cs="Times New Roman"/>
                <w:b/>
                <w:bCs/>
                <w:color w:val="000000"/>
                <w:lang w:eastAsia="es-ES"/>
              </w:rPr>
              <w:t xml:space="preserve"> </w:t>
            </w:r>
            <w:proofErr w:type="spellStart"/>
            <w:r w:rsidRPr="00673328">
              <w:rPr>
                <w:rFonts w:ascii="Calibri" w:eastAsia="Times New Roman" w:hAnsi="Calibri" w:cs="Times New Roman"/>
                <w:b/>
                <w:bCs/>
                <w:color w:val="000000"/>
                <w:lang w:eastAsia="es-ES"/>
              </w:rPr>
              <w:t>Education</w:t>
            </w:r>
            <w:proofErr w:type="spellEnd"/>
          </w:p>
        </w:tc>
        <w:tc>
          <w:tcPr>
            <w:tcW w:w="1238" w:type="dxa"/>
            <w:tcBorders>
              <w:top w:val="nil"/>
              <w:left w:val="nil"/>
              <w:bottom w:val="nil"/>
              <w:right w:val="nil"/>
            </w:tcBorders>
            <w:shd w:val="clear" w:color="000000" w:fill="CCCCFF"/>
            <w:noWrap/>
            <w:vAlign w:val="bottom"/>
            <w:hideMark/>
          </w:tcPr>
          <w:p w:rsidR="00673328" w:rsidRPr="00673328" w:rsidRDefault="00673328" w:rsidP="00673328">
            <w:pPr>
              <w:spacing w:after="0" w:line="240" w:lineRule="auto"/>
              <w:rPr>
                <w:rFonts w:ascii="Calibri" w:eastAsia="Times New Roman" w:hAnsi="Calibri" w:cs="Times New Roman"/>
                <w:b/>
                <w:bCs/>
                <w:color w:val="000000"/>
                <w:lang w:eastAsia="es-ES"/>
              </w:rPr>
            </w:pPr>
            <w:r w:rsidRPr="00673328">
              <w:rPr>
                <w:rFonts w:ascii="Calibri" w:eastAsia="Times New Roman" w:hAnsi="Calibri" w:cs="Times New Roman"/>
                <w:b/>
                <w:bCs/>
                <w:color w:val="000000"/>
                <w:lang w:eastAsia="es-ES"/>
              </w:rPr>
              <w:t> </w:t>
            </w:r>
          </w:p>
        </w:tc>
        <w:tc>
          <w:tcPr>
            <w:tcW w:w="1238" w:type="dxa"/>
            <w:tcBorders>
              <w:top w:val="nil"/>
              <w:left w:val="nil"/>
              <w:bottom w:val="nil"/>
              <w:right w:val="nil"/>
            </w:tcBorders>
            <w:shd w:val="clear" w:color="000000" w:fill="CCCCFF"/>
            <w:noWrap/>
            <w:vAlign w:val="bottom"/>
            <w:hideMark/>
          </w:tcPr>
          <w:p w:rsidR="00673328" w:rsidRPr="00673328" w:rsidRDefault="00673328" w:rsidP="00673328">
            <w:pPr>
              <w:spacing w:after="0" w:line="240" w:lineRule="auto"/>
              <w:rPr>
                <w:rFonts w:ascii="Calibri" w:eastAsia="Times New Roman" w:hAnsi="Calibri" w:cs="Times New Roman"/>
                <w:b/>
                <w:bCs/>
                <w:color w:val="000000"/>
                <w:lang w:eastAsia="es-ES"/>
              </w:rPr>
            </w:pPr>
            <w:r w:rsidRPr="00673328">
              <w:rPr>
                <w:rFonts w:ascii="Calibri" w:eastAsia="Times New Roman" w:hAnsi="Calibri" w:cs="Times New Roman"/>
                <w:b/>
                <w:bCs/>
                <w:color w:val="000000"/>
                <w:lang w:eastAsia="es-ES"/>
              </w:rPr>
              <w:t> </w:t>
            </w:r>
          </w:p>
        </w:tc>
        <w:tc>
          <w:tcPr>
            <w:tcW w:w="1238" w:type="dxa"/>
            <w:tcBorders>
              <w:top w:val="nil"/>
              <w:left w:val="nil"/>
              <w:bottom w:val="nil"/>
              <w:right w:val="nil"/>
            </w:tcBorders>
            <w:shd w:val="clear" w:color="000000" w:fill="CCCCFF"/>
            <w:noWrap/>
            <w:vAlign w:val="bottom"/>
            <w:hideMark/>
          </w:tcPr>
          <w:p w:rsidR="00673328" w:rsidRPr="00673328" w:rsidRDefault="00673328" w:rsidP="00673328">
            <w:pPr>
              <w:spacing w:after="0" w:line="240" w:lineRule="auto"/>
              <w:rPr>
                <w:rFonts w:ascii="Calibri" w:eastAsia="Times New Roman" w:hAnsi="Calibri" w:cs="Times New Roman"/>
                <w:b/>
                <w:bCs/>
                <w:color w:val="000000"/>
                <w:lang w:eastAsia="es-ES"/>
              </w:rPr>
            </w:pPr>
            <w:r w:rsidRPr="00673328">
              <w:rPr>
                <w:rFonts w:ascii="Calibri" w:eastAsia="Times New Roman" w:hAnsi="Calibri" w:cs="Times New Roman"/>
                <w:b/>
                <w:bCs/>
                <w:color w:val="000000"/>
                <w:lang w:eastAsia="es-ES"/>
              </w:rPr>
              <w:t> </w:t>
            </w:r>
          </w:p>
        </w:tc>
        <w:tc>
          <w:tcPr>
            <w:tcW w:w="1341" w:type="dxa"/>
            <w:tcBorders>
              <w:top w:val="nil"/>
              <w:left w:val="nil"/>
              <w:bottom w:val="nil"/>
              <w:right w:val="nil"/>
            </w:tcBorders>
            <w:shd w:val="clear" w:color="000000" w:fill="CCCCFF"/>
            <w:noWrap/>
            <w:vAlign w:val="bottom"/>
            <w:hideMark/>
          </w:tcPr>
          <w:p w:rsidR="00673328" w:rsidRPr="00673328" w:rsidRDefault="00673328" w:rsidP="00673328">
            <w:pPr>
              <w:spacing w:after="0" w:line="240" w:lineRule="auto"/>
              <w:rPr>
                <w:rFonts w:ascii="Calibri" w:eastAsia="Times New Roman" w:hAnsi="Calibri" w:cs="Times New Roman"/>
                <w:b/>
                <w:bCs/>
                <w:color w:val="000000"/>
                <w:lang w:eastAsia="es-ES"/>
              </w:rPr>
            </w:pPr>
            <w:r w:rsidRPr="00673328">
              <w:rPr>
                <w:rFonts w:ascii="Calibri" w:eastAsia="Times New Roman" w:hAnsi="Calibri" w:cs="Times New Roman"/>
                <w:b/>
                <w:bCs/>
                <w:color w:val="000000"/>
                <w:lang w:eastAsia="es-ES"/>
              </w:rPr>
              <w:t> </w:t>
            </w:r>
          </w:p>
        </w:tc>
      </w:tr>
      <w:tr w:rsidR="00673328" w:rsidRPr="00673328" w:rsidTr="002129F5">
        <w:trPr>
          <w:trHeight w:val="300"/>
          <w:jc w:val="right"/>
        </w:trPr>
        <w:tc>
          <w:tcPr>
            <w:tcW w:w="1007" w:type="dxa"/>
            <w:tcBorders>
              <w:top w:val="nil"/>
              <w:left w:val="nil"/>
              <w:bottom w:val="nil"/>
              <w:right w:val="nil"/>
            </w:tcBorders>
            <w:shd w:val="clear" w:color="auto" w:fill="auto"/>
            <w:noWrap/>
            <w:vAlign w:val="bottom"/>
            <w:hideMark/>
          </w:tcPr>
          <w:p w:rsidR="00673328" w:rsidRPr="00673328" w:rsidRDefault="00673328" w:rsidP="00673328">
            <w:pPr>
              <w:spacing w:after="0" w:line="240" w:lineRule="auto"/>
              <w:rPr>
                <w:rFonts w:ascii="Calibri" w:eastAsia="Times New Roman" w:hAnsi="Calibri" w:cs="Times New Roman"/>
                <w:color w:val="000000"/>
                <w:lang w:eastAsia="es-ES"/>
              </w:rPr>
            </w:pPr>
            <w:r w:rsidRPr="00673328">
              <w:rPr>
                <w:rFonts w:ascii="Calibri" w:eastAsia="Times New Roman" w:hAnsi="Calibri" w:cs="Times New Roman"/>
                <w:color w:val="000000"/>
                <w:lang w:eastAsia="es-ES"/>
              </w:rPr>
              <w:t>TOTAL</w:t>
            </w:r>
          </w:p>
        </w:tc>
        <w:tc>
          <w:tcPr>
            <w:tcW w:w="1238" w:type="dxa"/>
            <w:tcBorders>
              <w:top w:val="nil"/>
              <w:left w:val="nil"/>
              <w:bottom w:val="nil"/>
              <w:right w:val="nil"/>
            </w:tcBorders>
            <w:shd w:val="clear" w:color="auto" w:fill="auto"/>
            <w:noWrap/>
            <w:vAlign w:val="bottom"/>
            <w:hideMark/>
          </w:tcPr>
          <w:p w:rsidR="00673328" w:rsidRPr="00673328" w:rsidRDefault="00673328" w:rsidP="00673328">
            <w:pPr>
              <w:spacing w:after="0" w:line="240" w:lineRule="auto"/>
              <w:rPr>
                <w:rFonts w:ascii="Calibri" w:eastAsia="Times New Roman" w:hAnsi="Calibri" w:cs="Times New Roman"/>
                <w:color w:val="000000"/>
                <w:lang w:eastAsia="es-ES"/>
              </w:rPr>
            </w:pPr>
          </w:p>
        </w:tc>
        <w:tc>
          <w:tcPr>
            <w:tcW w:w="1238" w:type="dxa"/>
            <w:tcBorders>
              <w:top w:val="nil"/>
              <w:left w:val="nil"/>
              <w:bottom w:val="nil"/>
              <w:right w:val="nil"/>
            </w:tcBorders>
            <w:shd w:val="clear" w:color="auto" w:fill="auto"/>
            <w:noWrap/>
            <w:vAlign w:val="bottom"/>
            <w:hideMark/>
          </w:tcPr>
          <w:p w:rsidR="00673328" w:rsidRPr="00673328" w:rsidRDefault="00673328" w:rsidP="00673328">
            <w:pPr>
              <w:spacing w:after="0" w:line="240" w:lineRule="auto"/>
              <w:jc w:val="right"/>
              <w:rPr>
                <w:rFonts w:ascii="Calibri" w:eastAsia="Times New Roman" w:hAnsi="Calibri" w:cs="Times New Roman"/>
                <w:color w:val="000000"/>
                <w:lang w:eastAsia="es-ES"/>
              </w:rPr>
            </w:pPr>
            <w:r w:rsidRPr="00673328">
              <w:rPr>
                <w:rFonts w:ascii="Calibri" w:eastAsia="Times New Roman" w:hAnsi="Calibri" w:cs="Times New Roman"/>
                <w:color w:val="000000"/>
                <w:lang w:eastAsia="es-ES"/>
              </w:rPr>
              <w:t>17.65%</w:t>
            </w:r>
          </w:p>
        </w:tc>
        <w:tc>
          <w:tcPr>
            <w:tcW w:w="1238" w:type="dxa"/>
            <w:tcBorders>
              <w:top w:val="nil"/>
              <w:left w:val="nil"/>
              <w:bottom w:val="nil"/>
              <w:right w:val="nil"/>
            </w:tcBorders>
            <w:shd w:val="clear" w:color="auto" w:fill="auto"/>
            <w:noWrap/>
            <w:vAlign w:val="bottom"/>
            <w:hideMark/>
          </w:tcPr>
          <w:p w:rsidR="00673328" w:rsidRPr="00673328" w:rsidRDefault="00673328" w:rsidP="00673328">
            <w:pPr>
              <w:spacing w:after="0" w:line="240" w:lineRule="auto"/>
              <w:jc w:val="right"/>
              <w:rPr>
                <w:rFonts w:ascii="Calibri" w:eastAsia="Times New Roman" w:hAnsi="Calibri" w:cs="Times New Roman"/>
                <w:color w:val="000000"/>
                <w:lang w:eastAsia="es-ES"/>
              </w:rPr>
            </w:pPr>
            <w:r w:rsidRPr="00673328">
              <w:rPr>
                <w:rFonts w:ascii="Calibri" w:eastAsia="Times New Roman" w:hAnsi="Calibri" w:cs="Times New Roman"/>
                <w:color w:val="000000"/>
                <w:lang w:eastAsia="es-ES"/>
              </w:rPr>
              <w:t>2.41%</w:t>
            </w:r>
          </w:p>
        </w:tc>
        <w:tc>
          <w:tcPr>
            <w:tcW w:w="1238" w:type="dxa"/>
            <w:tcBorders>
              <w:top w:val="nil"/>
              <w:left w:val="nil"/>
              <w:bottom w:val="nil"/>
              <w:right w:val="nil"/>
            </w:tcBorders>
            <w:shd w:val="clear" w:color="auto" w:fill="auto"/>
            <w:noWrap/>
            <w:vAlign w:val="bottom"/>
            <w:hideMark/>
          </w:tcPr>
          <w:p w:rsidR="00673328" w:rsidRPr="00673328" w:rsidRDefault="00673328" w:rsidP="00673328">
            <w:pPr>
              <w:spacing w:after="0" w:line="240" w:lineRule="auto"/>
              <w:jc w:val="right"/>
              <w:rPr>
                <w:rFonts w:ascii="Calibri" w:eastAsia="Times New Roman" w:hAnsi="Calibri" w:cs="Times New Roman"/>
                <w:color w:val="000000"/>
                <w:lang w:eastAsia="es-ES"/>
              </w:rPr>
            </w:pPr>
            <w:r w:rsidRPr="00673328">
              <w:rPr>
                <w:rFonts w:ascii="Calibri" w:eastAsia="Times New Roman" w:hAnsi="Calibri" w:cs="Times New Roman"/>
                <w:color w:val="000000"/>
                <w:lang w:eastAsia="es-ES"/>
              </w:rPr>
              <w:t>4.27%</w:t>
            </w:r>
          </w:p>
        </w:tc>
        <w:tc>
          <w:tcPr>
            <w:tcW w:w="1341" w:type="dxa"/>
            <w:tcBorders>
              <w:top w:val="nil"/>
              <w:left w:val="nil"/>
              <w:bottom w:val="nil"/>
              <w:right w:val="nil"/>
            </w:tcBorders>
            <w:shd w:val="clear" w:color="auto" w:fill="auto"/>
            <w:noWrap/>
            <w:vAlign w:val="bottom"/>
            <w:hideMark/>
          </w:tcPr>
          <w:p w:rsidR="00673328" w:rsidRPr="00673328" w:rsidRDefault="00673328" w:rsidP="00673328">
            <w:pPr>
              <w:spacing w:after="0" w:line="240" w:lineRule="auto"/>
              <w:jc w:val="right"/>
              <w:rPr>
                <w:rFonts w:ascii="Calibri" w:eastAsia="Times New Roman" w:hAnsi="Calibri" w:cs="Times New Roman"/>
                <w:color w:val="000000"/>
                <w:lang w:eastAsia="es-ES"/>
              </w:rPr>
            </w:pPr>
            <w:r w:rsidRPr="00673328">
              <w:rPr>
                <w:rFonts w:ascii="Calibri" w:eastAsia="Times New Roman" w:hAnsi="Calibri" w:cs="Times New Roman"/>
                <w:color w:val="000000"/>
                <w:lang w:eastAsia="es-ES"/>
              </w:rPr>
              <w:t>8.10%</w:t>
            </w:r>
          </w:p>
        </w:tc>
      </w:tr>
      <w:tr w:rsidR="00673328" w:rsidRPr="00673328" w:rsidTr="002129F5">
        <w:trPr>
          <w:trHeight w:val="300"/>
          <w:jc w:val="right"/>
        </w:trPr>
        <w:tc>
          <w:tcPr>
            <w:tcW w:w="1007" w:type="dxa"/>
            <w:tcBorders>
              <w:top w:val="nil"/>
              <w:left w:val="nil"/>
              <w:bottom w:val="nil"/>
              <w:right w:val="nil"/>
            </w:tcBorders>
            <w:shd w:val="clear" w:color="auto" w:fill="auto"/>
            <w:noWrap/>
            <w:vAlign w:val="bottom"/>
            <w:hideMark/>
          </w:tcPr>
          <w:p w:rsidR="00673328" w:rsidRPr="00673328" w:rsidRDefault="00673328" w:rsidP="00673328">
            <w:pPr>
              <w:spacing w:after="0" w:line="240" w:lineRule="auto"/>
              <w:rPr>
                <w:rFonts w:ascii="Calibri" w:eastAsia="Times New Roman" w:hAnsi="Calibri" w:cs="Times New Roman"/>
                <w:color w:val="000000"/>
                <w:lang w:eastAsia="es-ES"/>
              </w:rPr>
            </w:pPr>
            <w:r w:rsidRPr="00673328">
              <w:rPr>
                <w:rFonts w:ascii="Calibri" w:eastAsia="Times New Roman" w:hAnsi="Calibri" w:cs="Times New Roman"/>
                <w:color w:val="000000"/>
                <w:lang w:eastAsia="es-ES"/>
              </w:rPr>
              <w:t xml:space="preserve">   </w:t>
            </w:r>
            <w:proofErr w:type="spellStart"/>
            <w:r w:rsidRPr="00673328">
              <w:rPr>
                <w:rFonts w:ascii="Calibri" w:eastAsia="Times New Roman" w:hAnsi="Calibri" w:cs="Times New Roman"/>
                <w:color w:val="000000"/>
                <w:lang w:eastAsia="es-ES"/>
              </w:rPr>
              <w:t>Wages</w:t>
            </w:r>
            <w:proofErr w:type="spellEnd"/>
          </w:p>
        </w:tc>
        <w:tc>
          <w:tcPr>
            <w:tcW w:w="1238" w:type="dxa"/>
            <w:tcBorders>
              <w:top w:val="nil"/>
              <w:left w:val="nil"/>
              <w:bottom w:val="nil"/>
              <w:right w:val="nil"/>
            </w:tcBorders>
            <w:shd w:val="clear" w:color="auto" w:fill="auto"/>
            <w:noWrap/>
            <w:vAlign w:val="bottom"/>
            <w:hideMark/>
          </w:tcPr>
          <w:p w:rsidR="00673328" w:rsidRPr="00673328" w:rsidRDefault="00673328" w:rsidP="00673328">
            <w:pPr>
              <w:spacing w:after="0" w:line="240" w:lineRule="auto"/>
              <w:rPr>
                <w:rFonts w:ascii="Calibri" w:eastAsia="Times New Roman" w:hAnsi="Calibri" w:cs="Times New Roman"/>
                <w:color w:val="000000"/>
                <w:lang w:eastAsia="es-ES"/>
              </w:rPr>
            </w:pPr>
          </w:p>
        </w:tc>
        <w:tc>
          <w:tcPr>
            <w:tcW w:w="1238" w:type="dxa"/>
            <w:tcBorders>
              <w:top w:val="nil"/>
              <w:left w:val="nil"/>
              <w:bottom w:val="nil"/>
              <w:right w:val="nil"/>
            </w:tcBorders>
            <w:shd w:val="clear" w:color="auto" w:fill="auto"/>
            <w:noWrap/>
            <w:vAlign w:val="bottom"/>
            <w:hideMark/>
          </w:tcPr>
          <w:p w:rsidR="00673328" w:rsidRPr="00673328" w:rsidRDefault="00673328" w:rsidP="00673328">
            <w:pPr>
              <w:spacing w:after="0" w:line="240" w:lineRule="auto"/>
              <w:jc w:val="right"/>
              <w:rPr>
                <w:rFonts w:ascii="Calibri" w:eastAsia="Times New Roman" w:hAnsi="Calibri" w:cs="Times New Roman"/>
                <w:color w:val="000000"/>
                <w:lang w:eastAsia="es-ES"/>
              </w:rPr>
            </w:pPr>
            <w:r w:rsidRPr="00673328">
              <w:rPr>
                <w:rFonts w:ascii="Calibri" w:eastAsia="Times New Roman" w:hAnsi="Calibri" w:cs="Times New Roman"/>
                <w:color w:val="000000"/>
                <w:lang w:eastAsia="es-ES"/>
              </w:rPr>
              <w:t>-1.06%</w:t>
            </w:r>
          </w:p>
        </w:tc>
        <w:tc>
          <w:tcPr>
            <w:tcW w:w="1238" w:type="dxa"/>
            <w:tcBorders>
              <w:top w:val="nil"/>
              <w:left w:val="nil"/>
              <w:bottom w:val="nil"/>
              <w:right w:val="nil"/>
            </w:tcBorders>
            <w:shd w:val="clear" w:color="auto" w:fill="auto"/>
            <w:noWrap/>
            <w:vAlign w:val="bottom"/>
            <w:hideMark/>
          </w:tcPr>
          <w:p w:rsidR="00673328" w:rsidRPr="00673328" w:rsidRDefault="00673328" w:rsidP="00673328">
            <w:pPr>
              <w:spacing w:after="0" w:line="240" w:lineRule="auto"/>
              <w:jc w:val="right"/>
              <w:rPr>
                <w:rFonts w:ascii="Calibri" w:eastAsia="Times New Roman" w:hAnsi="Calibri" w:cs="Times New Roman"/>
                <w:color w:val="000000"/>
                <w:lang w:eastAsia="es-ES"/>
              </w:rPr>
            </w:pPr>
            <w:r w:rsidRPr="00673328">
              <w:rPr>
                <w:rFonts w:ascii="Calibri" w:eastAsia="Times New Roman" w:hAnsi="Calibri" w:cs="Times New Roman"/>
                <w:color w:val="000000"/>
                <w:lang w:eastAsia="es-ES"/>
              </w:rPr>
              <w:t>-3.53%</w:t>
            </w:r>
          </w:p>
        </w:tc>
        <w:tc>
          <w:tcPr>
            <w:tcW w:w="1238" w:type="dxa"/>
            <w:tcBorders>
              <w:top w:val="nil"/>
              <w:left w:val="nil"/>
              <w:bottom w:val="nil"/>
              <w:right w:val="nil"/>
            </w:tcBorders>
            <w:shd w:val="clear" w:color="auto" w:fill="auto"/>
            <w:noWrap/>
            <w:vAlign w:val="bottom"/>
            <w:hideMark/>
          </w:tcPr>
          <w:p w:rsidR="00673328" w:rsidRPr="00673328" w:rsidRDefault="00673328" w:rsidP="00673328">
            <w:pPr>
              <w:spacing w:after="0" w:line="240" w:lineRule="auto"/>
              <w:jc w:val="right"/>
              <w:rPr>
                <w:rFonts w:ascii="Calibri" w:eastAsia="Times New Roman" w:hAnsi="Calibri" w:cs="Times New Roman"/>
                <w:color w:val="000000"/>
                <w:lang w:eastAsia="es-ES"/>
              </w:rPr>
            </w:pPr>
            <w:r w:rsidRPr="00673328">
              <w:rPr>
                <w:rFonts w:ascii="Calibri" w:eastAsia="Times New Roman" w:hAnsi="Calibri" w:cs="Times New Roman"/>
                <w:color w:val="000000"/>
                <w:lang w:eastAsia="es-ES"/>
              </w:rPr>
              <w:t>-3.90%</w:t>
            </w:r>
          </w:p>
        </w:tc>
        <w:tc>
          <w:tcPr>
            <w:tcW w:w="1341" w:type="dxa"/>
            <w:tcBorders>
              <w:top w:val="nil"/>
              <w:left w:val="nil"/>
              <w:bottom w:val="nil"/>
              <w:right w:val="nil"/>
            </w:tcBorders>
            <w:shd w:val="clear" w:color="auto" w:fill="auto"/>
            <w:noWrap/>
            <w:vAlign w:val="bottom"/>
            <w:hideMark/>
          </w:tcPr>
          <w:p w:rsidR="00673328" w:rsidRPr="00673328" w:rsidRDefault="00673328" w:rsidP="00673328">
            <w:pPr>
              <w:spacing w:after="0" w:line="240" w:lineRule="auto"/>
              <w:jc w:val="right"/>
              <w:rPr>
                <w:rFonts w:ascii="Calibri" w:eastAsia="Times New Roman" w:hAnsi="Calibri" w:cs="Times New Roman"/>
                <w:color w:val="000000"/>
                <w:lang w:eastAsia="es-ES"/>
              </w:rPr>
            </w:pPr>
            <w:r w:rsidRPr="00673328">
              <w:rPr>
                <w:rFonts w:ascii="Calibri" w:eastAsia="Times New Roman" w:hAnsi="Calibri" w:cs="Times New Roman"/>
                <w:color w:val="000000"/>
                <w:lang w:eastAsia="es-ES"/>
              </w:rPr>
              <w:t>-3.36%</w:t>
            </w:r>
          </w:p>
        </w:tc>
      </w:tr>
      <w:tr w:rsidR="00673328" w:rsidRPr="00673328" w:rsidTr="002129F5">
        <w:trPr>
          <w:trHeight w:val="300"/>
          <w:jc w:val="right"/>
        </w:trPr>
        <w:tc>
          <w:tcPr>
            <w:tcW w:w="2245" w:type="dxa"/>
            <w:gridSpan w:val="2"/>
            <w:tcBorders>
              <w:top w:val="nil"/>
              <w:left w:val="nil"/>
              <w:bottom w:val="nil"/>
              <w:right w:val="nil"/>
            </w:tcBorders>
            <w:shd w:val="clear" w:color="auto" w:fill="auto"/>
            <w:noWrap/>
            <w:vAlign w:val="bottom"/>
            <w:hideMark/>
          </w:tcPr>
          <w:p w:rsidR="00673328" w:rsidRPr="00673328" w:rsidRDefault="00673328" w:rsidP="00673328">
            <w:pPr>
              <w:spacing w:after="0" w:line="240" w:lineRule="auto"/>
              <w:rPr>
                <w:rFonts w:ascii="Calibri" w:eastAsia="Times New Roman" w:hAnsi="Calibri" w:cs="Times New Roman"/>
                <w:color w:val="000000"/>
                <w:lang w:eastAsia="es-ES"/>
              </w:rPr>
            </w:pPr>
            <w:r w:rsidRPr="00673328">
              <w:rPr>
                <w:rFonts w:ascii="Calibri" w:eastAsia="Times New Roman" w:hAnsi="Calibri" w:cs="Times New Roman"/>
                <w:color w:val="000000"/>
                <w:lang w:eastAsia="es-ES"/>
              </w:rPr>
              <w:t xml:space="preserve">   Non-</w:t>
            </w:r>
            <w:proofErr w:type="spellStart"/>
            <w:r w:rsidRPr="00673328">
              <w:rPr>
                <w:rFonts w:ascii="Calibri" w:eastAsia="Times New Roman" w:hAnsi="Calibri" w:cs="Times New Roman"/>
                <w:color w:val="000000"/>
                <w:lang w:eastAsia="es-ES"/>
              </w:rPr>
              <w:t>Wages</w:t>
            </w:r>
            <w:proofErr w:type="spellEnd"/>
          </w:p>
        </w:tc>
        <w:tc>
          <w:tcPr>
            <w:tcW w:w="1238" w:type="dxa"/>
            <w:tcBorders>
              <w:top w:val="nil"/>
              <w:left w:val="nil"/>
              <w:bottom w:val="nil"/>
              <w:right w:val="nil"/>
            </w:tcBorders>
            <w:shd w:val="clear" w:color="auto" w:fill="auto"/>
            <w:noWrap/>
            <w:vAlign w:val="bottom"/>
            <w:hideMark/>
          </w:tcPr>
          <w:p w:rsidR="00673328" w:rsidRPr="00673328" w:rsidRDefault="00673328" w:rsidP="00673328">
            <w:pPr>
              <w:spacing w:after="0" w:line="240" w:lineRule="auto"/>
              <w:jc w:val="right"/>
              <w:rPr>
                <w:rFonts w:ascii="Calibri" w:eastAsia="Times New Roman" w:hAnsi="Calibri" w:cs="Times New Roman"/>
                <w:color w:val="000000"/>
                <w:lang w:eastAsia="es-ES"/>
              </w:rPr>
            </w:pPr>
            <w:r w:rsidRPr="00673328">
              <w:rPr>
                <w:rFonts w:ascii="Calibri" w:eastAsia="Times New Roman" w:hAnsi="Calibri" w:cs="Times New Roman"/>
                <w:color w:val="000000"/>
                <w:lang w:eastAsia="es-ES"/>
              </w:rPr>
              <w:t>107.19%</w:t>
            </w:r>
          </w:p>
        </w:tc>
        <w:tc>
          <w:tcPr>
            <w:tcW w:w="1238" w:type="dxa"/>
            <w:tcBorders>
              <w:top w:val="nil"/>
              <w:left w:val="nil"/>
              <w:bottom w:val="nil"/>
              <w:right w:val="nil"/>
            </w:tcBorders>
            <w:shd w:val="clear" w:color="auto" w:fill="auto"/>
            <w:noWrap/>
            <w:vAlign w:val="bottom"/>
            <w:hideMark/>
          </w:tcPr>
          <w:p w:rsidR="00673328" w:rsidRPr="00673328" w:rsidRDefault="00673328" w:rsidP="00673328">
            <w:pPr>
              <w:spacing w:after="0" w:line="240" w:lineRule="auto"/>
              <w:jc w:val="right"/>
              <w:rPr>
                <w:rFonts w:ascii="Calibri" w:eastAsia="Times New Roman" w:hAnsi="Calibri" w:cs="Times New Roman"/>
                <w:color w:val="000000"/>
                <w:lang w:eastAsia="es-ES"/>
              </w:rPr>
            </w:pPr>
            <w:r w:rsidRPr="00673328">
              <w:rPr>
                <w:rFonts w:ascii="Calibri" w:eastAsia="Times New Roman" w:hAnsi="Calibri" w:cs="Times New Roman"/>
                <w:color w:val="000000"/>
                <w:lang w:eastAsia="es-ES"/>
              </w:rPr>
              <w:t>25.56%</w:t>
            </w:r>
          </w:p>
        </w:tc>
        <w:tc>
          <w:tcPr>
            <w:tcW w:w="1238" w:type="dxa"/>
            <w:tcBorders>
              <w:top w:val="nil"/>
              <w:left w:val="nil"/>
              <w:bottom w:val="nil"/>
              <w:right w:val="nil"/>
            </w:tcBorders>
            <w:shd w:val="clear" w:color="auto" w:fill="auto"/>
            <w:noWrap/>
            <w:vAlign w:val="bottom"/>
            <w:hideMark/>
          </w:tcPr>
          <w:p w:rsidR="00673328" w:rsidRPr="00673328" w:rsidRDefault="00673328" w:rsidP="00673328">
            <w:pPr>
              <w:spacing w:after="0" w:line="240" w:lineRule="auto"/>
              <w:jc w:val="right"/>
              <w:rPr>
                <w:rFonts w:ascii="Calibri" w:eastAsia="Times New Roman" w:hAnsi="Calibri" w:cs="Times New Roman"/>
                <w:color w:val="000000"/>
                <w:lang w:eastAsia="es-ES"/>
              </w:rPr>
            </w:pPr>
            <w:r w:rsidRPr="00673328">
              <w:rPr>
                <w:rFonts w:ascii="Calibri" w:eastAsia="Times New Roman" w:hAnsi="Calibri" w:cs="Times New Roman"/>
                <w:color w:val="000000"/>
                <w:lang w:eastAsia="es-ES"/>
              </w:rPr>
              <w:t>32.59%</w:t>
            </w:r>
          </w:p>
        </w:tc>
        <w:tc>
          <w:tcPr>
            <w:tcW w:w="1341" w:type="dxa"/>
            <w:tcBorders>
              <w:top w:val="nil"/>
              <w:left w:val="nil"/>
              <w:bottom w:val="nil"/>
              <w:right w:val="nil"/>
            </w:tcBorders>
            <w:shd w:val="clear" w:color="auto" w:fill="auto"/>
            <w:noWrap/>
            <w:vAlign w:val="bottom"/>
            <w:hideMark/>
          </w:tcPr>
          <w:p w:rsidR="00673328" w:rsidRPr="00673328" w:rsidRDefault="00673328" w:rsidP="00673328">
            <w:pPr>
              <w:spacing w:after="0" w:line="240" w:lineRule="auto"/>
              <w:jc w:val="right"/>
              <w:rPr>
                <w:rFonts w:ascii="Calibri" w:eastAsia="Times New Roman" w:hAnsi="Calibri" w:cs="Times New Roman"/>
                <w:color w:val="000000"/>
                <w:lang w:eastAsia="es-ES"/>
              </w:rPr>
            </w:pPr>
            <w:r w:rsidRPr="00673328">
              <w:rPr>
                <w:rFonts w:ascii="Calibri" w:eastAsia="Times New Roman" w:hAnsi="Calibri" w:cs="Times New Roman"/>
                <w:color w:val="000000"/>
                <w:lang w:eastAsia="es-ES"/>
              </w:rPr>
              <w:t>71.60%</w:t>
            </w:r>
          </w:p>
        </w:tc>
      </w:tr>
      <w:tr w:rsidR="00673328" w:rsidRPr="00673328" w:rsidTr="002129F5">
        <w:trPr>
          <w:trHeight w:val="300"/>
          <w:jc w:val="right"/>
        </w:trPr>
        <w:tc>
          <w:tcPr>
            <w:tcW w:w="1007" w:type="dxa"/>
            <w:tcBorders>
              <w:top w:val="nil"/>
              <w:left w:val="nil"/>
              <w:bottom w:val="nil"/>
              <w:right w:val="nil"/>
            </w:tcBorders>
            <w:shd w:val="clear" w:color="auto" w:fill="auto"/>
            <w:noWrap/>
            <w:vAlign w:val="bottom"/>
            <w:hideMark/>
          </w:tcPr>
          <w:p w:rsidR="00673328" w:rsidRPr="00673328" w:rsidRDefault="00673328" w:rsidP="00673328">
            <w:pPr>
              <w:spacing w:after="0" w:line="240" w:lineRule="auto"/>
              <w:rPr>
                <w:rFonts w:ascii="Calibri" w:eastAsia="Times New Roman" w:hAnsi="Calibri" w:cs="Times New Roman"/>
                <w:color w:val="000000"/>
                <w:lang w:eastAsia="es-ES"/>
              </w:rPr>
            </w:pPr>
            <w:r w:rsidRPr="00673328">
              <w:rPr>
                <w:rFonts w:ascii="Calibri" w:eastAsia="Times New Roman" w:hAnsi="Calibri" w:cs="Times New Roman"/>
                <w:color w:val="000000"/>
                <w:lang w:eastAsia="es-ES"/>
              </w:rPr>
              <w:t xml:space="preserve">   Capital</w:t>
            </w:r>
          </w:p>
        </w:tc>
        <w:tc>
          <w:tcPr>
            <w:tcW w:w="1238" w:type="dxa"/>
            <w:tcBorders>
              <w:top w:val="nil"/>
              <w:left w:val="nil"/>
              <w:bottom w:val="nil"/>
              <w:right w:val="nil"/>
            </w:tcBorders>
            <w:shd w:val="clear" w:color="auto" w:fill="auto"/>
            <w:noWrap/>
            <w:vAlign w:val="bottom"/>
            <w:hideMark/>
          </w:tcPr>
          <w:p w:rsidR="00673328" w:rsidRPr="00673328" w:rsidRDefault="00673328" w:rsidP="00673328">
            <w:pPr>
              <w:spacing w:after="0" w:line="240" w:lineRule="auto"/>
              <w:rPr>
                <w:rFonts w:ascii="Calibri" w:eastAsia="Times New Roman" w:hAnsi="Calibri" w:cs="Times New Roman"/>
                <w:color w:val="000000"/>
                <w:lang w:eastAsia="es-ES"/>
              </w:rPr>
            </w:pPr>
          </w:p>
        </w:tc>
        <w:tc>
          <w:tcPr>
            <w:tcW w:w="1238" w:type="dxa"/>
            <w:tcBorders>
              <w:top w:val="nil"/>
              <w:left w:val="nil"/>
              <w:bottom w:val="nil"/>
              <w:right w:val="nil"/>
            </w:tcBorders>
            <w:shd w:val="clear" w:color="auto" w:fill="auto"/>
            <w:noWrap/>
            <w:vAlign w:val="bottom"/>
            <w:hideMark/>
          </w:tcPr>
          <w:p w:rsidR="00673328" w:rsidRPr="00673328" w:rsidRDefault="00673328" w:rsidP="00673328">
            <w:pPr>
              <w:spacing w:after="0" w:line="240" w:lineRule="auto"/>
              <w:jc w:val="right"/>
              <w:rPr>
                <w:rFonts w:ascii="Calibri" w:eastAsia="Times New Roman" w:hAnsi="Calibri" w:cs="Times New Roman"/>
                <w:color w:val="000000"/>
                <w:lang w:eastAsia="es-ES"/>
              </w:rPr>
            </w:pPr>
            <w:r w:rsidRPr="00673328">
              <w:rPr>
                <w:rFonts w:ascii="Calibri" w:eastAsia="Times New Roman" w:hAnsi="Calibri" w:cs="Times New Roman"/>
                <w:color w:val="000000"/>
                <w:lang w:eastAsia="es-ES"/>
              </w:rPr>
              <w:t>105.69%</w:t>
            </w:r>
          </w:p>
        </w:tc>
        <w:tc>
          <w:tcPr>
            <w:tcW w:w="1238" w:type="dxa"/>
            <w:tcBorders>
              <w:top w:val="nil"/>
              <w:left w:val="nil"/>
              <w:bottom w:val="nil"/>
              <w:right w:val="nil"/>
            </w:tcBorders>
            <w:shd w:val="clear" w:color="auto" w:fill="auto"/>
            <w:noWrap/>
            <w:vAlign w:val="bottom"/>
            <w:hideMark/>
          </w:tcPr>
          <w:p w:rsidR="00673328" w:rsidRPr="00673328" w:rsidRDefault="00673328" w:rsidP="00673328">
            <w:pPr>
              <w:spacing w:after="0" w:line="240" w:lineRule="auto"/>
              <w:jc w:val="right"/>
              <w:rPr>
                <w:rFonts w:ascii="Calibri" w:eastAsia="Times New Roman" w:hAnsi="Calibri" w:cs="Times New Roman"/>
                <w:color w:val="000000"/>
                <w:lang w:eastAsia="es-ES"/>
              </w:rPr>
            </w:pPr>
            <w:r w:rsidRPr="00673328">
              <w:rPr>
                <w:rFonts w:ascii="Calibri" w:eastAsia="Times New Roman" w:hAnsi="Calibri" w:cs="Times New Roman"/>
                <w:color w:val="000000"/>
                <w:lang w:eastAsia="es-ES"/>
              </w:rPr>
              <w:t>49.07%</w:t>
            </w:r>
          </w:p>
        </w:tc>
        <w:tc>
          <w:tcPr>
            <w:tcW w:w="1238" w:type="dxa"/>
            <w:tcBorders>
              <w:top w:val="nil"/>
              <w:left w:val="nil"/>
              <w:bottom w:val="nil"/>
              <w:right w:val="nil"/>
            </w:tcBorders>
            <w:shd w:val="clear" w:color="auto" w:fill="auto"/>
            <w:noWrap/>
            <w:vAlign w:val="bottom"/>
            <w:hideMark/>
          </w:tcPr>
          <w:p w:rsidR="00673328" w:rsidRPr="00673328" w:rsidRDefault="00673328" w:rsidP="00673328">
            <w:pPr>
              <w:spacing w:after="0" w:line="240" w:lineRule="auto"/>
              <w:jc w:val="right"/>
              <w:rPr>
                <w:rFonts w:ascii="Calibri" w:eastAsia="Times New Roman" w:hAnsi="Calibri" w:cs="Times New Roman"/>
                <w:color w:val="000000"/>
                <w:lang w:eastAsia="es-ES"/>
              </w:rPr>
            </w:pPr>
            <w:r w:rsidRPr="00673328">
              <w:rPr>
                <w:rFonts w:ascii="Calibri" w:eastAsia="Times New Roman" w:hAnsi="Calibri" w:cs="Times New Roman"/>
                <w:color w:val="000000"/>
                <w:lang w:eastAsia="es-ES"/>
              </w:rPr>
              <w:t>80.70%</w:t>
            </w:r>
          </w:p>
        </w:tc>
        <w:tc>
          <w:tcPr>
            <w:tcW w:w="1341" w:type="dxa"/>
            <w:tcBorders>
              <w:top w:val="nil"/>
              <w:left w:val="nil"/>
              <w:bottom w:val="nil"/>
              <w:right w:val="nil"/>
            </w:tcBorders>
            <w:shd w:val="clear" w:color="auto" w:fill="auto"/>
            <w:noWrap/>
            <w:vAlign w:val="bottom"/>
            <w:hideMark/>
          </w:tcPr>
          <w:p w:rsidR="00673328" w:rsidRPr="00673328" w:rsidRDefault="00673328" w:rsidP="00673328">
            <w:pPr>
              <w:spacing w:after="0" w:line="240" w:lineRule="auto"/>
              <w:jc w:val="right"/>
              <w:rPr>
                <w:rFonts w:ascii="Calibri" w:eastAsia="Times New Roman" w:hAnsi="Calibri" w:cs="Times New Roman"/>
                <w:color w:val="000000"/>
                <w:lang w:eastAsia="es-ES"/>
              </w:rPr>
            </w:pPr>
            <w:r w:rsidRPr="00673328">
              <w:rPr>
                <w:rFonts w:ascii="Calibri" w:eastAsia="Times New Roman" w:hAnsi="Calibri" w:cs="Times New Roman"/>
                <w:color w:val="000000"/>
                <w:lang w:eastAsia="es-ES"/>
              </w:rPr>
              <w:t>31.58%</w:t>
            </w:r>
          </w:p>
        </w:tc>
      </w:tr>
      <w:tr w:rsidR="00673328" w:rsidRPr="00673328" w:rsidTr="002129F5">
        <w:trPr>
          <w:trHeight w:val="315"/>
          <w:jc w:val="right"/>
        </w:trPr>
        <w:tc>
          <w:tcPr>
            <w:tcW w:w="4721" w:type="dxa"/>
            <w:gridSpan w:val="4"/>
            <w:tcBorders>
              <w:top w:val="nil"/>
              <w:left w:val="nil"/>
              <w:bottom w:val="nil"/>
              <w:right w:val="nil"/>
            </w:tcBorders>
            <w:shd w:val="clear" w:color="000000" w:fill="CCCCFF"/>
            <w:noWrap/>
            <w:vAlign w:val="bottom"/>
            <w:hideMark/>
          </w:tcPr>
          <w:p w:rsidR="00673328" w:rsidRPr="00673328" w:rsidRDefault="00673328" w:rsidP="00673328">
            <w:pPr>
              <w:spacing w:after="0" w:line="240" w:lineRule="auto"/>
              <w:rPr>
                <w:rFonts w:ascii="Calibri" w:eastAsia="Times New Roman" w:hAnsi="Calibri" w:cs="Times New Roman"/>
                <w:b/>
                <w:bCs/>
                <w:color w:val="000000"/>
                <w:lang w:eastAsia="es-ES"/>
              </w:rPr>
            </w:pPr>
            <w:r w:rsidRPr="00673328">
              <w:rPr>
                <w:rFonts w:ascii="Calibri" w:eastAsia="Times New Roman" w:hAnsi="Calibri" w:cs="Times New Roman"/>
                <w:b/>
                <w:bCs/>
                <w:color w:val="000000"/>
                <w:lang w:eastAsia="es-ES"/>
              </w:rPr>
              <w:t xml:space="preserve">Ministerial and Regional </w:t>
            </w:r>
            <w:proofErr w:type="spellStart"/>
            <w:r w:rsidRPr="00673328">
              <w:rPr>
                <w:rFonts w:ascii="Calibri" w:eastAsia="Times New Roman" w:hAnsi="Calibri" w:cs="Times New Roman"/>
                <w:b/>
                <w:bCs/>
                <w:color w:val="000000"/>
                <w:lang w:eastAsia="es-ES"/>
              </w:rPr>
              <w:t>Administration</w:t>
            </w:r>
            <w:proofErr w:type="spellEnd"/>
          </w:p>
        </w:tc>
        <w:tc>
          <w:tcPr>
            <w:tcW w:w="1238" w:type="dxa"/>
            <w:tcBorders>
              <w:top w:val="nil"/>
              <w:left w:val="nil"/>
              <w:bottom w:val="nil"/>
              <w:right w:val="nil"/>
            </w:tcBorders>
            <w:shd w:val="clear" w:color="000000" w:fill="CCCCFF"/>
            <w:noWrap/>
            <w:vAlign w:val="bottom"/>
            <w:hideMark/>
          </w:tcPr>
          <w:p w:rsidR="00673328" w:rsidRPr="00673328" w:rsidRDefault="00673328" w:rsidP="00673328">
            <w:pPr>
              <w:spacing w:after="0" w:line="240" w:lineRule="auto"/>
              <w:rPr>
                <w:rFonts w:ascii="Calibri" w:eastAsia="Times New Roman" w:hAnsi="Calibri" w:cs="Times New Roman"/>
                <w:b/>
                <w:bCs/>
                <w:color w:val="000000"/>
                <w:lang w:eastAsia="es-ES"/>
              </w:rPr>
            </w:pPr>
            <w:r w:rsidRPr="00673328">
              <w:rPr>
                <w:rFonts w:ascii="Calibri" w:eastAsia="Times New Roman" w:hAnsi="Calibri" w:cs="Times New Roman"/>
                <w:b/>
                <w:bCs/>
                <w:color w:val="000000"/>
                <w:lang w:eastAsia="es-ES"/>
              </w:rPr>
              <w:t> </w:t>
            </w:r>
          </w:p>
        </w:tc>
        <w:tc>
          <w:tcPr>
            <w:tcW w:w="1341" w:type="dxa"/>
            <w:tcBorders>
              <w:top w:val="nil"/>
              <w:left w:val="nil"/>
              <w:bottom w:val="nil"/>
              <w:right w:val="nil"/>
            </w:tcBorders>
            <w:shd w:val="clear" w:color="000000" w:fill="CCCCFF"/>
            <w:noWrap/>
            <w:vAlign w:val="bottom"/>
            <w:hideMark/>
          </w:tcPr>
          <w:p w:rsidR="00673328" w:rsidRPr="00673328" w:rsidRDefault="00673328" w:rsidP="00673328">
            <w:pPr>
              <w:spacing w:after="0" w:line="240" w:lineRule="auto"/>
              <w:rPr>
                <w:rFonts w:ascii="Calibri" w:eastAsia="Times New Roman" w:hAnsi="Calibri" w:cs="Times New Roman"/>
                <w:b/>
                <w:bCs/>
                <w:color w:val="000000"/>
                <w:lang w:eastAsia="es-ES"/>
              </w:rPr>
            </w:pPr>
            <w:r w:rsidRPr="00673328">
              <w:rPr>
                <w:rFonts w:ascii="Calibri" w:eastAsia="Times New Roman" w:hAnsi="Calibri" w:cs="Times New Roman"/>
                <w:b/>
                <w:bCs/>
                <w:color w:val="000000"/>
                <w:lang w:eastAsia="es-ES"/>
              </w:rPr>
              <w:t> </w:t>
            </w:r>
          </w:p>
        </w:tc>
      </w:tr>
      <w:tr w:rsidR="00673328" w:rsidRPr="00673328" w:rsidTr="002129F5">
        <w:trPr>
          <w:trHeight w:val="300"/>
          <w:jc w:val="right"/>
        </w:trPr>
        <w:tc>
          <w:tcPr>
            <w:tcW w:w="1007" w:type="dxa"/>
            <w:tcBorders>
              <w:top w:val="nil"/>
              <w:left w:val="nil"/>
              <w:bottom w:val="nil"/>
              <w:right w:val="nil"/>
            </w:tcBorders>
            <w:shd w:val="clear" w:color="auto" w:fill="auto"/>
            <w:noWrap/>
            <w:vAlign w:val="bottom"/>
            <w:hideMark/>
          </w:tcPr>
          <w:p w:rsidR="00673328" w:rsidRPr="00673328" w:rsidRDefault="00673328" w:rsidP="00673328">
            <w:pPr>
              <w:spacing w:after="0" w:line="240" w:lineRule="auto"/>
              <w:rPr>
                <w:rFonts w:ascii="Calibri" w:eastAsia="Times New Roman" w:hAnsi="Calibri" w:cs="Times New Roman"/>
                <w:color w:val="000000"/>
                <w:lang w:eastAsia="es-ES"/>
              </w:rPr>
            </w:pPr>
            <w:r w:rsidRPr="00673328">
              <w:rPr>
                <w:rFonts w:ascii="Calibri" w:eastAsia="Times New Roman" w:hAnsi="Calibri" w:cs="Times New Roman"/>
                <w:color w:val="000000"/>
                <w:lang w:eastAsia="es-ES"/>
              </w:rPr>
              <w:t>TOTAL</w:t>
            </w:r>
          </w:p>
        </w:tc>
        <w:tc>
          <w:tcPr>
            <w:tcW w:w="1238" w:type="dxa"/>
            <w:tcBorders>
              <w:top w:val="nil"/>
              <w:left w:val="nil"/>
              <w:bottom w:val="nil"/>
              <w:right w:val="nil"/>
            </w:tcBorders>
            <w:shd w:val="clear" w:color="auto" w:fill="auto"/>
            <w:noWrap/>
            <w:vAlign w:val="bottom"/>
            <w:hideMark/>
          </w:tcPr>
          <w:p w:rsidR="00673328" w:rsidRPr="00673328" w:rsidRDefault="00673328" w:rsidP="00673328">
            <w:pPr>
              <w:spacing w:after="0" w:line="240" w:lineRule="auto"/>
              <w:rPr>
                <w:rFonts w:ascii="Calibri" w:eastAsia="Times New Roman" w:hAnsi="Calibri" w:cs="Times New Roman"/>
                <w:color w:val="000000"/>
                <w:lang w:eastAsia="es-ES"/>
              </w:rPr>
            </w:pPr>
          </w:p>
        </w:tc>
        <w:tc>
          <w:tcPr>
            <w:tcW w:w="1238" w:type="dxa"/>
            <w:tcBorders>
              <w:top w:val="nil"/>
              <w:left w:val="nil"/>
              <w:bottom w:val="nil"/>
              <w:right w:val="nil"/>
            </w:tcBorders>
            <w:shd w:val="clear" w:color="auto" w:fill="auto"/>
            <w:noWrap/>
            <w:vAlign w:val="bottom"/>
            <w:hideMark/>
          </w:tcPr>
          <w:p w:rsidR="00673328" w:rsidRPr="00673328" w:rsidRDefault="00673328" w:rsidP="00673328">
            <w:pPr>
              <w:spacing w:after="0" w:line="240" w:lineRule="auto"/>
              <w:jc w:val="right"/>
              <w:rPr>
                <w:rFonts w:ascii="Calibri" w:eastAsia="Times New Roman" w:hAnsi="Calibri" w:cs="Times New Roman"/>
                <w:color w:val="000000"/>
                <w:lang w:eastAsia="es-ES"/>
              </w:rPr>
            </w:pPr>
            <w:r w:rsidRPr="00673328">
              <w:rPr>
                <w:rFonts w:ascii="Calibri" w:eastAsia="Times New Roman" w:hAnsi="Calibri" w:cs="Times New Roman"/>
                <w:color w:val="000000"/>
                <w:lang w:eastAsia="es-ES"/>
              </w:rPr>
              <w:t>2.85%</w:t>
            </w:r>
          </w:p>
        </w:tc>
        <w:tc>
          <w:tcPr>
            <w:tcW w:w="1238" w:type="dxa"/>
            <w:tcBorders>
              <w:top w:val="nil"/>
              <w:left w:val="nil"/>
              <w:bottom w:val="nil"/>
              <w:right w:val="nil"/>
            </w:tcBorders>
            <w:shd w:val="clear" w:color="auto" w:fill="auto"/>
            <w:noWrap/>
            <w:vAlign w:val="bottom"/>
            <w:hideMark/>
          </w:tcPr>
          <w:p w:rsidR="00673328" w:rsidRPr="00673328" w:rsidRDefault="00673328" w:rsidP="00673328">
            <w:pPr>
              <w:spacing w:after="0" w:line="240" w:lineRule="auto"/>
              <w:jc w:val="right"/>
              <w:rPr>
                <w:rFonts w:ascii="Calibri" w:eastAsia="Times New Roman" w:hAnsi="Calibri" w:cs="Times New Roman"/>
                <w:color w:val="000000"/>
                <w:lang w:eastAsia="es-ES"/>
              </w:rPr>
            </w:pPr>
            <w:r w:rsidRPr="00673328">
              <w:rPr>
                <w:rFonts w:ascii="Calibri" w:eastAsia="Times New Roman" w:hAnsi="Calibri" w:cs="Times New Roman"/>
                <w:color w:val="000000"/>
                <w:lang w:eastAsia="es-ES"/>
              </w:rPr>
              <w:t>4.29%</w:t>
            </w:r>
          </w:p>
        </w:tc>
        <w:tc>
          <w:tcPr>
            <w:tcW w:w="1238" w:type="dxa"/>
            <w:tcBorders>
              <w:top w:val="nil"/>
              <w:left w:val="nil"/>
              <w:bottom w:val="nil"/>
              <w:right w:val="nil"/>
            </w:tcBorders>
            <w:shd w:val="clear" w:color="auto" w:fill="auto"/>
            <w:noWrap/>
            <w:vAlign w:val="bottom"/>
            <w:hideMark/>
          </w:tcPr>
          <w:p w:rsidR="00673328" w:rsidRPr="00673328" w:rsidRDefault="00673328" w:rsidP="00673328">
            <w:pPr>
              <w:spacing w:after="0" w:line="240" w:lineRule="auto"/>
              <w:jc w:val="right"/>
              <w:rPr>
                <w:rFonts w:ascii="Calibri" w:eastAsia="Times New Roman" w:hAnsi="Calibri" w:cs="Times New Roman"/>
                <w:color w:val="000000"/>
                <w:lang w:eastAsia="es-ES"/>
              </w:rPr>
            </w:pPr>
            <w:r w:rsidRPr="00673328">
              <w:rPr>
                <w:rFonts w:ascii="Calibri" w:eastAsia="Times New Roman" w:hAnsi="Calibri" w:cs="Times New Roman"/>
                <w:color w:val="000000"/>
                <w:lang w:eastAsia="es-ES"/>
              </w:rPr>
              <w:t>4.01%</w:t>
            </w:r>
          </w:p>
        </w:tc>
        <w:tc>
          <w:tcPr>
            <w:tcW w:w="1341" w:type="dxa"/>
            <w:tcBorders>
              <w:top w:val="nil"/>
              <w:left w:val="nil"/>
              <w:bottom w:val="nil"/>
              <w:right w:val="nil"/>
            </w:tcBorders>
            <w:shd w:val="clear" w:color="auto" w:fill="auto"/>
            <w:noWrap/>
            <w:vAlign w:val="bottom"/>
            <w:hideMark/>
          </w:tcPr>
          <w:p w:rsidR="00673328" w:rsidRPr="00673328" w:rsidRDefault="00673328" w:rsidP="00673328">
            <w:pPr>
              <w:spacing w:after="0" w:line="240" w:lineRule="auto"/>
              <w:jc w:val="right"/>
              <w:rPr>
                <w:rFonts w:ascii="Calibri" w:eastAsia="Times New Roman" w:hAnsi="Calibri" w:cs="Times New Roman"/>
                <w:color w:val="000000"/>
                <w:lang w:eastAsia="es-ES"/>
              </w:rPr>
            </w:pPr>
            <w:r w:rsidRPr="00673328">
              <w:rPr>
                <w:rFonts w:ascii="Calibri" w:eastAsia="Times New Roman" w:hAnsi="Calibri" w:cs="Times New Roman"/>
                <w:color w:val="000000"/>
                <w:lang w:eastAsia="es-ES"/>
              </w:rPr>
              <w:t>4.90%</w:t>
            </w:r>
          </w:p>
        </w:tc>
      </w:tr>
      <w:tr w:rsidR="00673328" w:rsidRPr="00673328" w:rsidTr="002129F5">
        <w:trPr>
          <w:trHeight w:val="300"/>
          <w:jc w:val="right"/>
        </w:trPr>
        <w:tc>
          <w:tcPr>
            <w:tcW w:w="1007" w:type="dxa"/>
            <w:tcBorders>
              <w:top w:val="nil"/>
              <w:left w:val="nil"/>
              <w:bottom w:val="nil"/>
              <w:right w:val="nil"/>
            </w:tcBorders>
            <w:shd w:val="clear" w:color="auto" w:fill="auto"/>
            <w:noWrap/>
            <w:vAlign w:val="bottom"/>
            <w:hideMark/>
          </w:tcPr>
          <w:p w:rsidR="00673328" w:rsidRPr="00673328" w:rsidRDefault="00673328" w:rsidP="00673328">
            <w:pPr>
              <w:spacing w:after="0" w:line="240" w:lineRule="auto"/>
              <w:rPr>
                <w:rFonts w:ascii="Calibri" w:eastAsia="Times New Roman" w:hAnsi="Calibri" w:cs="Times New Roman"/>
                <w:color w:val="000000"/>
                <w:lang w:eastAsia="es-ES"/>
              </w:rPr>
            </w:pPr>
            <w:r w:rsidRPr="00673328">
              <w:rPr>
                <w:rFonts w:ascii="Calibri" w:eastAsia="Times New Roman" w:hAnsi="Calibri" w:cs="Times New Roman"/>
                <w:color w:val="000000"/>
                <w:lang w:eastAsia="es-ES"/>
              </w:rPr>
              <w:t xml:space="preserve">   </w:t>
            </w:r>
            <w:proofErr w:type="spellStart"/>
            <w:r w:rsidRPr="00673328">
              <w:rPr>
                <w:rFonts w:ascii="Calibri" w:eastAsia="Times New Roman" w:hAnsi="Calibri" w:cs="Times New Roman"/>
                <w:color w:val="000000"/>
                <w:lang w:eastAsia="es-ES"/>
              </w:rPr>
              <w:t>Wages</w:t>
            </w:r>
            <w:proofErr w:type="spellEnd"/>
          </w:p>
        </w:tc>
        <w:tc>
          <w:tcPr>
            <w:tcW w:w="1238" w:type="dxa"/>
            <w:tcBorders>
              <w:top w:val="nil"/>
              <w:left w:val="nil"/>
              <w:bottom w:val="nil"/>
              <w:right w:val="nil"/>
            </w:tcBorders>
            <w:shd w:val="clear" w:color="auto" w:fill="auto"/>
            <w:noWrap/>
            <w:vAlign w:val="bottom"/>
            <w:hideMark/>
          </w:tcPr>
          <w:p w:rsidR="00673328" w:rsidRPr="00673328" w:rsidRDefault="00673328" w:rsidP="00673328">
            <w:pPr>
              <w:spacing w:after="0" w:line="240" w:lineRule="auto"/>
              <w:rPr>
                <w:rFonts w:ascii="Calibri" w:eastAsia="Times New Roman" w:hAnsi="Calibri" w:cs="Times New Roman"/>
                <w:color w:val="000000"/>
                <w:lang w:eastAsia="es-ES"/>
              </w:rPr>
            </w:pPr>
          </w:p>
        </w:tc>
        <w:tc>
          <w:tcPr>
            <w:tcW w:w="1238" w:type="dxa"/>
            <w:tcBorders>
              <w:top w:val="nil"/>
              <w:left w:val="nil"/>
              <w:bottom w:val="nil"/>
              <w:right w:val="nil"/>
            </w:tcBorders>
            <w:shd w:val="clear" w:color="auto" w:fill="auto"/>
            <w:noWrap/>
            <w:vAlign w:val="bottom"/>
            <w:hideMark/>
          </w:tcPr>
          <w:p w:rsidR="00673328" w:rsidRPr="00673328" w:rsidRDefault="00673328" w:rsidP="00673328">
            <w:pPr>
              <w:spacing w:after="0" w:line="240" w:lineRule="auto"/>
              <w:jc w:val="right"/>
              <w:rPr>
                <w:rFonts w:ascii="Calibri" w:eastAsia="Times New Roman" w:hAnsi="Calibri" w:cs="Times New Roman"/>
                <w:color w:val="000000"/>
                <w:lang w:eastAsia="es-ES"/>
              </w:rPr>
            </w:pPr>
            <w:r w:rsidRPr="00673328">
              <w:rPr>
                <w:rFonts w:ascii="Calibri" w:eastAsia="Times New Roman" w:hAnsi="Calibri" w:cs="Times New Roman"/>
                <w:color w:val="000000"/>
                <w:lang w:eastAsia="es-ES"/>
              </w:rPr>
              <w:t>4.58%</w:t>
            </w:r>
          </w:p>
        </w:tc>
        <w:tc>
          <w:tcPr>
            <w:tcW w:w="1238" w:type="dxa"/>
            <w:tcBorders>
              <w:top w:val="nil"/>
              <w:left w:val="nil"/>
              <w:bottom w:val="nil"/>
              <w:right w:val="nil"/>
            </w:tcBorders>
            <w:shd w:val="clear" w:color="auto" w:fill="auto"/>
            <w:noWrap/>
            <w:vAlign w:val="bottom"/>
            <w:hideMark/>
          </w:tcPr>
          <w:p w:rsidR="00673328" w:rsidRPr="00673328" w:rsidRDefault="00673328" w:rsidP="00673328">
            <w:pPr>
              <w:spacing w:after="0" w:line="240" w:lineRule="auto"/>
              <w:jc w:val="right"/>
              <w:rPr>
                <w:rFonts w:ascii="Calibri" w:eastAsia="Times New Roman" w:hAnsi="Calibri" w:cs="Times New Roman"/>
                <w:color w:val="000000"/>
                <w:lang w:eastAsia="es-ES"/>
              </w:rPr>
            </w:pPr>
            <w:r w:rsidRPr="00673328">
              <w:rPr>
                <w:rFonts w:ascii="Calibri" w:eastAsia="Times New Roman" w:hAnsi="Calibri" w:cs="Times New Roman"/>
                <w:color w:val="000000"/>
                <w:lang w:eastAsia="es-ES"/>
              </w:rPr>
              <w:t>3.25%</w:t>
            </w:r>
          </w:p>
        </w:tc>
        <w:tc>
          <w:tcPr>
            <w:tcW w:w="1238" w:type="dxa"/>
            <w:tcBorders>
              <w:top w:val="nil"/>
              <w:left w:val="nil"/>
              <w:bottom w:val="nil"/>
              <w:right w:val="nil"/>
            </w:tcBorders>
            <w:shd w:val="clear" w:color="auto" w:fill="auto"/>
            <w:noWrap/>
            <w:vAlign w:val="bottom"/>
            <w:hideMark/>
          </w:tcPr>
          <w:p w:rsidR="00673328" w:rsidRPr="00673328" w:rsidRDefault="00673328" w:rsidP="00673328">
            <w:pPr>
              <w:spacing w:after="0" w:line="240" w:lineRule="auto"/>
              <w:jc w:val="right"/>
              <w:rPr>
                <w:rFonts w:ascii="Calibri" w:eastAsia="Times New Roman" w:hAnsi="Calibri" w:cs="Times New Roman"/>
                <w:color w:val="000000"/>
                <w:lang w:eastAsia="es-ES"/>
              </w:rPr>
            </w:pPr>
            <w:r w:rsidRPr="00673328">
              <w:rPr>
                <w:rFonts w:ascii="Calibri" w:eastAsia="Times New Roman" w:hAnsi="Calibri" w:cs="Times New Roman"/>
                <w:color w:val="000000"/>
                <w:lang w:eastAsia="es-ES"/>
              </w:rPr>
              <w:t>12.52%</w:t>
            </w:r>
          </w:p>
        </w:tc>
        <w:tc>
          <w:tcPr>
            <w:tcW w:w="1341" w:type="dxa"/>
            <w:tcBorders>
              <w:top w:val="nil"/>
              <w:left w:val="nil"/>
              <w:bottom w:val="nil"/>
              <w:right w:val="nil"/>
            </w:tcBorders>
            <w:shd w:val="clear" w:color="auto" w:fill="auto"/>
            <w:noWrap/>
            <w:vAlign w:val="bottom"/>
            <w:hideMark/>
          </w:tcPr>
          <w:p w:rsidR="00673328" w:rsidRPr="00673328" w:rsidRDefault="00673328" w:rsidP="00673328">
            <w:pPr>
              <w:spacing w:after="0" w:line="240" w:lineRule="auto"/>
              <w:jc w:val="right"/>
              <w:rPr>
                <w:rFonts w:ascii="Calibri" w:eastAsia="Times New Roman" w:hAnsi="Calibri" w:cs="Times New Roman"/>
                <w:color w:val="000000"/>
                <w:lang w:eastAsia="es-ES"/>
              </w:rPr>
            </w:pPr>
            <w:r w:rsidRPr="00673328">
              <w:rPr>
                <w:rFonts w:ascii="Calibri" w:eastAsia="Times New Roman" w:hAnsi="Calibri" w:cs="Times New Roman"/>
                <w:color w:val="000000"/>
                <w:lang w:eastAsia="es-ES"/>
              </w:rPr>
              <w:t>9.49%</w:t>
            </w:r>
          </w:p>
        </w:tc>
      </w:tr>
      <w:tr w:rsidR="00673328" w:rsidRPr="00673328" w:rsidTr="002129F5">
        <w:trPr>
          <w:trHeight w:val="300"/>
          <w:jc w:val="right"/>
        </w:trPr>
        <w:tc>
          <w:tcPr>
            <w:tcW w:w="2245" w:type="dxa"/>
            <w:gridSpan w:val="2"/>
            <w:tcBorders>
              <w:top w:val="nil"/>
              <w:left w:val="nil"/>
              <w:bottom w:val="nil"/>
              <w:right w:val="nil"/>
            </w:tcBorders>
            <w:shd w:val="clear" w:color="auto" w:fill="auto"/>
            <w:noWrap/>
            <w:vAlign w:val="bottom"/>
            <w:hideMark/>
          </w:tcPr>
          <w:p w:rsidR="00673328" w:rsidRPr="00673328" w:rsidRDefault="00673328" w:rsidP="00673328">
            <w:pPr>
              <w:spacing w:after="0" w:line="240" w:lineRule="auto"/>
              <w:rPr>
                <w:rFonts w:ascii="Calibri" w:eastAsia="Times New Roman" w:hAnsi="Calibri" w:cs="Times New Roman"/>
                <w:color w:val="000000"/>
                <w:lang w:eastAsia="es-ES"/>
              </w:rPr>
            </w:pPr>
            <w:r w:rsidRPr="00673328">
              <w:rPr>
                <w:rFonts w:ascii="Calibri" w:eastAsia="Times New Roman" w:hAnsi="Calibri" w:cs="Times New Roman"/>
                <w:color w:val="000000"/>
                <w:lang w:eastAsia="es-ES"/>
              </w:rPr>
              <w:t xml:space="preserve">   Non-</w:t>
            </w:r>
            <w:proofErr w:type="spellStart"/>
            <w:r w:rsidRPr="00673328">
              <w:rPr>
                <w:rFonts w:ascii="Calibri" w:eastAsia="Times New Roman" w:hAnsi="Calibri" w:cs="Times New Roman"/>
                <w:color w:val="000000"/>
                <w:lang w:eastAsia="es-ES"/>
              </w:rPr>
              <w:t>Wages</w:t>
            </w:r>
            <w:proofErr w:type="spellEnd"/>
          </w:p>
        </w:tc>
        <w:tc>
          <w:tcPr>
            <w:tcW w:w="1238" w:type="dxa"/>
            <w:tcBorders>
              <w:top w:val="nil"/>
              <w:left w:val="nil"/>
              <w:bottom w:val="nil"/>
              <w:right w:val="nil"/>
            </w:tcBorders>
            <w:shd w:val="clear" w:color="auto" w:fill="auto"/>
            <w:noWrap/>
            <w:vAlign w:val="bottom"/>
            <w:hideMark/>
          </w:tcPr>
          <w:p w:rsidR="00673328" w:rsidRPr="00673328" w:rsidRDefault="00673328" w:rsidP="00673328">
            <w:pPr>
              <w:spacing w:after="0" w:line="240" w:lineRule="auto"/>
              <w:jc w:val="right"/>
              <w:rPr>
                <w:rFonts w:ascii="Calibri" w:eastAsia="Times New Roman" w:hAnsi="Calibri" w:cs="Times New Roman"/>
                <w:color w:val="000000"/>
                <w:lang w:eastAsia="es-ES"/>
              </w:rPr>
            </w:pPr>
            <w:r w:rsidRPr="00673328">
              <w:rPr>
                <w:rFonts w:ascii="Calibri" w:eastAsia="Times New Roman" w:hAnsi="Calibri" w:cs="Times New Roman"/>
                <w:color w:val="000000"/>
                <w:lang w:eastAsia="es-ES"/>
              </w:rPr>
              <w:t>10.16%</w:t>
            </w:r>
          </w:p>
        </w:tc>
        <w:tc>
          <w:tcPr>
            <w:tcW w:w="1238" w:type="dxa"/>
            <w:tcBorders>
              <w:top w:val="nil"/>
              <w:left w:val="nil"/>
              <w:bottom w:val="nil"/>
              <w:right w:val="nil"/>
            </w:tcBorders>
            <w:shd w:val="clear" w:color="auto" w:fill="auto"/>
            <w:noWrap/>
            <w:vAlign w:val="bottom"/>
            <w:hideMark/>
          </w:tcPr>
          <w:p w:rsidR="00673328" w:rsidRPr="00673328" w:rsidRDefault="00673328" w:rsidP="00673328">
            <w:pPr>
              <w:spacing w:after="0" w:line="240" w:lineRule="auto"/>
              <w:jc w:val="right"/>
              <w:rPr>
                <w:rFonts w:ascii="Calibri" w:eastAsia="Times New Roman" w:hAnsi="Calibri" w:cs="Times New Roman"/>
                <w:color w:val="000000"/>
                <w:lang w:eastAsia="es-ES"/>
              </w:rPr>
            </w:pPr>
            <w:r w:rsidRPr="00673328">
              <w:rPr>
                <w:rFonts w:ascii="Calibri" w:eastAsia="Times New Roman" w:hAnsi="Calibri" w:cs="Times New Roman"/>
                <w:color w:val="000000"/>
                <w:lang w:eastAsia="es-ES"/>
              </w:rPr>
              <w:t>14.48%</w:t>
            </w:r>
          </w:p>
        </w:tc>
        <w:tc>
          <w:tcPr>
            <w:tcW w:w="1238" w:type="dxa"/>
            <w:tcBorders>
              <w:top w:val="nil"/>
              <w:left w:val="nil"/>
              <w:bottom w:val="nil"/>
              <w:right w:val="nil"/>
            </w:tcBorders>
            <w:shd w:val="clear" w:color="auto" w:fill="auto"/>
            <w:noWrap/>
            <w:vAlign w:val="bottom"/>
            <w:hideMark/>
          </w:tcPr>
          <w:p w:rsidR="00673328" w:rsidRPr="00673328" w:rsidRDefault="00673328" w:rsidP="00673328">
            <w:pPr>
              <w:spacing w:after="0" w:line="240" w:lineRule="auto"/>
              <w:jc w:val="right"/>
              <w:rPr>
                <w:rFonts w:ascii="Calibri" w:eastAsia="Times New Roman" w:hAnsi="Calibri" w:cs="Times New Roman"/>
                <w:color w:val="000000"/>
                <w:lang w:eastAsia="es-ES"/>
              </w:rPr>
            </w:pPr>
            <w:r w:rsidRPr="00673328">
              <w:rPr>
                <w:rFonts w:ascii="Calibri" w:eastAsia="Times New Roman" w:hAnsi="Calibri" w:cs="Times New Roman"/>
                <w:color w:val="000000"/>
                <w:lang w:eastAsia="es-ES"/>
              </w:rPr>
              <w:t>-5.64%</w:t>
            </w:r>
          </w:p>
        </w:tc>
        <w:tc>
          <w:tcPr>
            <w:tcW w:w="1341" w:type="dxa"/>
            <w:tcBorders>
              <w:top w:val="nil"/>
              <w:left w:val="nil"/>
              <w:bottom w:val="nil"/>
              <w:right w:val="nil"/>
            </w:tcBorders>
            <w:shd w:val="clear" w:color="auto" w:fill="auto"/>
            <w:noWrap/>
            <w:vAlign w:val="bottom"/>
            <w:hideMark/>
          </w:tcPr>
          <w:p w:rsidR="00673328" w:rsidRPr="00673328" w:rsidRDefault="00673328" w:rsidP="00673328">
            <w:pPr>
              <w:spacing w:after="0" w:line="240" w:lineRule="auto"/>
              <w:jc w:val="right"/>
              <w:rPr>
                <w:rFonts w:ascii="Calibri" w:eastAsia="Times New Roman" w:hAnsi="Calibri" w:cs="Times New Roman"/>
                <w:color w:val="000000"/>
                <w:lang w:eastAsia="es-ES"/>
              </w:rPr>
            </w:pPr>
            <w:r w:rsidRPr="00673328">
              <w:rPr>
                <w:rFonts w:ascii="Calibri" w:eastAsia="Times New Roman" w:hAnsi="Calibri" w:cs="Times New Roman"/>
                <w:color w:val="000000"/>
                <w:lang w:eastAsia="es-ES"/>
              </w:rPr>
              <w:t>1.26%</w:t>
            </w:r>
          </w:p>
        </w:tc>
      </w:tr>
      <w:tr w:rsidR="00673328" w:rsidRPr="00673328" w:rsidTr="002129F5">
        <w:trPr>
          <w:trHeight w:val="300"/>
          <w:jc w:val="right"/>
        </w:trPr>
        <w:tc>
          <w:tcPr>
            <w:tcW w:w="1007" w:type="dxa"/>
            <w:tcBorders>
              <w:top w:val="nil"/>
              <w:left w:val="nil"/>
              <w:bottom w:val="nil"/>
              <w:right w:val="nil"/>
            </w:tcBorders>
            <w:shd w:val="clear" w:color="auto" w:fill="auto"/>
            <w:noWrap/>
            <w:vAlign w:val="bottom"/>
            <w:hideMark/>
          </w:tcPr>
          <w:p w:rsidR="00673328" w:rsidRPr="00673328" w:rsidRDefault="00673328" w:rsidP="00673328">
            <w:pPr>
              <w:spacing w:after="0" w:line="240" w:lineRule="auto"/>
              <w:rPr>
                <w:rFonts w:ascii="Calibri" w:eastAsia="Times New Roman" w:hAnsi="Calibri" w:cs="Times New Roman"/>
                <w:color w:val="000000"/>
                <w:lang w:eastAsia="es-ES"/>
              </w:rPr>
            </w:pPr>
            <w:r w:rsidRPr="00673328">
              <w:rPr>
                <w:rFonts w:ascii="Calibri" w:eastAsia="Times New Roman" w:hAnsi="Calibri" w:cs="Times New Roman"/>
                <w:color w:val="000000"/>
                <w:lang w:eastAsia="es-ES"/>
              </w:rPr>
              <w:t xml:space="preserve">   Capital</w:t>
            </w:r>
          </w:p>
        </w:tc>
        <w:tc>
          <w:tcPr>
            <w:tcW w:w="1238" w:type="dxa"/>
            <w:tcBorders>
              <w:top w:val="nil"/>
              <w:left w:val="nil"/>
              <w:bottom w:val="nil"/>
              <w:right w:val="nil"/>
            </w:tcBorders>
            <w:shd w:val="clear" w:color="auto" w:fill="auto"/>
            <w:noWrap/>
            <w:vAlign w:val="bottom"/>
            <w:hideMark/>
          </w:tcPr>
          <w:p w:rsidR="00673328" w:rsidRPr="00673328" w:rsidRDefault="00673328" w:rsidP="00673328">
            <w:pPr>
              <w:spacing w:after="0" w:line="240" w:lineRule="auto"/>
              <w:rPr>
                <w:rFonts w:ascii="Calibri" w:eastAsia="Times New Roman" w:hAnsi="Calibri" w:cs="Times New Roman"/>
                <w:color w:val="000000"/>
                <w:lang w:eastAsia="es-ES"/>
              </w:rPr>
            </w:pPr>
          </w:p>
        </w:tc>
        <w:tc>
          <w:tcPr>
            <w:tcW w:w="1238" w:type="dxa"/>
            <w:tcBorders>
              <w:top w:val="nil"/>
              <w:left w:val="nil"/>
              <w:bottom w:val="nil"/>
              <w:right w:val="nil"/>
            </w:tcBorders>
            <w:shd w:val="clear" w:color="auto" w:fill="auto"/>
            <w:noWrap/>
            <w:vAlign w:val="bottom"/>
            <w:hideMark/>
          </w:tcPr>
          <w:p w:rsidR="00673328" w:rsidRPr="00673328" w:rsidRDefault="00673328" w:rsidP="00673328">
            <w:pPr>
              <w:spacing w:after="0" w:line="240" w:lineRule="auto"/>
              <w:jc w:val="right"/>
              <w:rPr>
                <w:rFonts w:ascii="Calibri" w:eastAsia="Times New Roman" w:hAnsi="Calibri" w:cs="Times New Roman"/>
                <w:color w:val="000000"/>
                <w:lang w:eastAsia="es-ES"/>
              </w:rPr>
            </w:pPr>
            <w:r w:rsidRPr="00673328">
              <w:rPr>
                <w:rFonts w:ascii="Calibri" w:eastAsia="Times New Roman" w:hAnsi="Calibri" w:cs="Times New Roman"/>
                <w:color w:val="000000"/>
                <w:lang w:eastAsia="es-ES"/>
              </w:rPr>
              <w:t>-39.59%</w:t>
            </w:r>
          </w:p>
        </w:tc>
        <w:tc>
          <w:tcPr>
            <w:tcW w:w="1238" w:type="dxa"/>
            <w:tcBorders>
              <w:top w:val="nil"/>
              <w:left w:val="nil"/>
              <w:bottom w:val="nil"/>
              <w:right w:val="nil"/>
            </w:tcBorders>
            <w:shd w:val="clear" w:color="auto" w:fill="auto"/>
            <w:noWrap/>
            <w:vAlign w:val="bottom"/>
            <w:hideMark/>
          </w:tcPr>
          <w:p w:rsidR="00673328" w:rsidRPr="00673328" w:rsidRDefault="00673328" w:rsidP="00673328">
            <w:pPr>
              <w:spacing w:after="0" w:line="240" w:lineRule="auto"/>
              <w:jc w:val="right"/>
              <w:rPr>
                <w:rFonts w:ascii="Calibri" w:eastAsia="Times New Roman" w:hAnsi="Calibri" w:cs="Times New Roman"/>
                <w:color w:val="000000"/>
                <w:lang w:eastAsia="es-ES"/>
              </w:rPr>
            </w:pPr>
            <w:r w:rsidRPr="00673328">
              <w:rPr>
                <w:rFonts w:ascii="Calibri" w:eastAsia="Times New Roman" w:hAnsi="Calibri" w:cs="Times New Roman"/>
                <w:color w:val="000000"/>
                <w:lang w:eastAsia="es-ES"/>
              </w:rPr>
              <w:t>-29.94%</w:t>
            </w:r>
          </w:p>
        </w:tc>
        <w:tc>
          <w:tcPr>
            <w:tcW w:w="1238" w:type="dxa"/>
            <w:tcBorders>
              <w:top w:val="nil"/>
              <w:left w:val="nil"/>
              <w:bottom w:val="nil"/>
              <w:right w:val="nil"/>
            </w:tcBorders>
            <w:shd w:val="clear" w:color="auto" w:fill="auto"/>
            <w:noWrap/>
            <w:vAlign w:val="bottom"/>
            <w:hideMark/>
          </w:tcPr>
          <w:p w:rsidR="00673328" w:rsidRPr="00673328" w:rsidRDefault="00673328" w:rsidP="00673328">
            <w:pPr>
              <w:spacing w:after="0" w:line="240" w:lineRule="auto"/>
              <w:jc w:val="right"/>
              <w:rPr>
                <w:rFonts w:ascii="Calibri" w:eastAsia="Times New Roman" w:hAnsi="Calibri" w:cs="Times New Roman"/>
                <w:color w:val="000000"/>
                <w:lang w:eastAsia="es-ES"/>
              </w:rPr>
            </w:pPr>
            <w:r w:rsidRPr="00673328">
              <w:rPr>
                <w:rFonts w:ascii="Calibri" w:eastAsia="Times New Roman" w:hAnsi="Calibri" w:cs="Times New Roman"/>
                <w:color w:val="000000"/>
                <w:lang w:eastAsia="es-ES"/>
              </w:rPr>
              <w:t>-17.92%</w:t>
            </w:r>
          </w:p>
        </w:tc>
        <w:tc>
          <w:tcPr>
            <w:tcW w:w="1341" w:type="dxa"/>
            <w:tcBorders>
              <w:top w:val="nil"/>
              <w:left w:val="nil"/>
              <w:bottom w:val="nil"/>
              <w:right w:val="nil"/>
            </w:tcBorders>
            <w:shd w:val="clear" w:color="auto" w:fill="auto"/>
            <w:noWrap/>
            <w:vAlign w:val="bottom"/>
            <w:hideMark/>
          </w:tcPr>
          <w:p w:rsidR="00673328" w:rsidRPr="00673328" w:rsidRDefault="00673328" w:rsidP="00673328">
            <w:pPr>
              <w:spacing w:after="0" w:line="240" w:lineRule="auto"/>
              <w:jc w:val="right"/>
              <w:rPr>
                <w:rFonts w:ascii="Calibri" w:eastAsia="Times New Roman" w:hAnsi="Calibri" w:cs="Times New Roman"/>
                <w:color w:val="000000"/>
                <w:lang w:eastAsia="es-ES"/>
              </w:rPr>
            </w:pPr>
            <w:r w:rsidRPr="00673328">
              <w:rPr>
                <w:rFonts w:ascii="Calibri" w:eastAsia="Times New Roman" w:hAnsi="Calibri" w:cs="Times New Roman"/>
                <w:color w:val="000000"/>
                <w:lang w:eastAsia="es-ES"/>
              </w:rPr>
              <w:t>-13.30%</w:t>
            </w:r>
          </w:p>
        </w:tc>
      </w:tr>
    </w:tbl>
    <w:p w:rsidR="00673328" w:rsidRDefault="00673328">
      <w:pPr>
        <w:rPr>
          <w:rFonts w:asciiTheme="majorHAnsi" w:eastAsiaTheme="majorEastAsia" w:hAnsiTheme="majorHAnsi" w:cstheme="majorBidi"/>
          <w:b/>
          <w:bCs/>
          <w:color w:val="4F81BD" w:themeColor="accent1"/>
          <w:sz w:val="26"/>
          <w:szCs w:val="26"/>
          <w:lang w:val="en-US"/>
        </w:rPr>
      </w:pPr>
      <w:r>
        <w:rPr>
          <w:lang w:val="en-US"/>
        </w:rPr>
        <w:br w:type="page"/>
      </w:r>
    </w:p>
    <w:p w:rsidR="00CC7125" w:rsidRDefault="00CC7125" w:rsidP="00CC7125">
      <w:pPr>
        <w:pStyle w:val="Heading2"/>
        <w:spacing w:before="0"/>
        <w:rPr>
          <w:lang w:val="en-US"/>
        </w:rPr>
      </w:pPr>
      <w:bookmarkStart w:id="34" w:name="_Toc255446182"/>
      <w:r w:rsidRPr="005030C3">
        <w:rPr>
          <w:lang w:val="en-US"/>
        </w:rPr>
        <w:lastRenderedPageBreak/>
        <w:t xml:space="preserve">Appendix </w:t>
      </w:r>
      <w:r>
        <w:rPr>
          <w:lang w:val="en-US"/>
        </w:rPr>
        <w:t>B</w:t>
      </w:r>
      <w:r w:rsidRPr="005030C3">
        <w:rPr>
          <w:lang w:val="en-US"/>
        </w:rPr>
        <w:t xml:space="preserve">: </w:t>
      </w:r>
      <w:r>
        <w:rPr>
          <w:lang w:val="en-US"/>
        </w:rPr>
        <w:t>Main indicators</w:t>
      </w:r>
      <w:bookmarkEnd w:id="34"/>
      <w:r>
        <w:rPr>
          <w:lang w:val="en-US"/>
        </w:rPr>
        <w:t xml:space="preserve"> </w:t>
      </w:r>
    </w:p>
    <w:p w:rsidR="00CC7125" w:rsidRPr="00CC7125" w:rsidRDefault="00CC7125" w:rsidP="006324C7">
      <w:pPr>
        <w:rPr>
          <w:lang w:val="en-US"/>
        </w:rPr>
      </w:pPr>
    </w:p>
    <w:p w:rsidR="00F67637" w:rsidRPr="00F67637" w:rsidRDefault="00D62861" w:rsidP="00CC7125">
      <w:pPr>
        <w:pStyle w:val="Caption"/>
        <w:spacing w:after="0"/>
        <w:jc w:val="center"/>
        <w:rPr>
          <w:sz w:val="22"/>
          <w:szCs w:val="22"/>
          <w:lang w:val="en-US"/>
        </w:rPr>
      </w:pPr>
      <w:r>
        <w:rPr>
          <w:sz w:val="22"/>
          <w:szCs w:val="22"/>
          <w:lang w:val="en-US"/>
        </w:rPr>
        <w:t>Figure</w:t>
      </w:r>
      <w:r w:rsidR="00CC7125" w:rsidRPr="00F67637">
        <w:rPr>
          <w:sz w:val="22"/>
          <w:szCs w:val="22"/>
          <w:lang w:val="en-US"/>
        </w:rPr>
        <w:t xml:space="preserve"> </w:t>
      </w:r>
      <w:r w:rsidR="00F67637">
        <w:rPr>
          <w:sz w:val="22"/>
          <w:szCs w:val="22"/>
          <w:lang w:val="en-US"/>
        </w:rPr>
        <w:t>B.1</w:t>
      </w:r>
      <w:r w:rsidR="003162A9" w:rsidRPr="00F67637">
        <w:rPr>
          <w:sz w:val="22"/>
          <w:szCs w:val="22"/>
          <w:lang w:val="en-US"/>
        </w:rPr>
        <w:t xml:space="preserve">: </w:t>
      </w:r>
      <w:r w:rsidR="00F67637" w:rsidRPr="00F67637">
        <w:rPr>
          <w:sz w:val="22"/>
          <w:szCs w:val="22"/>
          <w:lang w:val="en-US"/>
        </w:rPr>
        <w:t>Evolution of the education coverage rate, by age range</w:t>
      </w:r>
    </w:p>
    <w:p w:rsidR="003162A9" w:rsidRDefault="003162A9" w:rsidP="00566172">
      <w:pPr>
        <w:spacing w:after="0"/>
        <w:rPr>
          <w:lang w:val="es-PE"/>
        </w:rPr>
      </w:pPr>
      <w:r w:rsidRPr="00B819D9">
        <w:rPr>
          <w:noProof/>
          <w:lang w:val="en-US"/>
        </w:rPr>
        <w:drawing>
          <wp:inline distT="0" distB="0" distL="0" distR="0">
            <wp:extent cx="5400040" cy="2419570"/>
            <wp:effectExtent l="19050" t="0" r="10160" b="0"/>
            <wp:docPr id="2"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566172" w:rsidRPr="00566172" w:rsidRDefault="00566172" w:rsidP="00566172">
      <w:pPr>
        <w:rPr>
          <w:sz w:val="16"/>
          <w:szCs w:val="16"/>
          <w:lang w:val="en-US"/>
        </w:rPr>
      </w:pPr>
      <w:r w:rsidRPr="00BE5C22">
        <w:rPr>
          <w:sz w:val="16"/>
          <w:szCs w:val="16"/>
          <w:lang w:val="en-US"/>
        </w:rPr>
        <w:t xml:space="preserve">Source: Ministry of Education - </w:t>
      </w:r>
      <w:r w:rsidR="00E75D6D">
        <w:rPr>
          <w:sz w:val="16"/>
          <w:szCs w:val="16"/>
          <w:lang w:val="en-US"/>
        </w:rPr>
        <w:t>ESCALE</w:t>
      </w:r>
      <w:r w:rsidRPr="00BE5C22">
        <w:rPr>
          <w:sz w:val="16"/>
          <w:szCs w:val="16"/>
          <w:lang w:val="en-US"/>
        </w:rPr>
        <w:t xml:space="preserve">. </w:t>
      </w:r>
    </w:p>
    <w:p w:rsidR="0013220E" w:rsidRDefault="0013220E" w:rsidP="0013220E">
      <w:pPr>
        <w:pStyle w:val="Caption"/>
        <w:spacing w:after="0"/>
        <w:jc w:val="center"/>
        <w:rPr>
          <w:sz w:val="22"/>
          <w:szCs w:val="22"/>
          <w:lang w:val="en-US"/>
        </w:rPr>
      </w:pPr>
    </w:p>
    <w:p w:rsidR="0013220E" w:rsidRPr="00DF7639" w:rsidRDefault="0013220E" w:rsidP="0013220E">
      <w:pPr>
        <w:pStyle w:val="Caption"/>
        <w:spacing w:after="0"/>
        <w:jc w:val="center"/>
        <w:rPr>
          <w:sz w:val="22"/>
          <w:szCs w:val="22"/>
          <w:lang w:val="en-US"/>
        </w:rPr>
      </w:pPr>
      <w:r w:rsidRPr="00DF7639">
        <w:rPr>
          <w:sz w:val="22"/>
          <w:szCs w:val="22"/>
          <w:lang w:val="en-US"/>
        </w:rPr>
        <w:t>Table B.1: 2000-2007 comparison of Education coverage rate, by sex and age range</w:t>
      </w:r>
    </w:p>
    <w:tbl>
      <w:tblPr>
        <w:tblStyle w:val="Sombreadoclaro-nfasis11"/>
        <w:tblW w:w="8400" w:type="dxa"/>
        <w:tblLook w:val="04A0"/>
      </w:tblPr>
      <w:tblGrid>
        <w:gridCol w:w="1200"/>
        <w:gridCol w:w="1200"/>
        <w:gridCol w:w="1200"/>
        <w:gridCol w:w="1200"/>
        <w:gridCol w:w="1200"/>
        <w:gridCol w:w="1200"/>
        <w:gridCol w:w="1200"/>
      </w:tblGrid>
      <w:tr w:rsidR="0013220E" w:rsidRPr="00E17EA7" w:rsidTr="001906D4">
        <w:trPr>
          <w:cnfStyle w:val="100000000000"/>
          <w:trHeight w:val="300"/>
        </w:trPr>
        <w:tc>
          <w:tcPr>
            <w:cnfStyle w:val="001000000000"/>
            <w:tcW w:w="1200" w:type="dxa"/>
            <w:noWrap/>
            <w:hideMark/>
          </w:tcPr>
          <w:p w:rsidR="0013220E" w:rsidRPr="00DF7639" w:rsidRDefault="0013220E" w:rsidP="001906D4">
            <w:pPr>
              <w:spacing w:line="276" w:lineRule="auto"/>
              <w:rPr>
                <w:rFonts w:ascii="Calibri" w:eastAsia="Times New Roman" w:hAnsi="Calibri" w:cs="Times New Roman"/>
                <w:color w:val="000000"/>
                <w:lang w:val="en-US" w:eastAsia="es-ES"/>
              </w:rPr>
            </w:pPr>
            <w:r w:rsidRPr="00DF7639">
              <w:rPr>
                <w:rFonts w:ascii="Calibri" w:eastAsia="Times New Roman" w:hAnsi="Calibri" w:cs="Times New Roman"/>
                <w:color w:val="000000"/>
                <w:lang w:val="en-US" w:eastAsia="es-ES"/>
              </w:rPr>
              <w:t> </w:t>
            </w:r>
          </w:p>
        </w:tc>
        <w:tc>
          <w:tcPr>
            <w:tcW w:w="2400" w:type="dxa"/>
            <w:gridSpan w:val="2"/>
            <w:noWrap/>
            <w:hideMark/>
          </w:tcPr>
          <w:p w:rsidR="0013220E" w:rsidRPr="00E17EA7" w:rsidRDefault="0013220E" w:rsidP="001906D4">
            <w:pPr>
              <w:spacing w:line="276" w:lineRule="auto"/>
              <w:jc w:val="center"/>
              <w:cnfStyle w:val="100000000000"/>
              <w:rPr>
                <w:rFonts w:ascii="Calibri" w:eastAsia="Times New Roman" w:hAnsi="Calibri" w:cs="Times New Roman"/>
                <w:color w:val="000000"/>
                <w:lang w:eastAsia="es-ES"/>
              </w:rPr>
            </w:pPr>
            <w:r w:rsidRPr="00E17EA7">
              <w:rPr>
                <w:rFonts w:ascii="Calibri" w:eastAsia="Times New Roman" w:hAnsi="Calibri" w:cs="Times New Roman"/>
                <w:color w:val="000000"/>
                <w:lang w:eastAsia="es-ES"/>
              </w:rPr>
              <w:t xml:space="preserve">3-5 </w:t>
            </w:r>
            <w:proofErr w:type="spellStart"/>
            <w:r>
              <w:rPr>
                <w:rFonts w:ascii="Calibri" w:eastAsia="Times New Roman" w:hAnsi="Calibri" w:cs="Times New Roman"/>
                <w:color w:val="000000"/>
                <w:lang w:eastAsia="es-ES"/>
              </w:rPr>
              <w:t>year</w:t>
            </w:r>
            <w:proofErr w:type="spellEnd"/>
            <w:r>
              <w:rPr>
                <w:rFonts w:ascii="Calibri" w:eastAsia="Times New Roman" w:hAnsi="Calibri" w:cs="Times New Roman"/>
                <w:color w:val="000000"/>
                <w:lang w:eastAsia="es-ES"/>
              </w:rPr>
              <w:t xml:space="preserve"> </w:t>
            </w:r>
            <w:proofErr w:type="spellStart"/>
            <w:r>
              <w:rPr>
                <w:rFonts w:ascii="Calibri" w:eastAsia="Times New Roman" w:hAnsi="Calibri" w:cs="Times New Roman"/>
                <w:color w:val="000000"/>
                <w:lang w:eastAsia="es-ES"/>
              </w:rPr>
              <w:t>old</w:t>
            </w:r>
            <w:proofErr w:type="spellEnd"/>
          </w:p>
        </w:tc>
        <w:tc>
          <w:tcPr>
            <w:tcW w:w="2400" w:type="dxa"/>
            <w:gridSpan w:val="2"/>
            <w:noWrap/>
            <w:hideMark/>
          </w:tcPr>
          <w:p w:rsidR="0013220E" w:rsidRPr="00E17EA7" w:rsidRDefault="0013220E" w:rsidP="001906D4">
            <w:pPr>
              <w:spacing w:line="276" w:lineRule="auto"/>
              <w:jc w:val="center"/>
              <w:cnfStyle w:val="100000000000"/>
              <w:rPr>
                <w:rFonts w:ascii="Calibri" w:eastAsia="Times New Roman" w:hAnsi="Calibri" w:cs="Times New Roman"/>
                <w:color w:val="000000"/>
                <w:lang w:eastAsia="es-ES"/>
              </w:rPr>
            </w:pPr>
            <w:r w:rsidRPr="00E17EA7">
              <w:rPr>
                <w:rFonts w:ascii="Calibri" w:eastAsia="Times New Roman" w:hAnsi="Calibri" w:cs="Times New Roman"/>
                <w:color w:val="000000"/>
                <w:lang w:eastAsia="es-ES"/>
              </w:rPr>
              <w:t xml:space="preserve">6-11 </w:t>
            </w:r>
            <w:proofErr w:type="spellStart"/>
            <w:r>
              <w:rPr>
                <w:rFonts w:ascii="Calibri" w:eastAsia="Times New Roman" w:hAnsi="Calibri" w:cs="Times New Roman"/>
                <w:color w:val="000000"/>
                <w:lang w:eastAsia="es-ES"/>
              </w:rPr>
              <w:t>year</w:t>
            </w:r>
            <w:proofErr w:type="spellEnd"/>
            <w:r>
              <w:rPr>
                <w:rFonts w:ascii="Calibri" w:eastAsia="Times New Roman" w:hAnsi="Calibri" w:cs="Times New Roman"/>
                <w:color w:val="000000"/>
                <w:lang w:eastAsia="es-ES"/>
              </w:rPr>
              <w:t xml:space="preserve"> </w:t>
            </w:r>
            <w:proofErr w:type="spellStart"/>
            <w:r>
              <w:rPr>
                <w:rFonts w:ascii="Calibri" w:eastAsia="Times New Roman" w:hAnsi="Calibri" w:cs="Times New Roman"/>
                <w:color w:val="000000"/>
                <w:lang w:eastAsia="es-ES"/>
              </w:rPr>
              <w:t>old</w:t>
            </w:r>
            <w:proofErr w:type="spellEnd"/>
          </w:p>
        </w:tc>
        <w:tc>
          <w:tcPr>
            <w:tcW w:w="2400" w:type="dxa"/>
            <w:gridSpan w:val="2"/>
            <w:noWrap/>
            <w:hideMark/>
          </w:tcPr>
          <w:p w:rsidR="0013220E" w:rsidRPr="00E17EA7" w:rsidRDefault="0013220E" w:rsidP="001906D4">
            <w:pPr>
              <w:spacing w:line="276" w:lineRule="auto"/>
              <w:jc w:val="center"/>
              <w:cnfStyle w:val="100000000000"/>
              <w:rPr>
                <w:rFonts w:ascii="Calibri" w:eastAsia="Times New Roman" w:hAnsi="Calibri" w:cs="Times New Roman"/>
                <w:color w:val="000000"/>
                <w:lang w:eastAsia="es-ES"/>
              </w:rPr>
            </w:pPr>
            <w:r w:rsidRPr="00E17EA7">
              <w:rPr>
                <w:rFonts w:ascii="Calibri" w:eastAsia="Times New Roman" w:hAnsi="Calibri" w:cs="Times New Roman"/>
                <w:color w:val="000000"/>
                <w:lang w:eastAsia="es-ES"/>
              </w:rPr>
              <w:t xml:space="preserve">12-16 </w:t>
            </w:r>
            <w:proofErr w:type="spellStart"/>
            <w:r>
              <w:rPr>
                <w:rFonts w:ascii="Calibri" w:eastAsia="Times New Roman" w:hAnsi="Calibri" w:cs="Times New Roman"/>
                <w:color w:val="000000"/>
                <w:lang w:eastAsia="es-ES"/>
              </w:rPr>
              <w:t>year</w:t>
            </w:r>
            <w:proofErr w:type="spellEnd"/>
            <w:r>
              <w:rPr>
                <w:rFonts w:ascii="Calibri" w:eastAsia="Times New Roman" w:hAnsi="Calibri" w:cs="Times New Roman"/>
                <w:color w:val="000000"/>
                <w:lang w:eastAsia="es-ES"/>
              </w:rPr>
              <w:t xml:space="preserve"> </w:t>
            </w:r>
            <w:proofErr w:type="spellStart"/>
            <w:r>
              <w:rPr>
                <w:rFonts w:ascii="Calibri" w:eastAsia="Times New Roman" w:hAnsi="Calibri" w:cs="Times New Roman"/>
                <w:color w:val="000000"/>
                <w:lang w:eastAsia="es-ES"/>
              </w:rPr>
              <w:t>old</w:t>
            </w:r>
            <w:proofErr w:type="spellEnd"/>
          </w:p>
        </w:tc>
      </w:tr>
      <w:tr w:rsidR="0013220E" w:rsidRPr="00E17EA7" w:rsidTr="001906D4">
        <w:trPr>
          <w:cnfStyle w:val="000000100000"/>
          <w:trHeight w:val="300"/>
        </w:trPr>
        <w:tc>
          <w:tcPr>
            <w:cnfStyle w:val="001000000000"/>
            <w:tcW w:w="1200" w:type="dxa"/>
            <w:noWrap/>
            <w:hideMark/>
          </w:tcPr>
          <w:p w:rsidR="0013220E" w:rsidRPr="00E17EA7" w:rsidRDefault="0013220E" w:rsidP="001906D4">
            <w:pPr>
              <w:spacing w:line="276" w:lineRule="auto"/>
              <w:rPr>
                <w:rFonts w:ascii="Verdana" w:eastAsia="Times New Roman" w:hAnsi="Verdana" w:cs="Times New Roman"/>
                <w:color w:val="333333"/>
                <w:sz w:val="16"/>
                <w:szCs w:val="16"/>
                <w:lang w:eastAsia="es-ES"/>
              </w:rPr>
            </w:pPr>
            <w:r>
              <w:rPr>
                <w:rFonts w:ascii="Verdana" w:eastAsia="Times New Roman" w:hAnsi="Verdana" w:cs="Times New Roman"/>
                <w:color w:val="333333"/>
                <w:sz w:val="16"/>
                <w:szCs w:val="16"/>
                <w:lang w:eastAsia="es-ES"/>
              </w:rPr>
              <w:t>Sex</w:t>
            </w:r>
          </w:p>
        </w:tc>
        <w:tc>
          <w:tcPr>
            <w:tcW w:w="1200" w:type="dxa"/>
            <w:hideMark/>
          </w:tcPr>
          <w:p w:rsidR="0013220E" w:rsidRPr="00E17EA7" w:rsidRDefault="0013220E" w:rsidP="001906D4">
            <w:pPr>
              <w:spacing w:line="276" w:lineRule="auto"/>
              <w:jc w:val="center"/>
              <w:cnfStyle w:val="000000100000"/>
              <w:rPr>
                <w:rFonts w:ascii="Verdana" w:eastAsia="Times New Roman" w:hAnsi="Verdana" w:cs="Times New Roman"/>
                <w:b/>
                <w:bCs/>
                <w:sz w:val="16"/>
                <w:szCs w:val="16"/>
                <w:lang w:eastAsia="es-ES"/>
              </w:rPr>
            </w:pPr>
            <w:r w:rsidRPr="00E17EA7">
              <w:rPr>
                <w:rFonts w:ascii="Verdana" w:eastAsia="Times New Roman" w:hAnsi="Verdana" w:cs="Times New Roman"/>
                <w:b/>
                <w:bCs/>
                <w:sz w:val="16"/>
                <w:szCs w:val="16"/>
                <w:lang w:eastAsia="es-ES"/>
              </w:rPr>
              <w:t>2000</w:t>
            </w:r>
          </w:p>
        </w:tc>
        <w:tc>
          <w:tcPr>
            <w:tcW w:w="1200" w:type="dxa"/>
            <w:hideMark/>
          </w:tcPr>
          <w:p w:rsidR="0013220E" w:rsidRPr="00E17EA7" w:rsidRDefault="0013220E" w:rsidP="001906D4">
            <w:pPr>
              <w:spacing w:line="276" w:lineRule="auto"/>
              <w:jc w:val="center"/>
              <w:cnfStyle w:val="000000100000"/>
              <w:rPr>
                <w:rFonts w:ascii="Verdana" w:eastAsia="Times New Roman" w:hAnsi="Verdana" w:cs="Times New Roman"/>
                <w:b/>
                <w:bCs/>
                <w:sz w:val="16"/>
                <w:szCs w:val="16"/>
                <w:lang w:eastAsia="es-ES"/>
              </w:rPr>
            </w:pPr>
            <w:r w:rsidRPr="00E17EA7">
              <w:rPr>
                <w:rFonts w:ascii="Verdana" w:eastAsia="Times New Roman" w:hAnsi="Verdana" w:cs="Times New Roman"/>
                <w:b/>
                <w:bCs/>
                <w:sz w:val="16"/>
                <w:szCs w:val="16"/>
                <w:lang w:eastAsia="es-ES"/>
              </w:rPr>
              <w:t>2007</w:t>
            </w:r>
          </w:p>
        </w:tc>
        <w:tc>
          <w:tcPr>
            <w:tcW w:w="1200" w:type="dxa"/>
            <w:hideMark/>
          </w:tcPr>
          <w:p w:rsidR="0013220E" w:rsidRPr="00E17EA7" w:rsidRDefault="0013220E" w:rsidP="001906D4">
            <w:pPr>
              <w:spacing w:line="276" w:lineRule="auto"/>
              <w:jc w:val="center"/>
              <w:cnfStyle w:val="000000100000"/>
              <w:rPr>
                <w:rFonts w:ascii="Verdana" w:eastAsia="Times New Roman" w:hAnsi="Verdana" w:cs="Times New Roman"/>
                <w:b/>
                <w:bCs/>
                <w:sz w:val="16"/>
                <w:szCs w:val="16"/>
                <w:lang w:eastAsia="es-ES"/>
              </w:rPr>
            </w:pPr>
            <w:r w:rsidRPr="00E17EA7">
              <w:rPr>
                <w:rFonts w:ascii="Verdana" w:eastAsia="Times New Roman" w:hAnsi="Verdana" w:cs="Times New Roman"/>
                <w:b/>
                <w:bCs/>
                <w:sz w:val="16"/>
                <w:szCs w:val="16"/>
                <w:lang w:eastAsia="es-ES"/>
              </w:rPr>
              <w:t>2000</w:t>
            </w:r>
          </w:p>
        </w:tc>
        <w:tc>
          <w:tcPr>
            <w:tcW w:w="1200" w:type="dxa"/>
            <w:hideMark/>
          </w:tcPr>
          <w:p w:rsidR="0013220E" w:rsidRPr="00E17EA7" w:rsidRDefault="0013220E" w:rsidP="001906D4">
            <w:pPr>
              <w:spacing w:line="276" w:lineRule="auto"/>
              <w:jc w:val="center"/>
              <w:cnfStyle w:val="000000100000"/>
              <w:rPr>
                <w:rFonts w:ascii="Verdana" w:eastAsia="Times New Roman" w:hAnsi="Verdana" w:cs="Times New Roman"/>
                <w:b/>
                <w:bCs/>
                <w:sz w:val="16"/>
                <w:szCs w:val="16"/>
                <w:lang w:eastAsia="es-ES"/>
              </w:rPr>
            </w:pPr>
            <w:r w:rsidRPr="00E17EA7">
              <w:rPr>
                <w:rFonts w:ascii="Verdana" w:eastAsia="Times New Roman" w:hAnsi="Verdana" w:cs="Times New Roman"/>
                <w:b/>
                <w:bCs/>
                <w:sz w:val="16"/>
                <w:szCs w:val="16"/>
                <w:lang w:eastAsia="es-ES"/>
              </w:rPr>
              <w:t>2007</w:t>
            </w:r>
          </w:p>
        </w:tc>
        <w:tc>
          <w:tcPr>
            <w:tcW w:w="1200" w:type="dxa"/>
            <w:hideMark/>
          </w:tcPr>
          <w:p w:rsidR="0013220E" w:rsidRPr="00E17EA7" w:rsidRDefault="0013220E" w:rsidP="001906D4">
            <w:pPr>
              <w:spacing w:line="276" w:lineRule="auto"/>
              <w:jc w:val="center"/>
              <w:cnfStyle w:val="000000100000"/>
              <w:rPr>
                <w:rFonts w:ascii="Verdana" w:eastAsia="Times New Roman" w:hAnsi="Verdana" w:cs="Times New Roman"/>
                <w:b/>
                <w:bCs/>
                <w:sz w:val="16"/>
                <w:szCs w:val="16"/>
                <w:lang w:eastAsia="es-ES"/>
              </w:rPr>
            </w:pPr>
            <w:r w:rsidRPr="00E17EA7">
              <w:rPr>
                <w:rFonts w:ascii="Verdana" w:eastAsia="Times New Roman" w:hAnsi="Verdana" w:cs="Times New Roman"/>
                <w:b/>
                <w:bCs/>
                <w:sz w:val="16"/>
                <w:szCs w:val="16"/>
                <w:lang w:eastAsia="es-ES"/>
              </w:rPr>
              <w:t>2000</w:t>
            </w:r>
          </w:p>
        </w:tc>
        <w:tc>
          <w:tcPr>
            <w:tcW w:w="1200" w:type="dxa"/>
            <w:hideMark/>
          </w:tcPr>
          <w:p w:rsidR="0013220E" w:rsidRPr="00E17EA7" w:rsidRDefault="0013220E" w:rsidP="001906D4">
            <w:pPr>
              <w:spacing w:line="276" w:lineRule="auto"/>
              <w:jc w:val="center"/>
              <w:cnfStyle w:val="000000100000"/>
              <w:rPr>
                <w:rFonts w:ascii="Verdana" w:eastAsia="Times New Roman" w:hAnsi="Verdana" w:cs="Times New Roman"/>
                <w:b/>
                <w:bCs/>
                <w:sz w:val="16"/>
                <w:szCs w:val="16"/>
                <w:lang w:eastAsia="es-ES"/>
              </w:rPr>
            </w:pPr>
            <w:r w:rsidRPr="00E17EA7">
              <w:rPr>
                <w:rFonts w:ascii="Verdana" w:eastAsia="Times New Roman" w:hAnsi="Verdana" w:cs="Times New Roman"/>
                <w:b/>
                <w:bCs/>
                <w:sz w:val="16"/>
                <w:szCs w:val="16"/>
                <w:lang w:eastAsia="es-ES"/>
              </w:rPr>
              <w:t>2007</w:t>
            </w:r>
          </w:p>
        </w:tc>
      </w:tr>
      <w:tr w:rsidR="0013220E" w:rsidRPr="00E17EA7" w:rsidTr="001906D4">
        <w:trPr>
          <w:trHeight w:val="300"/>
        </w:trPr>
        <w:tc>
          <w:tcPr>
            <w:cnfStyle w:val="001000000000"/>
            <w:tcW w:w="1200" w:type="dxa"/>
            <w:noWrap/>
            <w:hideMark/>
          </w:tcPr>
          <w:p w:rsidR="0013220E" w:rsidRPr="00E17EA7" w:rsidRDefault="0013220E" w:rsidP="001906D4">
            <w:pPr>
              <w:spacing w:line="276" w:lineRule="auto"/>
              <w:rPr>
                <w:rFonts w:ascii="Verdana" w:eastAsia="Times New Roman" w:hAnsi="Verdana" w:cs="Times New Roman"/>
                <w:sz w:val="16"/>
                <w:szCs w:val="16"/>
                <w:lang w:eastAsia="es-ES"/>
              </w:rPr>
            </w:pPr>
            <w:proofErr w:type="spellStart"/>
            <w:r w:rsidRPr="00E17EA7">
              <w:rPr>
                <w:rFonts w:ascii="Verdana" w:eastAsia="Times New Roman" w:hAnsi="Verdana" w:cs="Times New Roman"/>
                <w:sz w:val="16"/>
                <w:szCs w:val="16"/>
                <w:lang w:eastAsia="es-ES"/>
              </w:rPr>
              <w:t>Fe</w:t>
            </w:r>
            <w:r>
              <w:rPr>
                <w:rFonts w:ascii="Verdana" w:eastAsia="Times New Roman" w:hAnsi="Verdana" w:cs="Times New Roman"/>
                <w:sz w:val="16"/>
                <w:szCs w:val="16"/>
                <w:lang w:eastAsia="es-ES"/>
              </w:rPr>
              <w:t>male</w:t>
            </w:r>
            <w:proofErr w:type="spellEnd"/>
          </w:p>
        </w:tc>
        <w:tc>
          <w:tcPr>
            <w:tcW w:w="1200" w:type="dxa"/>
            <w:hideMark/>
          </w:tcPr>
          <w:p w:rsidR="0013220E" w:rsidRPr="00E17EA7" w:rsidRDefault="0013220E" w:rsidP="001906D4">
            <w:pPr>
              <w:spacing w:line="276" w:lineRule="auto"/>
              <w:jc w:val="center"/>
              <w:cnfStyle w:val="000000000000"/>
              <w:rPr>
                <w:rFonts w:ascii="Verdana" w:eastAsia="Times New Roman" w:hAnsi="Verdana" w:cs="Times New Roman"/>
                <w:sz w:val="16"/>
                <w:szCs w:val="16"/>
                <w:lang w:eastAsia="es-ES"/>
              </w:rPr>
            </w:pPr>
            <w:r w:rsidRPr="00E17EA7">
              <w:rPr>
                <w:rFonts w:ascii="Verdana" w:eastAsia="Times New Roman" w:hAnsi="Verdana" w:cs="Times New Roman"/>
                <w:sz w:val="16"/>
                <w:szCs w:val="16"/>
                <w:lang w:eastAsia="es-ES"/>
              </w:rPr>
              <w:t>66,4</w:t>
            </w:r>
          </w:p>
        </w:tc>
        <w:tc>
          <w:tcPr>
            <w:tcW w:w="1200" w:type="dxa"/>
            <w:hideMark/>
          </w:tcPr>
          <w:p w:rsidR="0013220E" w:rsidRPr="00E17EA7" w:rsidRDefault="0013220E" w:rsidP="001906D4">
            <w:pPr>
              <w:spacing w:line="276" w:lineRule="auto"/>
              <w:jc w:val="center"/>
              <w:cnfStyle w:val="000000000000"/>
              <w:rPr>
                <w:rFonts w:ascii="Verdana" w:eastAsia="Times New Roman" w:hAnsi="Verdana" w:cs="Times New Roman"/>
                <w:sz w:val="16"/>
                <w:szCs w:val="16"/>
                <w:lang w:eastAsia="es-ES"/>
              </w:rPr>
            </w:pPr>
            <w:r w:rsidRPr="00E17EA7">
              <w:rPr>
                <w:rFonts w:ascii="Verdana" w:eastAsia="Times New Roman" w:hAnsi="Verdana" w:cs="Times New Roman"/>
                <w:sz w:val="16"/>
                <w:szCs w:val="16"/>
                <w:lang w:eastAsia="es-ES"/>
              </w:rPr>
              <w:t>70,1</w:t>
            </w:r>
          </w:p>
        </w:tc>
        <w:tc>
          <w:tcPr>
            <w:tcW w:w="1200" w:type="dxa"/>
            <w:hideMark/>
          </w:tcPr>
          <w:p w:rsidR="0013220E" w:rsidRPr="00E17EA7" w:rsidRDefault="0013220E" w:rsidP="001906D4">
            <w:pPr>
              <w:spacing w:line="276" w:lineRule="auto"/>
              <w:jc w:val="center"/>
              <w:cnfStyle w:val="000000000000"/>
              <w:rPr>
                <w:rFonts w:ascii="Verdana" w:eastAsia="Times New Roman" w:hAnsi="Verdana" w:cs="Times New Roman"/>
                <w:sz w:val="16"/>
                <w:szCs w:val="16"/>
                <w:lang w:eastAsia="es-ES"/>
              </w:rPr>
            </w:pPr>
            <w:r w:rsidRPr="00E17EA7">
              <w:rPr>
                <w:rFonts w:ascii="Verdana" w:eastAsia="Times New Roman" w:hAnsi="Verdana" w:cs="Times New Roman"/>
                <w:sz w:val="16"/>
                <w:szCs w:val="16"/>
                <w:lang w:eastAsia="es-ES"/>
              </w:rPr>
              <w:t>98,8</w:t>
            </w:r>
          </w:p>
        </w:tc>
        <w:tc>
          <w:tcPr>
            <w:tcW w:w="1200" w:type="dxa"/>
            <w:hideMark/>
          </w:tcPr>
          <w:p w:rsidR="0013220E" w:rsidRPr="00E17EA7" w:rsidRDefault="0013220E" w:rsidP="001906D4">
            <w:pPr>
              <w:spacing w:line="276" w:lineRule="auto"/>
              <w:jc w:val="center"/>
              <w:cnfStyle w:val="000000000000"/>
              <w:rPr>
                <w:rFonts w:ascii="Verdana" w:eastAsia="Times New Roman" w:hAnsi="Verdana" w:cs="Times New Roman"/>
                <w:sz w:val="16"/>
                <w:szCs w:val="16"/>
                <w:lang w:eastAsia="es-ES"/>
              </w:rPr>
            </w:pPr>
            <w:r w:rsidRPr="00E17EA7">
              <w:rPr>
                <w:rFonts w:ascii="Verdana" w:eastAsia="Times New Roman" w:hAnsi="Verdana" w:cs="Times New Roman"/>
                <w:sz w:val="16"/>
                <w:szCs w:val="16"/>
                <w:lang w:eastAsia="es-ES"/>
              </w:rPr>
              <w:t>97,8</w:t>
            </w:r>
          </w:p>
        </w:tc>
        <w:tc>
          <w:tcPr>
            <w:tcW w:w="1200" w:type="dxa"/>
            <w:hideMark/>
          </w:tcPr>
          <w:p w:rsidR="0013220E" w:rsidRPr="00E17EA7" w:rsidRDefault="0013220E" w:rsidP="001906D4">
            <w:pPr>
              <w:spacing w:line="276" w:lineRule="auto"/>
              <w:jc w:val="center"/>
              <w:cnfStyle w:val="000000000000"/>
              <w:rPr>
                <w:rFonts w:ascii="Verdana" w:eastAsia="Times New Roman" w:hAnsi="Verdana" w:cs="Times New Roman"/>
                <w:sz w:val="16"/>
                <w:szCs w:val="16"/>
                <w:lang w:eastAsia="es-ES"/>
              </w:rPr>
            </w:pPr>
            <w:r w:rsidRPr="00E17EA7">
              <w:rPr>
                <w:rFonts w:ascii="Verdana" w:eastAsia="Times New Roman" w:hAnsi="Verdana" w:cs="Times New Roman"/>
                <w:sz w:val="16"/>
                <w:szCs w:val="16"/>
                <w:lang w:eastAsia="es-ES"/>
              </w:rPr>
              <w:t>83,1</w:t>
            </w:r>
          </w:p>
        </w:tc>
        <w:tc>
          <w:tcPr>
            <w:tcW w:w="1200" w:type="dxa"/>
            <w:hideMark/>
          </w:tcPr>
          <w:p w:rsidR="0013220E" w:rsidRPr="00E17EA7" w:rsidRDefault="0013220E" w:rsidP="001906D4">
            <w:pPr>
              <w:spacing w:line="276" w:lineRule="auto"/>
              <w:jc w:val="center"/>
              <w:cnfStyle w:val="000000000000"/>
              <w:rPr>
                <w:rFonts w:ascii="Verdana" w:eastAsia="Times New Roman" w:hAnsi="Verdana" w:cs="Times New Roman"/>
                <w:sz w:val="16"/>
                <w:szCs w:val="16"/>
                <w:lang w:eastAsia="es-ES"/>
              </w:rPr>
            </w:pPr>
            <w:r w:rsidRPr="00E17EA7">
              <w:rPr>
                <w:rFonts w:ascii="Verdana" w:eastAsia="Times New Roman" w:hAnsi="Verdana" w:cs="Times New Roman"/>
                <w:sz w:val="16"/>
                <w:szCs w:val="16"/>
                <w:lang w:eastAsia="es-ES"/>
              </w:rPr>
              <w:t>86,8</w:t>
            </w:r>
          </w:p>
        </w:tc>
      </w:tr>
      <w:tr w:rsidR="0013220E" w:rsidRPr="00E17EA7" w:rsidTr="001906D4">
        <w:trPr>
          <w:cnfStyle w:val="000000100000"/>
          <w:trHeight w:val="300"/>
        </w:trPr>
        <w:tc>
          <w:tcPr>
            <w:cnfStyle w:val="001000000000"/>
            <w:tcW w:w="1200" w:type="dxa"/>
            <w:shd w:val="clear" w:color="auto" w:fill="FFFFFF" w:themeFill="background1"/>
            <w:noWrap/>
            <w:hideMark/>
          </w:tcPr>
          <w:p w:rsidR="0013220E" w:rsidRPr="00E17EA7" w:rsidRDefault="0013220E" w:rsidP="001906D4">
            <w:pPr>
              <w:spacing w:line="276" w:lineRule="auto"/>
              <w:rPr>
                <w:rFonts w:ascii="Verdana" w:eastAsia="Times New Roman" w:hAnsi="Verdana" w:cs="Times New Roman"/>
                <w:sz w:val="16"/>
                <w:szCs w:val="16"/>
                <w:lang w:eastAsia="es-ES"/>
              </w:rPr>
            </w:pPr>
            <w:proofErr w:type="spellStart"/>
            <w:r w:rsidRPr="00E17EA7">
              <w:rPr>
                <w:rFonts w:ascii="Verdana" w:eastAsia="Times New Roman" w:hAnsi="Verdana" w:cs="Times New Roman"/>
                <w:sz w:val="16"/>
                <w:szCs w:val="16"/>
                <w:lang w:eastAsia="es-ES"/>
              </w:rPr>
              <w:t>M</w:t>
            </w:r>
            <w:r>
              <w:rPr>
                <w:rFonts w:ascii="Verdana" w:eastAsia="Times New Roman" w:hAnsi="Verdana" w:cs="Times New Roman"/>
                <w:sz w:val="16"/>
                <w:szCs w:val="16"/>
                <w:lang w:eastAsia="es-ES"/>
              </w:rPr>
              <w:t>ale</w:t>
            </w:r>
            <w:proofErr w:type="spellEnd"/>
          </w:p>
        </w:tc>
        <w:tc>
          <w:tcPr>
            <w:tcW w:w="1200" w:type="dxa"/>
            <w:shd w:val="clear" w:color="auto" w:fill="FFFFFF" w:themeFill="background1"/>
            <w:hideMark/>
          </w:tcPr>
          <w:p w:rsidR="0013220E" w:rsidRPr="00E17EA7" w:rsidRDefault="0013220E" w:rsidP="001906D4">
            <w:pPr>
              <w:spacing w:line="276" w:lineRule="auto"/>
              <w:jc w:val="center"/>
              <w:cnfStyle w:val="000000100000"/>
              <w:rPr>
                <w:rFonts w:ascii="Verdana" w:eastAsia="Times New Roman" w:hAnsi="Verdana" w:cs="Times New Roman"/>
                <w:sz w:val="16"/>
                <w:szCs w:val="16"/>
                <w:lang w:eastAsia="es-ES"/>
              </w:rPr>
            </w:pPr>
            <w:r w:rsidRPr="00E17EA7">
              <w:rPr>
                <w:rFonts w:ascii="Verdana" w:eastAsia="Times New Roman" w:hAnsi="Verdana" w:cs="Times New Roman"/>
                <w:sz w:val="16"/>
                <w:szCs w:val="16"/>
                <w:lang w:eastAsia="es-ES"/>
              </w:rPr>
              <w:t>59,8</w:t>
            </w:r>
          </w:p>
        </w:tc>
        <w:tc>
          <w:tcPr>
            <w:tcW w:w="1200" w:type="dxa"/>
            <w:shd w:val="clear" w:color="auto" w:fill="FFFFFF" w:themeFill="background1"/>
            <w:hideMark/>
          </w:tcPr>
          <w:p w:rsidR="0013220E" w:rsidRPr="00E17EA7" w:rsidRDefault="0013220E" w:rsidP="001906D4">
            <w:pPr>
              <w:spacing w:line="276" w:lineRule="auto"/>
              <w:jc w:val="center"/>
              <w:cnfStyle w:val="000000100000"/>
              <w:rPr>
                <w:rFonts w:ascii="Verdana" w:eastAsia="Times New Roman" w:hAnsi="Verdana" w:cs="Times New Roman"/>
                <w:sz w:val="16"/>
                <w:szCs w:val="16"/>
                <w:lang w:eastAsia="es-ES"/>
              </w:rPr>
            </w:pPr>
            <w:r w:rsidRPr="00E17EA7">
              <w:rPr>
                <w:rFonts w:ascii="Verdana" w:eastAsia="Times New Roman" w:hAnsi="Verdana" w:cs="Times New Roman"/>
                <w:sz w:val="16"/>
                <w:szCs w:val="16"/>
                <w:lang w:eastAsia="es-ES"/>
              </w:rPr>
              <w:t>70,9</w:t>
            </w:r>
          </w:p>
        </w:tc>
        <w:tc>
          <w:tcPr>
            <w:tcW w:w="1200" w:type="dxa"/>
            <w:shd w:val="clear" w:color="auto" w:fill="FFFFFF" w:themeFill="background1"/>
            <w:hideMark/>
          </w:tcPr>
          <w:p w:rsidR="0013220E" w:rsidRPr="00E17EA7" w:rsidRDefault="0013220E" w:rsidP="001906D4">
            <w:pPr>
              <w:spacing w:line="276" w:lineRule="auto"/>
              <w:jc w:val="center"/>
              <w:cnfStyle w:val="000000100000"/>
              <w:rPr>
                <w:rFonts w:ascii="Verdana" w:eastAsia="Times New Roman" w:hAnsi="Verdana" w:cs="Times New Roman"/>
                <w:sz w:val="16"/>
                <w:szCs w:val="16"/>
                <w:lang w:eastAsia="es-ES"/>
              </w:rPr>
            </w:pPr>
            <w:r w:rsidRPr="00E17EA7">
              <w:rPr>
                <w:rFonts w:ascii="Verdana" w:eastAsia="Times New Roman" w:hAnsi="Verdana" w:cs="Times New Roman"/>
                <w:sz w:val="16"/>
                <w:szCs w:val="16"/>
                <w:lang w:eastAsia="es-ES"/>
              </w:rPr>
              <w:t>98,6</w:t>
            </w:r>
          </w:p>
        </w:tc>
        <w:tc>
          <w:tcPr>
            <w:tcW w:w="1200" w:type="dxa"/>
            <w:shd w:val="clear" w:color="auto" w:fill="FFFFFF" w:themeFill="background1"/>
            <w:hideMark/>
          </w:tcPr>
          <w:p w:rsidR="0013220E" w:rsidRPr="00E17EA7" w:rsidRDefault="0013220E" w:rsidP="001906D4">
            <w:pPr>
              <w:spacing w:line="276" w:lineRule="auto"/>
              <w:jc w:val="center"/>
              <w:cnfStyle w:val="000000100000"/>
              <w:rPr>
                <w:rFonts w:ascii="Verdana" w:eastAsia="Times New Roman" w:hAnsi="Verdana" w:cs="Times New Roman"/>
                <w:sz w:val="16"/>
                <w:szCs w:val="16"/>
                <w:lang w:eastAsia="es-ES"/>
              </w:rPr>
            </w:pPr>
            <w:r w:rsidRPr="00E17EA7">
              <w:rPr>
                <w:rFonts w:ascii="Verdana" w:eastAsia="Times New Roman" w:hAnsi="Verdana" w:cs="Times New Roman"/>
                <w:sz w:val="16"/>
                <w:szCs w:val="16"/>
                <w:lang w:eastAsia="es-ES"/>
              </w:rPr>
              <w:t>97,8</w:t>
            </w:r>
          </w:p>
        </w:tc>
        <w:tc>
          <w:tcPr>
            <w:tcW w:w="1200" w:type="dxa"/>
            <w:shd w:val="clear" w:color="auto" w:fill="FFFFFF" w:themeFill="background1"/>
            <w:hideMark/>
          </w:tcPr>
          <w:p w:rsidR="0013220E" w:rsidRPr="00E17EA7" w:rsidRDefault="0013220E" w:rsidP="001906D4">
            <w:pPr>
              <w:spacing w:line="276" w:lineRule="auto"/>
              <w:jc w:val="center"/>
              <w:cnfStyle w:val="000000100000"/>
              <w:rPr>
                <w:rFonts w:ascii="Verdana" w:eastAsia="Times New Roman" w:hAnsi="Verdana" w:cs="Times New Roman"/>
                <w:sz w:val="16"/>
                <w:szCs w:val="16"/>
                <w:lang w:eastAsia="es-ES"/>
              </w:rPr>
            </w:pPr>
            <w:r w:rsidRPr="00E17EA7">
              <w:rPr>
                <w:rFonts w:ascii="Verdana" w:eastAsia="Times New Roman" w:hAnsi="Verdana" w:cs="Times New Roman"/>
                <w:sz w:val="16"/>
                <w:szCs w:val="16"/>
                <w:lang w:eastAsia="es-ES"/>
              </w:rPr>
              <w:t>85,1</w:t>
            </w:r>
          </w:p>
        </w:tc>
        <w:tc>
          <w:tcPr>
            <w:tcW w:w="1200" w:type="dxa"/>
            <w:shd w:val="clear" w:color="auto" w:fill="FFFFFF" w:themeFill="background1"/>
            <w:hideMark/>
          </w:tcPr>
          <w:p w:rsidR="0013220E" w:rsidRPr="00E17EA7" w:rsidRDefault="0013220E" w:rsidP="001906D4">
            <w:pPr>
              <w:spacing w:line="276" w:lineRule="auto"/>
              <w:jc w:val="center"/>
              <w:cnfStyle w:val="000000100000"/>
              <w:rPr>
                <w:rFonts w:ascii="Verdana" w:eastAsia="Times New Roman" w:hAnsi="Verdana" w:cs="Times New Roman"/>
                <w:sz w:val="16"/>
                <w:szCs w:val="16"/>
                <w:lang w:eastAsia="es-ES"/>
              </w:rPr>
            </w:pPr>
            <w:r w:rsidRPr="00E17EA7">
              <w:rPr>
                <w:rFonts w:ascii="Verdana" w:eastAsia="Times New Roman" w:hAnsi="Verdana" w:cs="Times New Roman"/>
                <w:sz w:val="16"/>
                <w:szCs w:val="16"/>
                <w:lang w:eastAsia="es-ES"/>
              </w:rPr>
              <w:t>89,1</w:t>
            </w:r>
          </w:p>
        </w:tc>
      </w:tr>
    </w:tbl>
    <w:p w:rsidR="0013220E" w:rsidRPr="00DE6626" w:rsidRDefault="0013220E" w:rsidP="0013220E">
      <w:pPr>
        <w:rPr>
          <w:sz w:val="16"/>
          <w:szCs w:val="16"/>
          <w:lang w:val="en-US"/>
        </w:rPr>
      </w:pPr>
      <w:bookmarkStart w:id="35" w:name="OLE_LINK11"/>
      <w:bookmarkStart w:id="36" w:name="OLE_LINK12"/>
      <w:r w:rsidRPr="00BE5C22">
        <w:rPr>
          <w:sz w:val="16"/>
          <w:szCs w:val="16"/>
          <w:lang w:val="en-US"/>
        </w:rPr>
        <w:t xml:space="preserve">Source: Ministry of Education </w:t>
      </w:r>
      <w:r>
        <w:rPr>
          <w:sz w:val="16"/>
          <w:szCs w:val="16"/>
          <w:lang w:val="en-US"/>
        </w:rPr>
        <w:t>–</w:t>
      </w:r>
      <w:r w:rsidRPr="00BE5C22">
        <w:rPr>
          <w:sz w:val="16"/>
          <w:szCs w:val="16"/>
          <w:lang w:val="en-US"/>
        </w:rPr>
        <w:t xml:space="preserve"> </w:t>
      </w:r>
      <w:r>
        <w:rPr>
          <w:sz w:val="16"/>
          <w:szCs w:val="16"/>
          <w:lang w:val="en-US"/>
        </w:rPr>
        <w:t>ESCALE.</w:t>
      </w:r>
      <w:r w:rsidRPr="00BE5C22">
        <w:rPr>
          <w:sz w:val="16"/>
          <w:szCs w:val="16"/>
          <w:lang w:val="en-US"/>
        </w:rPr>
        <w:t xml:space="preserve"> </w:t>
      </w:r>
    </w:p>
    <w:bookmarkEnd w:id="35"/>
    <w:bookmarkEnd w:id="36"/>
    <w:p w:rsidR="0013220E" w:rsidRDefault="0013220E" w:rsidP="0013220E">
      <w:pPr>
        <w:pStyle w:val="Caption"/>
        <w:spacing w:after="0"/>
        <w:jc w:val="center"/>
        <w:rPr>
          <w:sz w:val="22"/>
          <w:szCs w:val="22"/>
          <w:lang w:val="en-US"/>
        </w:rPr>
      </w:pPr>
    </w:p>
    <w:p w:rsidR="0013220E" w:rsidRPr="00F50877" w:rsidRDefault="0013220E" w:rsidP="0013220E">
      <w:pPr>
        <w:pStyle w:val="Caption"/>
        <w:spacing w:after="0"/>
        <w:jc w:val="center"/>
        <w:rPr>
          <w:sz w:val="22"/>
          <w:szCs w:val="22"/>
          <w:lang w:val="en-US"/>
        </w:rPr>
      </w:pPr>
      <w:r>
        <w:rPr>
          <w:sz w:val="22"/>
          <w:szCs w:val="22"/>
          <w:lang w:val="en-US"/>
        </w:rPr>
        <w:t>Figure B.2</w:t>
      </w:r>
      <w:r w:rsidRPr="00F50877">
        <w:rPr>
          <w:sz w:val="22"/>
          <w:szCs w:val="22"/>
          <w:lang w:val="en-US"/>
        </w:rPr>
        <w:t>: Education coverage rate, by age range and region (2007)</w:t>
      </w:r>
    </w:p>
    <w:p w:rsidR="0013220E" w:rsidRDefault="0013220E" w:rsidP="0013220E">
      <w:pPr>
        <w:spacing w:after="0"/>
      </w:pPr>
      <w:r w:rsidRPr="00046EF3">
        <w:rPr>
          <w:noProof/>
          <w:lang w:val="en-US"/>
        </w:rPr>
        <w:drawing>
          <wp:inline distT="0" distB="0" distL="0" distR="0">
            <wp:extent cx="5400040" cy="2661631"/>
            <wp:effectExtent l="19050" t="0" r="10160" b="5369"/>
            <wp:docPr id="38"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13220E" w:rsidRPr="00DE6626" w:rsidRDefault="0013220E" w:rsidP="0013220E">
      <w:pPr>
        <w:rPr>
          <w:sz w:val="16"/>
          <w:szCs w:val="16"/>
          <w:lang w:val="en-US"/>
        </w:rPr>
      </w:pPr>
      <w:r w:rsidRPr="00BE5C22">
        <w:rPr>
          <w:sz w:val="16"/>
          <w:szCs w:val="16"/>
          <w:lang w:val="en-US"/>
        </w:rPr>
        <w:t xml:space="preserve">Source: Ministry of Education </w:t>
      </w:r>
      <w:r>
        <w:rPr>
          <w:sz w:val="16"/>
          <w:szCs w:val="16"/>
          <w:lang w:val="en-US"/>
        </w:rPr>
        <w:t>–</w:t>
      </w:r>
      <w:r w:rsidRPr="00BE5C22">
        <w:rPr>
          <w:sz w:val="16"/>
          <w:szCs w:val="16"/>
          <w:lang w:val="en-US"/>
        </w:rPr>
        <w:t xml:space="preserve"> </w:t>
      </w:r>
      <w:r>
        <w:rPr>
          <w:sz w:val="16"/>
          <w:szCs w:val="16"/>
          <w:lang w:val="en-US"/>
        </w:rPr>
        <w:t>ESCALE.</w:t>
      </w:r>
      <w:r w:rsidRPr="00BE5C22">
        <w:rPr>
          <w:sz w:val="16"/>
          <w:szCs w:val="16"/>
          <w:lang w:val="en-US"/>
        </w:rPr>
        <w:t xml:space="preserve"> </w:t>
      </w:r>
    </w:p>
    <w:p w:rsidR="0013220E" w:rsidRDefault="0013220E" w:rsidP="0009068C">
      <w:pPr>
        <w:pStyle w:val="Caption"/>
        <w:spacing w:after="0"/>
        <w:jc w:val="center"/>
        <w:rPr>
          <w:sz w:val="22"/>
          <w:szCs w:val="22"/>
          <w:lang w:val="en-US"/>
        </w:rPr>
      </w:pPr>
    </w:p>
    <w:p w:rsidR="0013220E" w:rsidRDefault="0013220E" w:rsidP="0009068C">
      <w:pPr>
        <w:pStyle w:val="Caption"/>
        <w:spacing w:after="0"/>
        <w:jc w:val="center"/>
        <w:rPr>
          <w:sz w:val="22"/>
          <w:szCs w:val="22"/>
          <w:lang w:val="en-US"/>
        </w:rPr>
      </w:pPr>
    </w:p>
    <w:p w:rsidR="0013220E" w:rsidRDefault="0013220E">
      <w:pPr>
        <w:rPr>
          <w:b/>
          <w:bCs/>
          <w:color w:val="4F81BD" w:themeColor="accent1"/>
          <w:lang w:val="en-US"/>
        </w:rPr>
      </w:pPr>
      <w:r>
        <w:rPr>
          <w:lang w:val="en-US"/>
        </w:rPr>
        <w:br w:type="page"/>
      </w:r>
    </w:p>
    <w:p w:rsidR="0009068C" w:rsidRPr="00E771FB" w:rsidRDefault="0013220E" w:rsidP="0009068C">
      <w:pPr>
        <w:pStyle w:val="Caption"/>
        <w:spacing w:after="0"/>
        <w:jc w:val="center"/>
        <w:rPr>
          <w:sz w:val="22"/>
          <w:szCs w:val="22"/>
          <w:lang w:val="en-US"/>
        </w:rPr>
      </w:pPr>
      <w:r>
        <w:rPr>
          <w:sz w:val="22"/>
          <w:szCs w:val="22"/>
          <w:lang w:val="en-US"/>
        </w:rPr>
        <w:lastRenderedPageBreak/>
        <w:t>Figure B.3</w:t>
      </w:r>
      <w:r w:rsidR="0009068C" w:rsidRPr="00E771FB">
        <w:rPr>
          <w:sz w:val="22"/>
          <w:szCs w:val="22"/>
          <w:lang w:val="en-US"/>
        </w:rPr>
        <w:t xml:space="preserve">: % of public school enrollment, by facility level and regions (ordered by </w:t>
      </w:r>
      <w:proofErr w:type="spellStart"/>
      <w:r w:rsidR="0009068C" w:rsidRPr="00E771FB">
        <w:rPr>
          <w:sz w:val="22"/>
          <w:szCs w:val="22"/>
          <w:lang w:val="en-US"/>
        </w:rPr>
        <w:t>rurality</w:t>
      </w:r>
      <w:proofErr w:type="spellEnd"/>
      <w:r w:rsidR="0009068C" w:rsidRPr="00E771FB">
        <w:rPr>
          <w:sz w:val="22"/>
          <w:szCs w:val="22"/>
          <w:lang w:val="en-US"/>
        </w:rPr>
        <w:t xml:space="preserve"> index), 2008</w:t>
      </w:r>
    </w:p>
    <w:p w:rsidR="0009068C" w:rsidRPr="00EE4F10" w:rsidRDefault="0009068C" w:rsidP="0009068C">
      <w:pPr>
        <w:spacing w:after="0"/>
      </w:pPr>
      <w:r w:rsidRPr="00EE4F10">
        <w:rPr>
          <w:noProof/>
          <w:lang w:val="en-US"/>
        </w:rPr>
        <w:drawing>
          <wp:inline distT="0" distB="0" distL="0" distR="0">
            <wp:extent cx="5400040" cy="2736680"/>
            <wp:effectExtent l="19050" t="0" r="10160" b="6520"/>
            <wp:docPr id="17" name="Grá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09068C" w:rsidRPr="00DE6626" w:rsidRDefault="0009068C" w:rsidP="0009068C">
      <w:pPr>
        <w:ind w:firstLine="708"/>
        <w:rPr>
          <w:sz w:val="16"/>
          <w:szCs w:val="16"/>
          <w:lang w:val="en-US"/>
        </w:rPr>
      </w:pPr>
      <w:bookmarkStart w:id="37" w:name="OLE_LINK7"/>
      <w:bookmarkStart w:id="38" w:name="OLE_LINK8"/>
      <w:r w:rsidRPr="00BE5C22">
        <w:rPr>
          <w:sz w:val="16"/>
          <w:szCs w:val="16"/>
          <w:lang w:val="en-US"/>
        </w:rPr>
        <w:t xml:space="preserve">Source: Ministry of Education </w:t>
      </w:r>
      <w:r>
        <w:rPr>
          <w:sz w:val="16"/>
          <w:szCs w:val="16"/>
          <w:lang w:val="en-US"/>
        </w:rPr>
        <w:t>–</w:t>
      </w:r>
      <w:r w:rsidRPr="00BE5C22">
        <w:rPr>
          <w:sz w:val="16"/>
          <w:szCs w:val="16"/>
          <w:lang w:val="en-US"/>
        </w:rPr>
        <w:t xml:space="preserve"> </w:t>
      </w:r>
      <w:r>
        <w:rPr>
          <w:sz w:val="16"/>
          <w:szCs w:val="16"/>
          <w:lang w:val="en-US"/>
        </w:rPr>
        <w:t>ESCALE.</w:t>
      </w:r>
      <w:r w:rsidRPr="00BE5C22">
        <w:rPr>
          <w:sz w:val="16"/>
          <w:szCs w:val="16"/>
          <w:lang w:val="en-US"/>
        </w:rPr>
        <w:t xml:space="preserve"> </w:t>
      </w:r>
    </w:p>
    <w:bookmarkEnd w:id="37"/>
    <w:bookmarkEnd w:id="38"/>
    <w:p w:rsidR="0009068C" w:rsidRPr="002024E6" w:rsidRDefault="0013220E" w:rsidP="0009068C">
      <w:pPr>
        <w:pStyle w:val="Caption"/>
        <w:spacing w:after="0"/>
        <w:jc w:val="center"/>
        <w:rPr>
          <w:sz w:val="22"/>
          <w:szCs w:val="22"/>
          <w:lang w:val="en-US"/>
        </w:rPr>
      </w:pPr>
      <w:r>
        <w:rPr>
          <w:sz w:val="22"/>
          <w:szCs w:val="22"/>
          <w:lang w:val="en-US"/>
        </w:rPr>
        <w:t>Figure B.4</w:t>
      </w:r>
      <w:r w:rsidR="0009068C" w:rsidRPr="002024E6">
        <w:rPr>
          <w:sz w:val="22"/>
          <w:szCs w:val="22"/>
          <w:lang w:val="en-US"/>
        </w:rPr>
        <w:t>: Education coverage rate, by age range and poverty index (2007)</w:t>
      </w:r>
    </w:p>
    <w:p w:rsidR="0009068C" w:rsidRDefault="0009068C" w:rsidP="0009068C">
      <w:pPr>
        <w:spacing w:after="0"/>
        <w:jc w:val="center"/>
      </w:pPr>
      <w:r w:rsidRPr="00EE4F10">
        <w:rPr>
          <w:noProof/>
          <w:lang w:val="en-US"/>
        </w:rPr>
        <w:drawing>
          <wp:inline distT="0" distB="0" distL="0" distR="0">
            <wp:extent cx="4276905" cy="2147977"/>
            <wp:effectExtent l="19050" t="0" r="28395" b="4673"/>
            <wp:docPr id="25"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09068C" w:rsidRPr="00DE6626" w:rsidRDefault="0009068C" w:rsidP="0009068C">
      <w:pPr>
        <w:ind w:firstLine="708"/>
        <w:rPr>
          <w:sz w:val="16"/>
          <w:szCs w:val="16"/>
          <w:lang w:val="en-US"/>
        </w:rPr>
      </w:pPr>
      <w:bookmarkStart w:id="39" w:name="OLE_LINK13"/>
      <w:bookmarkStart w:id="40" w:name="OLE_LINK14"/>
      <w:r w:rsidRPr="00BE5C22">
        <w:rPr>
          <w:sz w:val="16"/>
          <w:szCs w:val="16"/>
          <w:lang w:val="en-US"/>
        </w:rPr>
        <w:t xml:space="preserve">Source: Ministry of Education </w:t>
      </w:r>
      <w:r>
        <w:rPr>
          <w:sz w:val="16"/>
          <w:szCs w:val="16"/>
          <w:lang w:val="en-US"/>
        </w:rPr>
        <w:t>–</w:t>
      </w:r>
      <w:r w:rsidRPr="00BE5C22">
        <w:rPr>
          <w:sz w:val="16"/>
          <w:szCs w:val="16"/>
          <w:lang w:val="en-US"/>
        </w:rPr>
        <w:t xml:space="preserve"> </w:t>
      </w:r>
      <w:r>
        <w:rPr>
          <w:sz w:val="16"/>
          <w:szCs w:val="16"/>
          <w:lang w:val="en-US"/>
        </w:rPr>
        <w:t>ESCALE.</w:t>
      </w:r>
      <w:r w:rsidRPr="00BE5C22">
        <w:rPr>
          <w:sz w:val="16"/>
          <w:szCs w:val="16"/>
          <w:lang w:val="en-US"/>
        </w:rPr>
        <w:t xml:space="preserve"> </w:t>
      </w:r>
    </w:p>
    <w:bookmarkEnd w:id="39"/>
    <w:bookmarkEnd w:id="40"/>
    <w:p w:rsidR="0013220E" w:rsidRPr="004C28E5" w:rsidRDefault="0013220E" w:rsidP="004C28E5">
      <w:pPr>
        <w:pStyle w:val="Caption"/>
        <w:spacing w:after="0"/>
        <w:jc w:val="center"/>
        <w:rPr>
          <w:sz w:val="22"/>
          <w:szCs w:val="22"/>
          <w:lang w:val="en-US"/>
        </w:rPr>
      </w:pPr>
      <w:r w:rsidRPr="004C28E5">
        <w:rPr>
          <w:sz w:val="22"/>
          <w:szCs w:val="22"/>
          <w:lang w:val="en-US"/>
        </w:rPr>
        <w:t>Figure B.5: Repetition rate in public schools</w:t>
      </w:r>
      <w:r w:rsidR="004C28E5" w:rsidRPr="004C28E5">
        <w:rPr>
          <w:sz w:val="22"/>
          <w:szCs w:val="22"/>
          <w:lang w:val="en-US"/>
        </w:rPr>
        <w:t>, by facility level, sex and area</w:t>
      </w:r>
      <w:r w:rsidRPr="004C28E5">
        <w:rPr>
          <w:sz w:val="22"/>
          <w:szCs w:val="22"/>
          <w:lang w:val="en-US"/>
        </w:rPr>
        <w:t xml:space="preserve"> (2007)</w:t>
      </w:r>
    </w:p>
    <w:p w:rsidR="0013220E" w:rsidRDefault="0013220E" w:rsidP="004C28E5">
      <w:pPr>
        <w:spacing w:after="0"/>
        <w:jc w:val="center"/>
      </w:pPr>
      <w:r w:rsidRPr="000436CF">
        <w:rPr>
          <w:noProof/>
          <w:lang w:val="en-US"/>
        </w:rPr>
        <w:drawing>
          <wp:inline distT="0" distB="0" distL="0" distR="0">
            <wp:extent cx="2370467" cy="2053087"/>
            <wp:effectExtent l="19050" t="0" r="10783" b="4313"/>
            <wp:docPr id="41"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r w:rsidRPr="000436CF">
        <w:rPr>
          <w:noProof/>
          <w:lang w:val="en-US"/>
        </w:rPr>
        <w:drawing>
          <wp:inline distT="0" distB="0" distL="0" distR="0">
            <wp:extent cx="2560248" cy="2057903"/>
            <wp:effectExtent l="19050" t="0" r="11502" b="0"/>
            <wp:docPr id="45"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4C28E5" w:rsidRPr="00DE6626" w:rsidRDefault="004C28E5" w:rsidP="004C28E5">
      <w:pPr>
        <w:ind w:firstLine="708"/>
        <w:rPr>
          <w:sz w:val="16"/>
          <w:szCs w:val="16"/>
          <w:lang w:val="en-US"/>
        </w:rPr>
      </w:pPr>
      <w:r w:rsidRPr="00BE5C22">
        <w:rPr>
          <w:sz w:val="16"/>
          <w:szCs w:val="16"/>
          <w:lang w:val="en-US"/>
        </w:rPr>
        <w:t xml:space="preserve">Source: Ministry of Education </w:t>
      </w:r>
      <w:r>
        <w:rPr>
          <w:sz w:val="16"/>
          <w:szCs w:val="16"/>
          <w:lang w:val="en-US"/>
        </w:rPr>
        <w:t>–</w:t>
      </w:r>
      <w:r w:rsidRPr="00BE5C22">
        <w:rPr>
          <w:sz w:val="16"/>
          <w:szCs w:val="16"/>
          <w:lang w:val="en-US"/>
        </w:rPr>
        <w:t xml:space="preserve"> </w:t>
      </w:r>
      <w:r>
        <w:rPr>
          <w:sz w:val="16"/>
          <w:szCs w:val="16"/>
          <w:lang w:val="en-US"/>
        </w:rPr>
        <w:t>ESCALE.</w:t>
      </w:r>
      <w:r w:rsidRPr="00BE5C22">
        <w:rPr>
          <w:sz w:val="16"/>
          <w:szCs w:val="16"/>
          <w:lang w:val="en-US"/>
        </w:rPr>
        <w:t xml:space="preserve"> </w:t>
      </w:r>
    </w:p>
    <w:p w:rsidR="0013220E" w:rsidRDefault="0013220E" w:rsidP="009315FC">
      <w:pPr>
        <w:pStyle w:val="Caption"/>
        <w:spacing w:after="0"/>
        <w:jc w:val="center"/>
        <w:rPr>
          <w:sz w:val="22"/>
          <w:szCs w:val="22"/>
          <w:lang w:val="en-US"/>
        </w:rPr>
      </w:pPr>
    </w:p>
    <w:p w:rsidR="002C2CD0" w:rsidRDefault="002C2CD0">
      <w:pPr>
        <w:rPr>
          <w:b/>
          <w:bCs/>
          <w:color w:val="4F81BD" w:themeColor="accent1"/>
          <w:lang w:val="en-US"/>
        </w:rPr>
      </w:pPr>
      <w:r>
        <w:rPr>
          <w:lang w:val="en-US"/>
        </w:rPr>
        <w:br w:type="page"/>
      </w:r>
    </w:p>
    <w:p w:rsidR="002C2CD0" w:rsidRPr="00DA13FD" w:rsidRDefault="007E56CB" w:rsidP="002C2CD0">
      <w:pPr>
        <w:pStyle w:val="Caption"/>
        <w:spacing w:after="0"/>
        <w:jc w:val="center"/>
        <w:rPr>
          <w:sz w:val="22"/>
          <w:szCs w:val="22"/>
          <w:lang w:val="en-US"/>
        </w:rPr>
      </w:pPr>
      <w:r>
        <w:rPr>
          <w:sz w:val="22"/>
          <w:szCs w:val="22"/>
          <w:lang w:val="en-US"/>
        </w:rPr>
        <w:lastRenderedPageBreak/>
        <w:t>Figure B.6</w:t>
      </w:r>
      <w:r w:rsidR="002C2CD0" w:rsidRPr="00DA13FD">
        <w:rPr>
          <w:sz w:val="22"/>
          <w:szCs w:val="22"/>
          <w:lang w:val="en-US"/>
        </w:rPr>
        <w:t xml:space="preserve">: Repetition rate in public schools, by facility level and poverty index </w:t>
      </w:r>
      <w:r w:rsidR="00C90338">
        <w:rPr>
          <w:sz w:val="22"/>
          <w:szCs w:val="22"/>
          <w:lang w:val="en-US"/>
        </w:rPr>
        <w:t>2</w:t>
      </w:r>
      <w:r w:rsidR="002C2CD0" w:rsidRPr="00DA13FD">
        <w:rPr>
          <w:sz w:val="22"/>
          <w:szCs w:val="22"/>
          <w:lang w:val="en-US"/>
        </w:rPr>
        <w:t>007)</w:t>
      </w:r>
    </w:p>
    <w:p w:rsidR="002C2CD0" w:rsidRDefault="002C2CD0" w:rsidP="002C2CD0">
      <w:pPr>
        <w:spacing w:after="0"/>
        <w:jc w:val="center"/>
      </w:pPr>
      <w:r w:rsidRPr="000436CF">
        <w:rPr>
          <w:noProof/>
          <w:lang w:val="en-US"/>
        </w:rPr>
        <w:drawing>
          <wp:inline distT="0" distB="0" distL="0" distR="0">
            <wp:extent cx="3762375" cy="2438399"/>
            <wp:effectExtent l="19050" t="0" r="9525" b="1"/>
            <wp:docPr id="39"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2C2CD0" w:rsidRPr="00DE6626" w:rsidRDefault="002C2CD0" w:rsidP="002C2CD0">
      <w:pPr>
        <w:ind w:firstLine="708"/>
        <w:rPr>
          <w:sz w:val="16"/>
          <w:szCs w:val="16"/>
          <w:lang w:val="en-US"/>
        </w:rPr>
      </w:pPr>
      <w:r w:rsidRPr="00BE5C22">
        <w:rPr>
          <w:sz w:val="16"/>
          <w:szCs w:val="16"/>
          <w:lang w:val="en-US"/>
        </w:rPr>
        <w:t xml:space="preserve">Source: Ministry of Education </w:t>
      </w:r>
      <w:r>
        <w:rPr>
          <w:sz w:val="16"/>
          <w:szCs w:val="16"/>
          <w:lang w:val="en-US"/>
        </w:rPr>
        <w:t>–</w:t>
      </w:r>
      <w:r w:rsidRPr="00BE5C22">
        <w:rPr>
          <w:sz w:val="16"/>
          <w:szCs w:val="16"/>
          <w:lang w:val="en-US"/>
        </w:rPr>
        <w:t xml:space="preserve"> </w:t>
      </w:r>
      <w:r>
        <w:rPr>
          <w:sz w:val="16"/>
          <w:szCs w:val="16"/>
          <w:lang w:val="en-US"/>
        </w:rPr>
        <w:t>ESCALE.</w:t>
      </w:r>
      <w:r w:rsidRPr="00BE5C22">
        <w:rPr>
          <w:sz w:val="16"/>
          <w:szCs w:val="16"/>
          <w:lang w:val="en-US"/>
        </w:rPr>
        <w:t xml:space="preserve"> </w:t>
      </w:r>
    </w:p>
    <w:p w:rsidR="00047ECE" w:rsidRPr="001A5253" w:rsidRDefault="007E56CB" w:rsidP="00047ECE">
      <w:pPr>
        <w:pStyle w:val="Caption"/>
        <w:spacing w:after="0"/>
        <w:jc w:val="center"/>
        <w:rPr>
          <w:sz w:val="22"/>
          <w:szCs w:val="22"/>
          <w:lang w:val="en-US"/>
        </w:rPr>
      </w:pPr>
      <w:r>
        <w:rPr>
          <w:sz w:val="22"/>
          <w:szCs w:val="22"/>
          <w:lang w:val="en-US"/>
        </w:rPr>
        <w:t>Figure B.</w:t>
      </w:r>
      <w:r w:rsidR="00047ECE" w:rsidRPr="001A5253">
        <w:rPr>
          <w:sz w:val="22"/>
          <w:szCs w:val="22"/>
          <w:lang w:val="en-US"/>
        </w:rPr>
        <w:t xml:space="preserve">7: </w:t>
      </w:r>
      <w:r w:rsidR="00047ECE">
        <w:rPr>
          <w:sz w:val="22"/>
          <w:szCs w:val="22"/>
          <w:lang w:val="en-US"/>
        </w:rPr>
        <w:t>Primary</w:t>
      </w:r>
      <w:r w:rsidR="00047ECE" w:rsidRPr="001A5253">
        <w:rPr>
          <w:sz w:val="22"/>
          <w:szCs w:val="22"/>
          <w:lang w:val="en-US"/>
        </w:rPr>
        <w:t xml:space="preserve"> repetition rate, by regions and type of school (2007)</w:t>
      </w:r>
    </w:p>
    <w:p w:rsidR="00047ECE" w:rsidRDefault="00047ECE" w:rsidP="00047ECE">
      <w:pPr>
        <w:pStyle w:val="Caption"/>
        <w:spacing w:after="0" w:line="276" w:lineRule="auto"/>
      </w:pPr>
      <w:r w:rsidRPr="00046EF3">
        <w:rPr>
          <w:noProof/>
          <w:lang w:val="en-US"/>
        </w:rPr>
        <w:drawing>
          <wp:inline distT="0" distB="0" distL="0" distR="0">
            <wp:extent cx="5894875" cy="1929092"/>
            <wp:effectExtent l="19050" t="0" r="10625" b="0"/>
            <wp:docPr id="40"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047ECE" w:rsidRPr="00DE6626" w:rsidRDefault="00047ECE" w:rsidP="00047ECE">
      <w:pPr>
        <w:rPr>
          <w:sz w:val="16"/>
          <w:szCs w:val="16"/>
          <w:lang w:val="en-US"/>
        </w:rPr>
      </w:pPr>
      <w:r w:rsidRPr="00BE5C22">
        <w:rPr>
          <w:sz w:val="16"/>
          <w:szCs w:val="16"/>
          <w:lang w:val="en-US"/>
        </w:rPr>
        <w:t xml:space="preserve">Source: Ministry of Education </w:t>
      </w:r>
      <w:r>
        <w:rPr>
          <w:sz w:val="16"/>
          <w:szCs w:val="16"/>
          <w:lang w:val="en-US"/>
        </w:rPr>
        <w:t>–</w:t>
      </w:r>
      <w:r w:rsidRPr="00BE5C22">
        <w:rPr>
          <w:sz w:val="16"/>
          <w:szCs w:val="16"/>
          <w:lang w:val="en-US"/>
        </w:rPr>
        <w:t xml:space="preserve"> </w:t>
      </w:r>
      <w:r>
        <w:rPr>
          <w:sz w:val="16"/>
          <w:szCs w:val="16"/>
          <w:lang w:val="en-US"/>
        </w:rPr>
        <w:t>ESCALE.</w:t>
      </w:r>
      <w:r w:rsidRPr="00BE5C22">
        <w:rPr>
          <w:sz w:val="16"/>
          <w:szCs w:val="16"/>
          <w:lang w:val="en-US"/>
        </w:rPr>
        <w:t xml:space="preserve"> </w:t>
      </w:r>
    </w:p>
    <w:p w:rsidR="00047ECE" w:rsidRDefault="00047ECE" w:rsidP="00047ECE">
      <w:pPr>
        <w:pStyle w:val="Caption"/>
        <w:spacing w:after="0"/>
        <w:jc w:val="center"/>
        <w:rPr>
          <w:sz w:val="22"/>
          <w:szCs w:val="22"/>
          <w:lang w:val="en-US"/>
        </w:rPr>
      </w:pPr>
    </w:p>
    <w:p w:rsidR="00047ECE" w:rsidRPr="001A5253" w:rsidRDefault="007E56CB" w:rsidP="00047ECE">
      <w:pPr>
        <w:pStyle w:val="Caption"/>
        <w:spacing w:after="0"/>
        <w:jc w:val="center"/>
        <w:rPr>
          <w:sz w:val="22"/>
          <w:szCs w:val="22"/>
          <w:lang w:val="en-US"/>
        </w:rPr>
      </w:pPr>
      <w:r>
        <w:rPr>
          <w:sz w:val="22"/>
          <w:szCs w:val="22"/>
          <w:lang w:val="en-US"/>
        </w:rPr>
        <w:t>Figure B.8</w:t>
      </w:r>
      <w:r w:rsidR="00047ECE" w:rsidRPr="001A5253">
        <w:rPr>
          <w:sz w:val="22"/>
          <w:szCs w:val="22"/>
          <w:lang w:val="en-US"/>
        </w:rPr>
        <w:t xml:space="preserve">: </w:t>
      </w:r>
      <w:r w:rsidR="00047ECE">
        <w:rPr>
          <w:sz w:val="22"/>
          <w:szCs w:val="22"/>
          <w:lang w:val="en-US"/>
        </w:rPr>
        <w:t>Secondary</w:t>
      </w:r>
      <w:r w:rsidR="00047ECE" w:rsidRPr="001A5253">
        <w:rPr>
          <w:sz w:val="22"/>
          <w:szCs w:val="22"/>
          <w:lang w:val="en-US"/>
        </w:rPr>
        <w:t xml:space="preserve"> repetition rate, by regions and type of school (2007)</w:t>
      </w:r>
    </w:p>
    <w:p w:rsidR="00047ECE" w:rsidRDefault="00047ECE" w:rsidP="00047ECE">
      <w:pPr>
        <w:spacing w:after="0"/>
        <w:jc w:val="center"/>
      </w:pPr>
      <w:r w:rsidRPr="00046EF3">
        <w:rPr>
          <w:noProof/>
          <w:lang w:val="en-US"/>
        </w:rPr>
        <w:drawing>
          <wp:inline distT="0" distB="0" distL="0" distR="0">
            <wp:extent cx="5400040" cy="2288633"/>
            <wp:effectExtent l="19050" t="0" r="10160" b="0"/>
            <wp:docPr id="44"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047ECE" w:rsidRPr="00DE6626" w:rsidRDefault="00047ECE" w:rsidP="00047ECE">
      <w:pPr>
        <w:rPr>
          <w:sz w:val="16"/>
          <w:szCs w:val="16"/>
          <w:lang w:val="en-US"/>
        </w:rPr>
      </w:pPr>
      <w:r w:rsidRPr="00BE5C22">
        <w:rPr>
          <w:sz w:val="16"/>
          <w:szCs w:val="16"/>
          <w:lang w:val="en-US"/>
        </w:rPr>
        <w:t xml:space="preserve">Source: Ministry of Education </w:t>
      </w:r>
      <w:r>
        <w:rPr>
          <w:sz w:val="16"/>
          <w:szCs w:val="16"/>
          <w:lang w:val="en-US"/>
        </w:rPr>
        <w:t>–</w:t>
      </w:r>
      <w:r w:rsidRPr="00BE5C22">
        <w:rPr>
          <w:sz w:val="16"/>
          <w:szCs w:val="16"/>
          <w:lang w:val="en-US"/>
        </w:rPr>
        <w:t xml:space="preserve"> </w:t>
      </w:r>
      <w:r>
        <w:rPr>
          <w:sz w:val="16"/>
          <w:szCs w:val="16"/>
          <w:lang w:val="en-US"/>
        </w:rPr>
        <w:t>ESCALE.</w:t>
      </w:r>
      <w:r w:rsidRPr="00BE5C22">
        <w:rPr>
          <w:sz w:val="16"/>
          <w:szCs w:val="16"/>
          <w:lang w:val="en-US"/>
        </w:rPr>
        <w:t xml:space="preserve"> </w:t>
      </w:r>
    </w:p>
    <w:p w:rsidR="0013220E" w:rsidRDefault="0013220E" w:rsidP="009315FC">
      <w:pPr>
        <w:pStyle w:val="Caption"/>
        <w:spacing w:after="0"/>
        <w:jc w:val="center"/>
        <w:rPr>
          <w:sz w:val="22"/>
          <w:szCs w:val="22"/>
          <w:lang w:val="en-US"/>
        </w:rPr>
      </w:pPr>
    </w:p>
    <w:p w:rsidR="00047ECE" w:rsidRDefault="00047ECE" w:rsidP="009315FC">
      <w:pPr>
        <w:pStyle w:val="Caption"/>
        <w:spacing w:after="0"/>
        <w:jc w:val="center"/>
        <w:rPr>
          <w:sz w:val="22"/>
          <w:szCs w:val="22"/>
          <w:lang w:val="en-US"/>
        </w:rPr>
      </w:pPr>
    </w:p>
    <w:p w:rsidR="00047ECE" w:rsidRDefault="00047ECE" w:rsidP="009315FC">
      <w:pPr>
        <w:pStyle w:val="Caption"/>
        <w:spacing w:after="0"/>
        <w:jc w:val="center"/>
        <w:rPr>
          <w:sz w:val="22"/>
          <w:szCs w:val="22"/>
          <w:lang w:val="en-US"/>
        </w:rPr>
      </w:pPr>
    </w:p>
    <w:p w:rsidR="00047ECE" w:rsidRPr="007E56CB" w:rsidRDefault="007E56CB" w:rsidP="007E56CB">
      <w:pPr>
        <w:pStyle w:val="Caption"/>
        <w:spacing w:after="0"/>
        <w:jc w:val="center"/>
        <w:rPr>
          <w:sz w:val="22"/>
          <w:szCs w:val="22"/>
          <w:lang w:val="en-US"/>
        </w:rPr>
      </w:pPr>
      <w:r w:rsidRPr="007E56CB">
        <w:rPr>
          <w:sz w:val="22"/>
          <w:szCs w:val="22"/>
          <w:lang w:val="en-US"/>
        </w:rPr>
        <w:lastRenderedPageBreak/>
        <w:t>Figure B.9</w:t>
      </w:r>
      <w:r w:rsidR="00047ECE" w:rsidRPr="007E56CB">
        <w:rPr>
          <w:sz w:val="22"/>
          <w:szCs w:val="22"/>
          <w:lang w:val="en-US"/>
        </w:rPr>
        <w:t>:</w:t>
      </w:r>
      <w:r w:rsidRPr="007E56CB">
        <w:rPr>
          <w:sz w:val="22"/>
          <w:szCs w:val="22"/>
          <w:lang w:val="en-US"/>
        </w:rPr>
        <w:t xml:space="preserve"> Completion rate, by facility level, poverty index and area</w:t>
      </w:r>
      <w:r w:rsidR="00047ECE" w:rsidRPr="007E56CB">
        <w:rPr>
          <w:sz w:val="22"/>
          <w:szCs w:val="22"/>
          <w:lang w:val="en-US"/>
        </w:rPr>
        <w:t xml:space="preserve"> (2007)</w:t>
      </w:r>
    </w:p>
    <w:p w:rsidR="00047ECE" w:rsidRDefault="00047ECE" w:rsidP="007E56CB">
      <w:pPr>
        <w:spacing w:after="0"/>
      </w:pPr>
      <w:r w:rsidRPr="000436CF">
        <w:rPr>
          <w:noProof/>
          <w:lang w:val="en-US"/>
        </w:rPr>
        <w:drawing>
          <wp:inline distT="0" distB="0" distL="0" distR="0">
            <wp:extent cx="2551622" cy="2234241"/>
            <wp:effectExtent l="19050" t="0" r="20128" b="0"/>
            <wp:docPr id="46"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r w:rsidRPr="00F207D7">
        <w:rPr>
          <w:noProof/>
          <w:lang w:val="en-US"/>
        </w:rPr>
        <w:drawing>
          <wp:inline distT="0" distB="0" distL="0" distR="0">
            <wp:extent cx="2546649" cy="2229796"/>
            <wp:effectExtent l="19050" t="0" r="25101" b="0"/>
            <wp:docPr id="47"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7E56CB" w:rsidRPr="00DE6626" w:rsidRDefault="007E56CB" w:rsidP="007E56CB">
      <w:pPr>
        <w:rPr>
          <w:sz w:val="16"/>
          <w:szCs w:val="16"/>
          <w:lang w:val="en-US"/>
        </w:rPr>
      </w:pPr>
      <w:r w:rsidRPr="00BE5C22">
        <w:rPr>
          <w:sz w:val="16"/>
          <w:szCs w:val="16"/>
          <w:lang w:val="en-US"/>
        </w:rPr>
        <w:t xml:space="preserve">Source: Ministry of Education </w:t>
      </w:r>
      <w:r>
        <w:rPr>
          <w:sz w:val="16"/>
          <w:szCs w:val="16"/>
          <w:lang w:val="en-US"/>
        </w:rPr>
        <w:t>–</w:t>
      </w:r>
      <w:r w:rsidRPr="00BE5C22">
        <w:rPr>
          <w:sz w:val="16"/>
          <w:szCs w:val="16"/>
          <w:lang w:val="en-US"/>
        </w:rPr>
        <w:t xml:space="preserve"> </w:t>
      </w:r>
      <w:r>
        <w:rPr>
          <w:sz w:val="16"/>
          <w:szCs w:val="16"/>
          <w:lang w:val="en-US"/>
        </w:rPr>
        <w:t>ESCALE.</w:t>
      </w:r>
      <w:r w:rsidRPr="00BE5C22">
        <w:rPr>
          <w:sz w:val="16"/>
          <w:szCs w:val="16"/>
          <w:lang w:val="en-US"/>
        </w:rPr>
        <w:t xml:space="preserve"> </w:t>
      </w:r>
    </w:p>
    <w:p w:rsidR="007E56CB" w:rsidRPr="004E7B3D" w:rsidRDefault="007E56CB" w:rsidP="007E56CB">
      <w:pPr>
        <w:pStyle w:val="Caption"/>
        <w:spacing w:after="0"/>
        <w:jc w:val="center"/>
        <w:rPr>
          <w:sz w:val="22"/>
          <w:szCs w:val="22"/>
          <w:lang w:val="en-US"/>
        </w:rPr>
      </w:pPr>
      <w:r>
        <w:rPr>
          <w:sz w:val="22"/>
          <w:szCs w:val="22"/>
          <w:lang w:val="en-US"/>
        </w:rPr>
        <w:t>Figure B.10</w:t>
      </w:r>
      <w:r w:rsidRPr="004E7B3D">
        <w:rPr>
          <w:sz w:val="22"/>
          <w:szCs w:val="22"/>
          <w:lang w:val="en-US"/>
        </w:rPr>
        <w:t>: Completion rate, by facility level, age range and sex (2007)</w:t>
      </w:r>
    </w:p>
    <w:p w:rsidR="007E56CB" w:rsidRPr="00046EF3" w:rsidRDefault="007E56CB" w:rsidP="007E56CB">
      <w:pPr>
        <w:spacing w:after="0"/>
        <w:jc w:val="center"/>
      </w:pPr>
      <w:r w:rsidRPr="00046EF3">
        <w:rPr>
          <w:noProof/>
          <w:lang w:val="en-US"/>
        </w:rPr>
        <w:drawing>
          <wp:inline distT="0" distB="0" distL="0" distR="0">
            <wp:extent cx="3527305" cy="2225615"/>
            <wp:effectExtent l="19050" t="0" r="15995" b="3235"/>
            <wp:docPr id="5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7E56CB" w:rsidRPr="00DE6626" w:rsidRDefault="007E56CB" w:rsidP="007E56CB">
      <w:pPr>
        <w:ind w:firstLine="708"/>
        <w:rPr>
          <w:sz w:val="16"/>
          <w:szCs w:val="16"/>
          <w:lang w:val="en-US"/>
        </w:rPr>
      </w:pPr>
      <w:bookmarkStart w:id="41" w:name="OLE_LINK9"/>
      <w:bookmarkStart w:id="42" w:name="OLE_LINK10"/>
      <w:r w:rsidRPr="00BE5C22">
        <w:rPr>
          <w:sz w:val="16"/>
          <w:szCs w:val="16"/>
          <w:lang w:val="en-US"/>
        </w:rPr>
        <w:t xml:space="preserve">Source: Ministry of Education </w:t>
      </w:r>
      <w:r>
        <w:rPr>
          <w:sz w:val="16"/>
          <w:szCs w:val="16"/>
          <w:lang w:val="en-US"/>
        </w:rPr>
        <w:t>–</w:t>
      </w:r>
      <w:r w:rsidRPr="00BE5C22">
        <w:rPr>
          <w:sz w:val="16"/>
          <w:szCs w:val="16"/>
          <w:lang w:val="en-US"/>
        </w:rPr>
        <w:t xml:space="preserve"> </w:t>
      </w:r>
      <w:r>
        <w:rPr>
          <w:sz w:val="16"/>
          <w:szCs w:val="16"/>
          <w:lang w:val="en-US"/>
        </w:rPr>
        <w:t>ESCALE.</w:t>
      </w:r>
      <w:r w:rsidRPr="00BE5C22">
        <w:rPr>
          <w:sz w:val="16"/>
          <w:szCs w:val="16"/>
          <w:lang w:val="en-US"/>
        </w:rPr>
        <w:t xml:space="preserve"> </w:t>
      </w:r>
    </w:p>
    <w:bookmarkEnd w:id="41"/>
    <w:bookmarkEnd w:id="42"/>
    <w:p w:rsidR="007E56CB" w:rsidRDefault="007E56CB" w:rsidP="007E56CB">
      <w:pPr>
        <w:pStyle w:val="Caption"/>
        <w:spacing w:after="0"/>
        <w:jc w:val="center"/>
        <w:rPr>
          <w:sz w:val="22"/>
          <w:szCs w:val="22"/>
          <w:lang w:val="en-US"/>
        </w:rPr>
      </w:pPr>
    </w:p>
    <w:p w:rsidR="007E56CB" w:rsidRPr="0042088B" w:rsidRDefault="007E56CB" w:rsidP="007E56CB">
      <w:pPr>
        <w:pStyle w:val="Caption"/>
        <w:spacing w:after="0"/>
        <w:jc w:val="center"/>
        <w:rPr>
          <w:sz w:val="22"/>
          <w:szCs w:val="22"/>
          <w:lang w:val="en-US"/>
        </w:rPr>
      </w:pPr>
      <w:r w:rsidRPr="0042088B">
        <w:rPr>
          <w:sz w:val="22"/>
          <w:szCs w:val="22"/>
          <w:lang w:val="en-US"/>
        </w:rPr>
        <w:t>Figure B.1</w:t>
      </w:r>
      <w:r>
        <w:rPr>
          <w:sz w:val="22"/>
          <w:szCs w:val="22"/>
          <w:lang w:val="en-US"/>
        </w:rPr>
        <w:t>1</w:t>
      </w:r>
      <w:r w:rsidRPr="0042088B">
        <w:rPr>
          <w:sz w:val="22"/>
          <w:szCs w:val="22"/>
          <w:lang w:val="en-US"/>
        </w:rPr>
        <w:t xml:space="preserve">: </w:t>
      </w:r>
      <w:r>
        <w:rPr>
          <w:sz w:val="22"/>
          <w:szCs w:val="22"/>
          <w:lang w:val="en-US"/>
        </w:rPr>
        <w:t>Primary completion rate</w:t>
      </w:r>
      <w:r w:rsidRPr="0042088B">
        <w:rPr>
          <w:sz w:val="22"/>
          <w:szCs w:val="22"/>
          <w:lang w:val="en-US"/>
        </w:rPr>
        <w:t>, by age range and region (2007)</w:t>
      </w:r>
    </w:p>
    <w:p w:rsidR="007E56CB" w:rsidRDefault="007E56CB" w:rsidP="007E56CB">
      <w:pPr>
        <w:spacing w:after="0"/>
      </w:pPr>
      <w:r w:rsidRPr="00046EF3">
        <w:rPr>
          <w:noProof/>
          <w:lang w:val="en-US"/>
        </w:rPr>
        <w:drawing>
          <wp:inline distT="0" distB="0" distL="0" distR="0">
            <wp:extent cx="5400040" cy="2594824"/>
            <wp:effectExtent l="19050" t="0" r="10160" b="0"/>
            <wp:docPr id="48"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7E56CB" w:rsidRPr="00DE6626" w:rsidRDefault="007E56CB" w:rsidP="007E56CB">
      <w:pPr>
        <w:rPr>
          <w:sz w:val="16"/>
          <w:szCs w:val="16"/>
          <w:lang w:val="en-US"/>
        </w:rPr>
      </w:pPr>
      <w:r w:rsidRPr="00BE5C22">
        <w:rPr>
          <w:sz w:val="16"/>
          <w:szCs w:val="16"/>
          <w:lang w:val="en-US"/>
        </w:rPr>
        <w:t xml:space="preserve">Source: Ministry of Education </w:t>
      </w:r>
      <w:r>
        <w:rPr>
          <w:sz w:val="16"/>
          <w:szCs w:val="16"/>
          <w:lang w:val="en-US"/>
        </w:rPr>
        <w:t>–</w:t>
      </w:r>
      <w:r w:rsidRPr="00BE5C22">
        <w:rPr>
          <w:sz w:val="16"/>
          <w:szCs w:val="16"/>
          <w:lang w:val="en-US"/>
        </w:rPr>
        <w:t xml:space="preserve"> </w:t>
      </w:r>
      <w:r>
        <w:rPr>
          <w:sz w:val="16"/>
          <w:szCs w:val="16"/>
          <w:lang w:val="en-US"/>
        </w:rPr>
        <w:t>ESCALE.</w:t>
      </w:r>
      <w:r w:rsidRPr="00BE5C22">
        <w:rPr>
          <w:sz w:val="16"/>
          <w:szCs w:val="16"/>
          <w:lang w:val="en-US"/>
        </w:rPr>
        <w:t xml:space="preserve"> </w:t>
      </w:r>
    </w:p>
    <w:p w:rsidR="00D60C7A" w:rsidRDefault="00D60C7A" w:rsidP="007E56CB">
      <w:pPr>
        <w:pStyle w:val="Caption"/>
        <w:spacing w:after="0"/>
        <w:jc w:val="center"/>
        <w:rPr>
          <w:sz w:val="22"/>
          <w:szCs w:val="22"/>
          <w:lang w:val="en-US"/>
        </w:rPr>
      </w:pPr>
    </w:p>
    <w:p w:rsidR="00D60C7A" w:rsidRDefault="00D60C7A" w:rsidP="007E56CB">
      <w:pPr>
        <w:pStyle w:val="Caption"/>
        <w:spacing w:after="0"/>
        <w:jc w:val="center"/>
        <w:rPr>
          <w:sz w:val="22"/>
          <w:szCs w:val="22"/>
          <w:lang w:val="en-US"/>
        </w:rPr>
      </w:pPr>
    </w:p>
    <w:p w:rsidR="007E56CB" w:rsidRPr="00F856E7" w:rsidRDefault="007E56CB" w:rsidP="007E56CB">
      <w:pPr>
        <w:pStyle w:val="Caption"/>
        <w:spacing w:after="0"/>
        <w:jc w:val="center"/>
        <w:rPr>
          <w:sz w:val="22"/>
          <w:szCs w:val="22"/>
          <w:lang w:val="en-US"/>
        </w:rPr>
      </w:pPr>
      <w:r w:rsidRPr="00F856E7">
        <w:rPr>
          <w:sz w:val="22"/>
          <w:szCs w:val="22"/>
          <w:lang w:val="en-US"/>
        </w:rPr>
        <w:t>Figure B.1</w:t>
      </w:r>
      <w:r>
        <w:rPr>
          <w:sz w:val="22"/>
          <w:szCs w:val="22"/>
          <w:lang w:val="en-US"/>
        </w:rPr>
        <w:t>2</w:t>
      </w:r>
      <w:r w:rsidRPr="00F856E7">
        <w:rPr>
          <w:sz w:val="22"/>
          <w:szCs w:val="22"/>
          <w:lang w:val="en-US"/>
        </w:rPr>
        <w:t>: Secondary completion rate, by age range and regions (2007)</w:t>
      </w:r>
    </w:p>
    <w:p w:rsidR="007E56CB" w:rsidRDefault="007E56CB" w:rsidP="007E56CB">
      <w:pPr>
        <w:spacing w:after="0"/>
      </w:pPr>
      <w:r w:rsidRPr="00046EF3">
        <w:rPr>
          <w:noProof/>
          <w:lang w:val="en-US"/>
        </w:rPr>
        <w:drawing>
          <wp:inline distT="0" distB="0" distL="0" distR="0">
            <wp:extent cx="5400040" cy="2559759"/>
            <wp:effectExtent l="19050" t="0" r="10160" b="0"/>
            <wp:docPr id="49"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7E56CB" w:rsidRPr="00DE6626" w:rsidRDefault="007E56CB" w:rsidP="007E56CB">
      <w:pPr>
        <w:rPr>
          <w:sz w:val="16"/>
          <w:szCs w:val="16"/>
          <w:lang w:val="en-US"/>
        </w:rPr>
      </w:pPr>
      <w:r w:rsidRPr="00BE5C22">
        <w:rPr>
          <w:sz w:val="16"/>
          <w:szCs w:val="16"/>
          <w:lang w:val="en-US"/>
        </w:rPr>
        <w:t xml:space="preserve">Source: Ministry of Education </w:t>
      </w:r>
      <w:r>
        <w:rPr>
          <w:sz w:val="16"/>
          <w:szCs w:val="16"/>
          <w:lang w:val="en-US"/>
        </w:rPr>
        <w:t>–</w:t>
      </w:r>
      <w:r w:rsidRPr="00BE5C22">
        <w:rPr>
          <w:sz w:val="16"/>
          <w:szCs w:val="16"/>
          <w:lang w:val="en-US"/>
        </w:rPr>
        <w:t xml:space="preserve"> </w:t>
      </w:r>
      <w:r>
        <w:rPr>
          <w:sz w:val="16"/>
          <w:szCs w:val="16"/>
          <w:lang w:val="en-US"/>
        </w:rPr>
        <w:t>ESCALE.</w:t>
      </w:r>
      <w:r w:rsidRPr="00BE5C22">
        <w:rPr>
          <w:sz w:val="16"/>
          <w:szCs w:val="16"/>
          <w:lang w:val="en-US"/>
        </w:rPr>
        <w:t xml:space="preserve"> </w:t>
      </w:r>
    </w:p>
    <w:p w:rsidR="007E56CB" w:rsidRDefault="007E56CB" w:rsidP="007E56CB">
      <w:pPr>
        <w:pStyle w:val="Caption"/>
        <w:spacing w:after="0"/>
        <w:jc w:val="center"/>
        <w:rPr>
          <w:sz w:val="22"/>
          <w:szCs w:val="22"/>
          <w:lang w:val="en-US"/>
        </w:rPr>
      </w:pPr>
    </w:p>
    <w:p w:rsidR="001204DF" w:rsidRPr="001204DF" w:rsidRDefault="00D62861" w:rsidP="009315FC">
      <w:pPr>
        <w:pStyle w:val="Caption"/>
        <w:spacing w:after="0"/>
        <w:jc w:val="center"/>
        <w:rPr>
          <w:sz w:val="22"/>
          <w:szCs w:val="22"/>
          <w:lang w:val="en-US"/>
        </w:rPr>
      </w:pPr>
      <w:r w:rsidRPr="001204DF">
        <w:rPr>
          <w:sz w:val="22"/>
          <w:szCs w:val="22"/>
          <w:lang w:val="en-US"/>
        </w:rPr>
        <w:t>Figure B.</w:t>
      </w:r>
      <w:r w:rsidR="007E56CB">
        <w:rPr>
          <w:sz w:val="22"/>
          <w:szCs w:val="22"/>
          <w:lang w:val="en-US"/>
        </w:rPr>
        <w:t>13</w:t>
      </w:r>
      <w:r w:rsidR="003162A9" w:rsidRPr="001204DF">
        <w:rPr>
          <w:sz w:val="22"/>
          <w:szCs w:val="22"/>
          <w:lang w:val="en-US"/>
        </w:rPr>
        <w:t xml:space="preserve">: </w:t>
      </w:r>
      <w:r w:rsidR="00513AC5">
        <w:rPr>
          <w:sz w:val="22"/>
          <w:szCs w:val="22"/>
          <w:lang w:val="en-US"/>
        </w:rPr>
        <w:t xml:space="preserve">Math </w:t>
      </w:r>
      <w:r w:rsidR="001204DF" w:rsidRPr="001204DF">
        <w:rPr>
          <w:sz w:val="22"/>
          <w:szCs w:val="22"/>
          <w:lang w:val="en-US"/>
        </w:rPr>
        <w:t xml:space="preserve">Learning Performance </w:t>
      </w:r>
      <w:r w:rsidR="006C77FA" w:rsidRPr="001204DF">
        <w:rPr>
          <w:sz w:val="22"/>
          <w:szCs w:val="22"/>
          <w:lang w:val="en-US"/>
        </w:rPr>
        <w:t>Comparison</w:t>
      </w:r>
      <w:r w:rsidR="001204DF">
        <w:rPr>
          <w:sz w:val="22"/>
          <w:szCs w:val="22"/>
          <w:lang w:val="en-US"/>
        </w:rPr>
        <w:t xml:space="preserve"> between regions, by level achieved,</w:t>
      </w:r>
      <w:r w:rsidR="00513AC5">
        <w:rPr>
          <w:sz w:val="22"/>
          <w:szCs w:val="22"/>
          <w:lang w:val="en-US"/>
        </w:rPr>
        <w:t xml:space="preserve"> </w:t>
      </w:r>
      <w:r w:rsidR="001204DF">
        <w:rPr>
          <w:sz w:val="22"/>
          <w:szCs w:val="22"/>
          <w:lang w:val="en-US"/>
        </w:rPr>
        <w:t>2008</w:t>
      </w:r>
    </w:p>
    <w:p w:rsidR="003162A9" w:rsidRDefault="003162A9" w:rsidP="0013220E">
      <w:pPr>
        <w:spacing w:after="0"/>
        <w:jc w:val="center"/>
        <w:rPr>
          <w:lang w:val="es-PE"/>
        </w:rPr>
      </w:pPr>
      <w:r w:rsidRPr="00F31DDD">
        <w:rPr>
          <w:noProof/>
          <w:lang w:val="en-US"/>
        </w:rPr>
        <w:drawing>
          <wp:inline distT="0" distB="0" distL="0" distR="0">
            <wp:extent cx="5921483" cy="2475781"/>
            <wp:effectExtent l="19050" t="0" r="22117" b="719"/>
            <wp:docPr id="14"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3162A9" w:rsidRPr="00862174" w:rsidRDefault="00F81B38" w:rsidP="00640AF6">
      <w:pPr>
        <w:rPr>
          <w:sz w:val="16"/>
          <w:szCs w:val="16"/>
          <w:lang w:val="en-US"/>
        </w:rPr>
      </w:pPr>
      <w:r w:rsidRPr="00BE5C22">
        <w:rPr>
          <w:sz w:val="16"/>
          <w:szCs w:val="16"/>
          <w:lang w:val="en-US"/>
        </w:rPr>
        <w:t>Source</w:t>
      </w:r>
      <w:r w:rsidR="003162A9" w:rsidRPr="00BE5C22">
        <w:rPr>
          <w:sz w:val="16"/>
          <w:szCs w:val="16"/>
          <w:lang w:val="en-US"/>
        </w:rPr>
        <w:t xml:space="preserve">: </w:t>
      </w:r>
      <w:r w:rsidRPr="00BE5C22">
        <w:rPr>
          <w:sz w:val="16"/>
          <w:szCs w:val="16"/>
          <w:lang w:val="en-US"/>
        </w:rPr>
        <w:t xml:space="preserve">Ministry of Education - </w:t>
      </w:r>
      <w:r w:rsidR="003162A9" w:rsidRPr="00BE5C22">
        <w:rPr>
          <w:sz w:val="16"/>
          <w:szCs w:val="16"/>
          <w:lang w:val="en-US"/>
        </w:rPr>
        <w:t xml:space="preserve">ECE 2008. </w:t>
      </w:r>
    </w:p>
    <w:p w:rsidR="003162A9" w:rsidRPr="00862174" w:rsidRDefault="003162A9" w:rsidP="00640AF6">
      <w:pPr>
        <w:rPr>
          <w:lang w:val="en-US"/>
        </w:rPr>
      </w:pPr>
    </w:p>
    <w:p w:rsidR="00E25DE7" w:rsidRPr="00862174" w:rsidRDefault="00E25DE7" w:rsidP="00640AF6">
      <w:pPr>
        <w:rPr>
          <w:b/>
          <w:bCs/>
          <w:color w:val="4F81BD" w:themeColor="accent1"/>
          <w:sz w:val="18"/>
          <w:szCs w:val="18"/>
          <w:lang w:val="en-US"/>
        </w:rPr>
      </w:pPr>
      <w:r w:rsidRPr="00862174">
        <w:rPr>
          <w:lang w:val="en-US"/>
        </w:rPr>
        <w:br w:type="page"/>
      </w:r>
    </w:p>
    <w:p w:rsidR="00513AC5" w:rsidRDefault="007E56CB" w:rsidP="00513AC5">
      <w:pPr>
        <w:pStyle w:val="Caption"/>
        <w:spacing w:after="0"/>
        <w:jc w:val="center"/>
        <w:rPr>
          <w:sz w:val="22"/>
          <w:szCs w:val="22"/>
          <w:lang w:val="en-US"/>
        </w:rPr>
      </w:pPr>
      <w:r>
        <w:rPr>
          <w:sz w:val="22"/>
          <w:szCs w:val="22"/>
          <w:lang w:val="en-US"/>
        </w:rPr>
        <w:lastRenderedPageBreak/>
        <w:t>Figure B.14</w:t>
      </w:r>
      <w:r w:rsidR="003162A9" w:rsidRPr="00513AC5">
        <w:rPr>
          <w:sz w:val="22"/>
          <w:szCs w:val="22"/>
          <w:lang w:val="en-US"/>
        </w:rPr>
        <w:t xml:space="preserve">: </w:t>
      </w:r>
      <w:r w:rsidR="00513AC5">
        <w:rPr>
          <w:sz w:val="22"/>
          <w:szCs w:val="22"/>
          <w:lang w:val="en-US"/>
        </w:rPr>
        <w:t xml:space="preserve">Reading </w:t>
      </w:r>
      <w:r w:rsidR="00513AC5" w:rsidRPr="001204DF">
        <w:rPr>
          <w:sz w:val="22"/>
          <w:szCs w:val="22"/>
          <w:lang w:val="en-US"/>
        </w:rPr>
        <w:t>Learning Performance Comparison</w:t>
      </w:r>
      <w:r w:rsidR="00513AC5">
        <w:rPr>
          <w:sz w:val="22"/>
          <w:szCs w:val="22"/>
          <w:lang w:val="en-US"/>
        </w:rPr>
        <w:t xml:space="preserve"> between regions by level achieved, 2008</w:t>
      </w:r>
    </w:p>
    <w:p w:rsidR="003162A9" w:rsidRDefault="003162A9" w:rsidP="00513AC5">
      <w:pPr>
        <w:pStyle w:val="Caption"/>
        <w:spacing w:after="0"/>
        <w:jc w:val="center"/>
        <w:rPr>
          <w:lang w:val="es-PE"/>
        </w:rPr>
      </w:pPr>
      <w:r w:rsidRPr="00F31DDD">
        <w:rPr>
          <w:noProof/>
          <w:lang w:val="en-US"/>
        </w:rPr>
        <w:drawing>
          <wp:inline distT="0" distB="0" distL="0" distR="0">
            <wp:extent cx="5812407" cy="2596551"/>
            <wp:effectExtent l="19050" t="0" r="16893" b="0"/>
            <wp:docPr id="3"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DE6626" w:rsidRPr="00DE6626" w:rsidRDefault="00DE6626" w:rsidP="00DE6626">
      <w:pPr>
        <w:rPr>
          <w:sz w:val="16"/>
          <w:szCs w:val="16"/>
          <w:lang w:val="en-US"/>
        </w:rPr>
      </w:pPr>
      <w:r w:rsidRPr="00BE5C22">
        <w:rPr>
          <w:sz w:val="16"/>
          <w:szCs w:val="16"/>
          <w:lang w:val="en-US"/>
        </w:rPr>
        <w:t xml:space="preserve">Source: Ministry of Education - ECE 2008. </w:t>
      </w:r>
    </w:p>
    <w:p w:rsidR="00D60C7A" w:rsidRDefault="00D60C7A" w:rsidP="00475B3C">
      <w:pPr>
        <w:pStyle w:val="Caption"/>
        <w:spacing w:after="0"/>
        <w:jc w:val="center"/>
        <w:rPr>
          <w:sz w:val="22"/>
          <w:szCs w:val="22"/>
          <w:lang w:val="en-US"/>
        </w:rPr>
      </w:pPr>
    </w:p>
    <w:p w:rsidR="00D60C7A" w:rsidRDefault="00D60C7A" w:rsidP="00475B3C">
      <w:pPr>
        <w:pStyle w:val="Caption"/>
        <w:spacing w:after="0"/>
        <w:jc w:val="center"/>
        <w:rPr>
          <w:sz w:val="22"/>
          <w:szCs w:val="22"/>
          <w:lang w:val="en-US"/>
        </w:rPr>
      </w:pPr>
    </w:p>
    <w:p w:rsidR="00D60C7A" w:rsidRDefault="00D60C7A" w:rsidP="00475B3C">
      <w:pPr>
        <w:pStyle w:val="Caption"/>
        <w:spacing w:after="0"/>
        <w:jc w:val="center"/>
        <w:rPr>
          <w:sz w:val="22"/>
          <w:szCs w:val="22"/>
          <w:lang w:val="en-US"/>
        </w:rPr>
      </w:pPr>
    </w:p>
    <w:p w:rsidR="00475B3C" w:rsidRPr="009E2133" w:rsidRDefault="00475B3C" w:rsidP="00475B3C">
      <w:pPr>
        <w:pStyle w:val="Caption"/>
        <w:spacing w:after="0"/>
        <w:jc w:val="center"/>
        <w:rPr>
          <w:sz w:val="22"/>
          <w:szCs w:val="22"/>
          <w:lang w:val="en-US"/>
        </w:rPr>
      </w:pPr>
      <w:r w:rsidRPr="009E2133">
        <w:rPr>
          <w:sz w:val="22"/>
          <w:szCs w:val="22"/>
          <w:lang w:val="en-US"/>
        </w:rPr>
        <w:t>Figure B.</w:t>
      </w:r>
      <w:r w:rsidR="00CF5920">
        <w:rPr>
          <w:sz w:val="22"/>
          <w:szCs w:val="22"/>
          <w:lang w:val="en-US"/>
        </w:rPr>
        <w:t>15</w:t>
      </w:r>
      <w:r w:rsidRPr="009E2133">
        <w:rPr>
          <w:sz w:val="22"/>
          <w:szCs w:val="22"/>
          <w:lang w:val="en-US"/>
        </w:rPr>
        <w:t xml:space="preserve">: % of second-grade students who achieved level 2 on the ECE 2007, by </w:t>
      </w:r>
      <w:r>
        <w:rPr>
          <w:sz w:val="22"/>
          <w:szCs w:val="22"/>
          <w:lang w:val="en-US"/>
        </w:rPr>
        <w:t>region (2007)</w:t>
      </w:r>
    </w:p>
    <w:p w:rsidR="00475B3C" w:rsidRDefault="00475B3C" w:rsidP="00475B3C">
      <w:pPr>
        <w:spacing w:after="0"/>
      </w:pPr>
      <w:r w:rsidRPr="00687676">
        <w:rPr>
          <w:noProof/>
          <w:lang w:val="en-US"/>
        </w:rPr>
        <w:drawing>
          <wp:inline distT="0" distB="0" distL="0" distR="0">
            <wp:extent cx="5400040" cy="2265688"/>
            <wp:effectExtent l="19050" t="0" r="10160" b="1262"/>
            <wp:docPr id="55"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475B3C" w:rsidRPr="00DE6626" w:rsidRDefault="00475B3C" w:rsidP="00475B3C">
      <w:pPr>
        <w:rPr>
          <w:sz w:val="16"/>
          <w:szCs w:val="16"/>
          <w:lang w:val="en-US"/>
        </w:rPr>
      </w:pPr>
      <w:r w:rsidRPr="00BE5C22">
        <w:rPr>
          <w:sz w:val="16"/>
          <w:szCs w:val="16"/>
          <w:lang w:val="en-US"/>
        </w:rPr>
        <w:t xml:space="preserve">Source: Ministry of Education </w:t>
      </w:r>
      <w:r>
        <w:rPr>
          <w:sz w:val="16"/>
          <w:szCs w:val="16"/>
          <w:lang w:val="en-US"/>
        </w:rPr>
        <w:t>–</w:t>
      </w:r>
      <w:r w:rsidRPr="00BE5C22">
        <w:rPr>
          <w:sz w:val="16"/>
          <w:szCs w:val="16"/>
          <w:lang w:val="en-US"/>
        </w:rPr>
        <w:t xml:space="preserve"> </w:t>
      </w:r>
      <w:r>
        <w:rPr>
          <w:sz w:val="16"/>
          <w:szCs w:val="16"/>
          <w:lang w:val="en-US"/>
        </w:rPr>
        <w:t>ESCALE.</w:t>
      </w:r>
      <w:r w:rsidRPr="00BE5C22">
        <w:rPr>
          <w:sz w:val="16"/>
          <w:szCs w:val="16"/>
          <w:lang w:val="en-US"/>
        </w:rPr>
        <w:t xml:space="preserve"> </w:t>
      </w:r>
    </w:p>
    <w:p w:rsidR="00840555" w:rsidRDefault="00840555" w:rsidP="00840555">
      <w:pPr>
        <w:pStyle w:val="Caption"/>
        <w:spacing w:after="0"/>
        <w:jc w:val="center"/>
        <w:rPr>
          <w:sz w:val="22"/>
          <w:szCs w:val="22"/>
          <w:lang w:val="en-US"/>
        </w:rPr>
      </w:pPr>
    </w:p>
    <w:p w:rsidR="0049674C" w:rsidRDefault="0049674C">
      <w:pPr>
        <w:rPr>
          <w:b/>
          <w:bCs/>
          <w:color w:val="4F81BD" w:themeColor="accent1"/>
          <w:lang w:val="en-US"/>
        </w:rPr>
      </w:pPr>
      <w:r>
        <w:rPr>
          <w:lang w:val="en-US"/>
        </w:rPr>
        <w:br w:type="page"/>
      </w:r>
    </w:p>
    <w:p w:rsidR="006026F2" w:rsidRPr="006026F2" w:rsidRDefault="006026F2" w:rsidP="006026F2">
      <w:pPr>
        <w:pStyle w:val="Caption"/>
        <w:spacing w:after="0"/>
        <w:jc w:val="center"/>
        <w:rPr>
          <w:sz w:val="22"/>
          <w:szCs w:val="22"/>
          <w:lang w:val="en-US"/>
        </w:rPr>
      </w:pPr>
      <w:r w:rsidRPr="006026F2">
        <w:rPr>
          <w:sz w:val="22"/>
          <w:szCs w:val="22"/>
          <w:lang w:val="en-US"/>
        </w:rPr>
        <w:lastRenderedPageBreak/>
        <w:t>Figure B.</w:t>
      </w:r>
      <w:r w:rsidR="007E56CB">
        <w:rPr>
          <w:sz w:val="22"/>
          <w:szCs w:val="22"/>
          <w:lang w:val="en-US"/>
        </w:rPr>
        <w:t>1</w:t>
      </w:r>
      <w:r w:rsidR="00CF5920">
        <w:rPr>
          <w:sz w:val="22"/>
          <w:szCs w:val="22"/>
          <w:lang w:val="en-US"/>
        </w:rPr>
        <w:t>6</w:t>
      </w:r>
      <w:r w:rsidRPr="006026F2">
        <w:rPr>
          <w:sz w:val="22"/>
          <w:szCs w:val="22"/>
          <w:lang w:val="en-US"/>
        </w:rPr>
        <w:t xml:space="preserve">: </w:t>
      </w:r>
      <w:r>
        <w:rPr>
          <w:sz w:val="22"/>
          <w:szCs w:val="22"/>
          <w:lang w:val="en-US"/>
        </w:rPr>
        <w:t xml:space="preserve">Evolution of </w:t>
      </w:r>
      <w:r w:rsidRPr="006026F2">
        <w:rPr>
          <w:sz w:val="22"/>
          <w:szCs w:val="22"/>
          <w:lang w:val="en-US"/>
        </w:rPr>
        <w:t>Illiteracy rate above 15 year</w:t>
      </w:r>
      <w:r w:rsidR="008348F6">
        <w:rPr>
          <w:sz w:val="22"/>
          <w:szCs w:val="22"/>
          <w:lang w:val="en-US"/>
        </w:rPr>
        <w:t>-</w:t>
      </w:r>
      <w:r w:rsidRPr="006026F2">
        <w:rPr>
          <w:sz w:val="22"/>
          <w:szCs w:val="22"/>
          <w:lang w:val="en-US"/>
        </w:rPr>
        <w:t>old</w:t>
      </w:r>
      <w:r w:rsidR="008348F6">
        <w:rPr>
          <w:sz w:val="22"/>
          <w:szCs w:val="22"/>
          <w:lang w:val="en-US"/>
        </w:rPr>
        <w:t xml:space="preserve"> population</w:t>
      </w:r>
      <w:r w:rsidRPr="006026F2">
        <w:rPr>
          <w:sz w:val="22"/>
          <w:szCs w:val="22"/>
          <w:lang w:val="en-US"/>
        </w:rPr>
        <w:t>, by area</w:t>
      </w:r>
    </w:p>
    <w:p w:rsidR="00AF5D0D" w:rsidRPr="00E66D50" w:rsidRDefault="00AF5D0D" w:rsidP="006026F2">
      <w:pPr>
        <w:spacing w:after="0"/>
        <w:jc w:val="center"/>
      </w:pPr>
      <w:r w:rsidRPr="00084562">
        <w:rPr>
          <w:noProof/>
          <w:lang w:val="en-US"/>
        </w:rPr>
        <w:drawing>
          <wp:inline distT="0" distB="0" distL="0" distR="0">
            <wp:extent cx="5210175" cy="2038350"/>
            <wp:effectExtent l="19050" t="0" r="9525" b="0"/>
            <wp:docPr id="32"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6026F2" w:rsidRPr="00DE6626" w:rsidRDefault="006026F2" w:rsidP="006026F2">
      <w:pPr>
        <w:ind w:firstLine="708"/>
        <w:rPr>
          <w:sz w:val="16"/>
          <w:szCs w:val="16"/>
          <w:lang w:val="en-US"/>
        </w:rPr>
      </w:pPr>
      <w:bookmarkStart w:id="43" w:name="OLE_LINK3"/>
      <w:bookmarkStart w:id="44" w:name="OLE_LINK4"/>
      <w:r w:rsidRPr="00BE5C22">
        <w:rPr>
          <w:sz w:val="16"/>
          <w:szCs w:val="16"/>
          <w:lang w:val="en-US"/>
        </w:rPr>
        <w:t xml:space="preserve">Source: Ministry of Education </w:t>
      </w:r>
      <w:r>
        <w:rPr>
          <w:sz w:val="16"/>
          <w:szCs w:val="16"/>
          <w:lang w:val="en-US"/>
        </w:rPr>
        <w:t>–</w:t>
      </w:r>
      <w:r w:rsidRPr="00BE5C22">
        <w:rPr>
          <w:sz w:val="16"/>
          <w:szCs w:val="16"/>
          <w:lang w:val="en-US"/>
        </w:rPr>
        <w:t xml:space="preserve"> </w:t>
      </w:r>
      <w:r>
        <w:rPr>
          <w:sz w:val="16"/>
          <w:szCs w:val="16"/>
          <w:lang w:val="en-US"/>
        </w:rPr>
        <w:t>ESCALE.</w:t>
      </w:r>
      <w:r w:rsidRPr="00BE5C22">
        <w:rPr>
          <w:sz w:val="16"/>
          <w:szCs w:val="16"/>
          <w:lang w:val="en-US"/>
        </w:rPr>
        <w:t xml:space="preserve"> </w:t>
      </w:r>
    </w:p>
    <w:bookmarkEnd w:id="43"/>
    <w:bookmarkEnd w:id="44"/>
    <w:p w:rsidR="006026F2" w:rsidRPr="008348F6" w:rsidRDefault="008348F6" w:rsidP="008348F6">
      <w:pPr>
        <w:pStyle w:val="Caption"/>
        <w:spacing w:after="0"/>
        <w:jc w:val="center"/>
        <w:rPr>
          <w:sz w:val="22"/>
          <w:szCs w:val="22"/>
          <w:lang w:val="en-US"/>
        </w:rPr>
      </w:pPr>
      <w:r w:rsidRPr="008348F6">
        <w:rPr>
          <w:sz w:val="22"/>
          <w:szCs w:val="22"/>
          <w:lang w:val="en-US"/>
        </w:rPr>
        <w:t>Figure B.</w:t>
      </w:r>
      <w:r w:rsidR="00CF5920">
        <w:rPr>
          <w:sz w:val="22"/>
          <w:szCs w:val="22"/>
          <w:lang w:val="en-US"/>
        </w:rPr>
        <w:t>17</w:t>
      </w:r>
      <w:r w:rsidRPr="008348F6">
        <w:rPr>
          <w:sz w:val="22"/>
          <w:szCs w:val="22"/>
          <w:lang w:val="en-US"/>
        </w:rPr>
        <w:t>: Evolution of Illiteracy rate above 15 year-old population, by poverty index</w:t>
      </w:r>
    </w:p>
    <w:p w:rsidR="00AF5D0D" w:rsidRDefault="00AF5D0D" w:rsidP="008348F6">
      <w:pPr>
        <w:spacing w:after="0"/>
        <w:jc w:val="center"/>
      </w:pPr>
      <w:r w:rsidRPr="00084562">
        <w:rPr>
          <w:noProof/>
          <w:lang w:val="en-US"/>
        </w:rPr>
        <w:drawing>
          <wp:inline distT="0" distB="0" distL="0" distR="0">
            <wp:extent cx="4924425" cy="2162175"/>
            <wp:effectExtent l="19050" t="0" r="9525" b="0"/>
            <wp:docPr id="42"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8348F6" w:rsidRPr="00DE6626" w:rsidRDefault="008348F6" w:rsidP="008348F6">
      <w:pPr>
        <w:ind w:firstLine="708"/>
        <w:rPr>
          <w:sz w:val="16"/>
          <w:szCs w:val="16"/>
          <w:lang w:val="en-US"/>
        </w:rPr>
      </w:pPr>
      <w:bookmarkStart w:id="45" w:name="OLE_LINK5"/>
      <w:bookmarkStart w:id="46" w:name="OLE_LINK6"/>
      <w:r w:rsidRPr="00BE5C22">
        <w:rPr>
          <w:sz w:val="16"/>
          <w:szCs w:val="16"/>
          <w:lang w:val="en-US"/>
        </w:rPr>
        <w:t xml:space="preserve">Source: Ministry of Education </w:t>
      </w:r>
      <w:r>
        <w:rPr>
          <w:sz w:val="16"/>
          <w:szCs w:val="16"/>
          <w:lang w:val="en-US"/>
        </w:rPr>
        <w:t>–</w:t>
      </w:r>
      <w:r w:rsidRPr="00BE5C22">
        <w:rPr>
          <w:sz w:val="16"/>
          <w:szCs w:val="16"/>
          <w:lang w:val="en-US"/>
        </w:rPr>
        <w:t xml:space="preserve"> </w:t>
      </w:r>
      <w:r>
        <w:rPr>
          <w:sz w:val="16"/>
          <w:szCs w:val="16"/>
          <w:lang w:val="en-US"/>
        </w:rPr>
        <w:t>ESCALE.</w:t>
      </w:r>
      <w:r w:rsidRPr="00BE5C22">
        <w:rPr>
          <w:sz w:val="16"/>
          <w:szCs w:val="16"/>
          <w:lang w:val="en-US"/>
        </w:rPr>
        <w:t xml:space="preserve"> </w:t>
      </w:r>
    </w:p>
    <w:bookmarkEnd w:id="45"/>
    <w:bookmarkEnd w:id="46"/>
    <w:p w:rsidR="00475B3C" w:rsidRPr="00C622B7" w:rsidRDefault="0049674C" w:rsidP="00475B3C">
      <w:pPr>
        <w:pStyle w:val="Caption"/>
        <w:spacing w:after="0"/>
        <w:jc w:val="center"/>
        <w:rPr>
          <w:sz w:val="22"/>
          <w:szCs w:val="22"/>
          <w:lang w:val="en-US"/>
        </w:rPr>
      </w:pPr>
      <w:r>
        <w:rPr>
          <w:sz w:val="22"/>
          <w:szCs w:val="22"/>
          <w:lang w:val="en-US"/>
        </w:rPr>
        <w:t>Figure B.1</w:t>
      </w:r>
      <w:r w:rsidR="00CF5920">
        <w:rPr>
          <w:sz w:val="22"/>
          <w:szCs w:val="22"/>
          <w:lang w:val="en-US"/>
        </w:rPr>
        <w:t>8</w:t>
      </w:r>
      <w:r w:rsidR="00475B3C" w:rsidRPr="00C622B7">
        <w:rPr>
          <w:sz w:val="22"/>
          <w:szCs w:val="22"/>
          <w:lang w:val="en-US"/>
        </w:rPr>
        <w:t>: Illiteracy rate for population over 15 years old, by area and sex (2007)</w:t>
      </w:r>
    </w:p>
    <w:p w:rsidR="00475B3C" w:rsidRDefault="00475B3C" w:rsidP="00475B3C">
      <w:pPr>
        <w:spacing w:after="0"/>
        <w:jc w:val="center"/>
      </w:pPr>
      <w:r w:rsidRPr="00687676">
        <w:rPr>
          <w:noProof/>
          <w:lang w:val="en-US"/>
        </w:rPr>
        <w:drawing>
          <wp:inline distT="0" distB="0" distL="0" distR="0">
            <wp:extent cx="3952875" cy="1943100"/>
            <wp:effectExtent l="19050" t="0" r="9525" b="0"/>
            <wp:docPr id="52"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475B3C" w:rsidRPr="00DE6626" w:rsidRDefault="00475B3C" w:rsidP="00475B3C">
      <w:pPr>
        <w:ind w:firstLine="708"/>
        <w:rPr>
          <w:sz w:val="16"/>
          <w:szCs w:val="16"/>
          <w:lang w:val="en-US"/>
        </w:rPr>
      </w:pPr>
      <w:r w:rsidRPr="00BE5C22">
        <w:rPr>
          <w:sz w:val="16"/>
          <w:szCs w:val="16"/>
          <w:lang w:val="en-US"/>
        </w:rPr>
        <w:t xml:space="preserve">Source: Ministry of Education </w:t>
      </w:r>
      <w:r>
        <w:rPr>
          <w:sz w:val="16"/>
          <w:szCs w:val="16"/>
          <w:lang w:val="en-US"/>
        </w:rPr>
        <w:t>–</w:t>
      </w:r>
      <w:r w:rsidRPr="00BE5C22">
        <w:rPr>
          <w:sz w:val="16"/>
          <w:szCs w:val="16"/>
          <w:lang w:val="en-US"/>
        </w:rPr>
        <w:t xml:space="preserve"> </w:t>
      </w:r>
      <w:r>
        <w:rPr>
          <w:sz w:val="16"/>
          <w:szCs w:val="16"/>
          <w:lang w:val="en-US"/>
        </w:rPr>
        <w:t>ESCALE.</w:t>
      </w:r>
      <w:r w:rsidRPr="00BE5C22">
        <w:rPr>
          <w:sz w:val="16"/>
          <w:szCs w:val="16"/>
          <w:lang w:val="en-US"/>
        </w:rPr>
        <w:t xml:space="preserve"> </w:t>
      </w:r>
    </w:p>
    <w:p w:rsidR="00475B3C" w:rsidRDefault="00475B3C" w:rsidP="00475B3C">
      <w:pPr>
        <w:pStyle w:val="Caption"/>
        <w:spacing w:after="0"/>
        <w:jc w:val="center"/>
        <w:rPr>
          <w:sz w:val="22"/>
          <w:szCs w:val="22"/>
          <w:lang w:val="en-US"/>
        </w:rPr>
      </w:pPr>
    </w:p>
    <w:p w:rsidR="0049674C" w:rsidRDefault="0049674C">
      <w:pPr>
        <w:rPr>
          <w:b/>
          <w:bCs/>
          <w:color w:val="4F81BD" w:themeColor="accent1"/>
          <w:lang w:val="en-US"/>
        </w:rPr>
      </w:pPr>
      <w:r>
        <w:rPr>
          <w:lang w:val="en-US"/>
        </w:rPr>
        <w:br w:type="page"/>
      </w:r>
    </w:p>
    <w:p w:rsidR="00475B3C" w:rsidRPr="00C622B7" w:rsidRDefault="0049674C" w:rsidP="00475B3C">
      <w:pPr>
        <w:pStyle w:val="Caption"/>
        <w:spacing w:after="0"/>
        <w:jc w:val="center"/>
        <w:rPr>
          <w:sz w:val="22"/>
          <w:szCs w:val="22"/>
          <w:lang w:val="en-US"/>
        </w:rPr>
      </w:pPr>
      <w:r>
        <w:rPr>
          <w:sz w:val="22"/>
          <w:szCs w:val="22"/>
          <w:lang w:val="en-US"/>
        </w:rPr>
        <w:lastRenderedPageBreak/>
        <w:t>Figure B.</w:t>
      </w:r>
      <w:r w:rsidR="00CF5920">
        <w:rPr>
          <w:sz w:val="22"/>
          <w:szCs w:val="22"/>
          <w:lang w:val="en-US"/>
        </w:rPr>
        <w:t>19</w:t>
      </w:r>
      <w:r w:rsidR="00475B3C" w:rsidRPr="00C622B7">
        <w:rPr>
          <w:sz w:val="22"/>
          <w:szCs w:val="22"/>
          <w:lang w:val="en-US"/>
        </w:rPr>
        <w:t xml:space="preserve">: Illiteracy rate for population over 15 years old, </w:t>
      </w:r>
      <w:r w:rsidR="00475B3C">
        <w:rPr>
          <w:sz w:val="22"/>
          <w:szCs w:val="22"/>
          <w:lang w:val="en-US"/>
        </w:rPr>
        <w:t xml:space="preserve">region </w:t>
      </w:r>
      <w:r w:rsidR="00475B3C" w:rsidRPr="00C622B7">
        <w:rPr>
          <w:sz w:val="22"/>
          <w:szCs w:val="22"/>
          <w:lang w:val="en-US"/>
        </w:rPr>
        <w:t>(2007)</w:t>
      </w:r>
    </w:p>
    <w:p w:rsidR="00475B3C" w:rsidRDefault="00475B3C" w:rsidP="00475B3C">
      <w:pPr>
        <w:spacing w:after="0"/>
      </w:pPr>
      <w:r w:rsidRPr="00687676">
        <w:rPr>
          <w:noProof/>
          <w:lang w:val="en-US"/>
        </w:rPr>
        <w:drawing>
          <wp:inline distT="0" distB="0" distL="0" distR="0">
            <wp:extent cx="5396805" cy="2139351"/>
            <wp:effectExtent l="19050" t="0" r="13395" b="0"/>
            <wp:docPr id="53"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475B3C" w:rsidRPr="00DE6626" w:rsidRDefault="00475B3C" w:rsidP="00475B3C">
      <w:pPr>
        <w:rPr>
          <w:sz w:val="16"/>
          <w:szCs w:val="16"/>
          <w:lang w:val="en-US"/>
        </w:rPr>
      </w:pPr>
      <w:r w:rsidRPr="00BE5C22">
        <w:rPr>
          <w:sz w:val="16"/>
          <w:szCs w:val="16"/>
          <w:lang w:val="en-US"/>
        </w:rPr>
        <w:t xml:space="preserve">Source: Ministry of Education </w:t>
      </w:r>
      <w:r>
        <w:rPr>
          <w:sz w:val="16"/>
          <w:szCs w:val="16"/>
          <w:lang w:val="en-US"/>
        </w:rPr>
        <w:t>–</w:t>
      </w:r>
      <w:r w:rsidRPr="00BE5C22">
        <w:rPr>
          <w:sz w:val="16"/>
          <w:szCs w:val="16"/>
          <w:lang w:val="en-US"/>
        </w:rPr>
        <w:t xml:space="preserve"> </w:t>
      </w:r>
      <w:r>
        <w:rPr>
          <w:sz w:val="16"/>
          <w:szCs w:val="16"/>
          <w:lang w:val="en-US"/>
        </w:rPr>
        <w:t>ESCALE.</w:t>
      </w:r>
      <w:r w:rsidRPr="00BE5C22">
        <w:rPr>
          <w:sz w:val="16"/>
          <w:szCs w:val="16"/>
          <w:lang w:val="en-US"/>
        </w:rPr>
        <w:t xml:space="preserve"> </w:t>
      </w:r>
    </w:p>
    <w:p w:rsidR="00475B3C" w:rsidRDefault="00475B3C" w:rsidP="00475B3C">
      <w:pPr>
        <w:pStyle w:val="Caption"/>
        <w:spacing w:after="0"/>
        <w:jc w:val="center"/>
        <w:rPr>
          <w:sz w:val="22"/>
          <w:szCs w:val="22"/>
          <w:lang w:val="en-US"/>
        </w:rPr>
      </w:pPr>
    </w:p>
    <w:p w:rsidR="00EE4F10" w:rsidRPr="00C65372" w:rsidRDefault="0049674C" w:rsidP="00C65372">
      <w:pPr>
        <w:pStyle w:val="Caption"/>
        <w:spacing w:after="0"/>
        <w:jc w:val="center"/>
        <w:rPr>
          <w:sz w:val="22"/>
          <w:szCs w:val="22"/>
          <w:lang w:val="en-US"/>
        </w:rPr>
      </w:pPr>
      <w:r>
        <w:rPr>
          <w:sz w:val="22"/>
          <w:szCs w:val="22"/>
          <w:lang w:val="en-US"/>
        </w:rPr>
        <w:t>Figure B.</w:t>
      </w:r>
      <w:r w:rsidR="00CF5920">
        <w:rPr>
          <w:sz w:val="22"/>
          <w:szCs w:val="22"/>
          <w:lang w:val="en-US"/>
        </w:rPr>
        <w:t>20</w:t>
      </w:r>
      <w:r w:rsidR="00A05B47" w:rsidRPr="00C65372">
        <w:rPr>
          <w:sz w:val="22"/>
          <w:szCs w:val="22"/>
          <w:lang w:val="en-US"/>
        </w:rPr>
        <w:t>:</w:t>
      </w:r>
      <w:r w:rsidR="00C65372" w:rsidRPr="00C65372">
        <w:rPr>
          <w:sz w:val="22"/>
          <w:szCs w:val="22"/>
          <w:lang w:val="en-US"/>
        </w:rPr>
        <w:t xml:space="preserve"> Number of Preschool students per teacher, by region</w:t>
      </w:r>
    </w:p>
    <w:p w:rsidR="00CA6A5B" w:rsidRDefault="00CA6A5B" w:rsidP="00800F80">
      <w:pPr>
        <w:spacing w:after="0"/>
      </w:pPr>
      <w:r w:rsidRPr="00CA6A5B">
        <w:rPr>
          <w:noProof/>
          <w:lang w:val="en-US"/>
        </w:rPr>
        <w:drawing>
          <wp:inline distT="0" distB="0" distL="0" distR="0">
            <wp:extent cx="5400040" cy="2705100"/>
            <wp:effectExtent l="19050" t="0" r="10160" b="0"/>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800F80" w:rsidRPr="00DE6626" w:rsidRDefault="00800F80" w:rsidP="00800F80">
      <w:pPr>
        <w:rPr>
          <w:sz w:val="16"/>
          <w:szCs w:val="16"/>
          <w:lang w:val="en-US"/>
        </w:rPr>
      </w:pPr>
      <w:r w:rsidRPr="00BE5C22">
        <w:rPr>
          <w:sz w:val="16"/>
          <w:szCs w:val="16"/>
          <w:lang w:val="en-US"/>
        </w:rPr>
        <w:t xml:space="preserve">Source: Ministry of Education </w:t>
      </w:r>
      <w:r>
        <w:rPr>
          <w:sz w:val="16"/>
          <w:szCs w:val="16"/>
          <w:lang w:val="en-US"/>
        </w:rPr>
        <w:t>–</w:t>
      </w:r>
      <w:r w:rsidRPr="00BE5C22">
        <w:rPr>
          <w:sz w:val="16"/>
          <w:szCs w:val="16"/>
          <w:lang w:val="en-US"/>
        </w:rPr>
        <w:t xml:space="preserve"> </w:t>
      </w:r>
      <w:r>
        <w:rPr>
          <w:sz w:val="16"/>
          <w:szCs w:val="16"/>
          <w:lang w:val="en-US"/>
        </w:rPr>
        <w:t>ESCALE.</w:t>
      </w:r>
      <w:r w:rsidRPr="00BE5C22">
        <w:rPr>
          <w:sz w:val="16"/>
          <w:szCs w:val="16"/>
          <w:lang w:val="en-US"/>
        </w:rPr>
        <w:t xml:space="preserve"> </w:t>
      </w:r>
    </w:p>
    <w:p w:rsidR="00CA6A5B" w:rsidRPr="0049674C" w:rsidRDefault="00C65372" w:rsidP="0049674C">
      <w:pPr>
        <w:pStyle w:val="Caption"/>
        <w:spacing w:after="0"/>
        <w:jc w:val="center"/>
        <w:rPr>
          <w:lang w:val="en-US"/>
        </w:rPr>
      </w:pPr>
      <w:r w:rsidRPr="00C65372">
        <w:rPr>
          <w:sz w:val="22"/>
          <w:szCs w:val="22"/>
          <w:lang w:val="en-US"/>
        </w:rPr>
        <w:t>Figure B.</w:t>
      </w:r>
      <w:r w:rsidR="0049674C">
        <w:rPr>
          <w:sz w:val="22"/>
          <w:szCs w:val="22"/>
          <w:lang w:val="en-US"/>
        </w:rPr>
        <w:t>2</w:t>
      </w:r>
      <w:r w:rsidR="00CF5920">
        <w:rPr>
          <w:sz w:val="22"/>
          <w:szCs w:val="22"/>
          <w:lang w:val="en-US"/>
        </w:rPr>
        <w:t>1</w:t>
      </w:r>
      <w:r w:rsidRPr="00C65372">
        <w:rPr>
          <w:sz w:val="22"/>
          <w:szCs w:val="22"/>
          <w:lang w:val="en-US"/>
        </w:rPr>
        <w:t>: Number of Pr</w:t>
      </w:r>
      <w:r>
        <w:rPr>
          <w:sz w:val="22"/>
          <w:szCs w:val="22"/>
          <w:lang w:val="en-US"/>
        </w:rPr>
        <w:t>imary</w:t>
      </w:r>
      <w:r w:rsidRPr="00C65372">
        <w:rPr>
          <w:sz w:val="22"/>
          <w:szCs w:val="22"/>
          <w:lang w:val="en-US"/>
        </w:rPr>
        <w:t xml:space="preserve"> students per teacher, by region</w:t>
      </w:r>
      <w:r w:rsidR="00CA6A5B" w:rsidRPr="00CA6A5B">
        <w:rPr>
          <w:noProof/>
          <w:lang w:val="en-US"/>
        </w:rPr>
        <w:drawing>
          <wp:inline distT="0" distB="0" distL="0" distR="0">
            <wp:extent cx="5396805" cy="2553419"/>
            <wp:effectExtent l="19050" t="0" r="13395" b="0"/>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rsidR="00800F80" w:rsidRPr="00DE6626" w:rsidRDefault="00800F80" w:rsidP="00800F80">
      <w:pPr>
        <w:rPr>
          <w:sz w:val="16"/>
          <w:szCs w:val="16"/>
          <w:lang w:val="en-US"/>
        </w:rPr>
      </w:pPr>
      <w:r w:rsidRPr="00BE5C22">
        <w:rPr>
          <w:sz w:val="16"/>
          <w:szCs w:val="16"/>
          <w:lang w:val="en-US"/>
        </w:rPr>
        <w:t xml:space="preserve">Source: Ministry of Education </w:t>
      </w:r>
      <w:r>
        <w:rPr>
          <w:sz w:val="16"/>
          <w:szCs w:val="16"/>
          <w:lang w:val="en-US"/>
        </w:rPr>
        <w:t>–</w:t>
      </w:r>
      <w:r w:rsidRPr="00BE5C22">
        <w:rPr>
          <w:sz w:val="16"/>
          <w:szCs w:val="16"/>
          <w:lang w:val="en-US"/>
        </w:rPr>
        <w:t xml:space="preserve"> </w:t>
      </w:r>
      <w:r>
        <w:rPr>
          <w:sz w:val="16"/>
          <w:szCs w:val="16"/>
          <w:lang w:val="en-US"/>
        </w:rPr>
        <w:t>ESCALE.</w:t>
      </w:r>
      <w:r w:rsidRPr="00BE5C22">
        <w:rPr>
          <w:sz w:val="16"/>
          <w:szCs w:val="16"/>
          <w:lang w:val="en-US"/>
        </w:rPr>
        <w:t xml:space="preserve"> </w:t>
      </w:r>
    </w:p>
    <w:p w:rsidR="00952FAD" w:rsidRPr="00C65372" w:rsidRDefault="00952FAD" w:rsidP="00952FAD">
      <w:pPr>
        <w:pStyle w:val="Caption"/>
        <w:spacing w:after="0"/>
        <w:jc w:val="center"/>
        <w:rPr>
          <w:sz w:val="22"/>
          <w:szCs w:val="22"/>
          <w:lang w:val="en-US"/>
        </w:rPr>
      </w:pPr>
      <w:r w:rsidRPr="00C65372">
        <w:rPr>
          <w:sz w:val="22"/>
          <w:szCs w:val="22"/>
          <w:lang w:val="en-US"/>
        </w:rPr>
        <w:lastRenderedPageBreak/>
        <w:t>Figure B.</w:t>
      </w:r>
      <w:r w:rsidR="0049674C">
        <w:rPr>
          <w:sz w:val="22"/>
          <w:szCs w:val="22"/>
          <w:lang w:val="en-US"/>
        </w:rPr>
        <w:t>2</w:t>
      </w:r>
      <w:r w:rsidR="00CF5920">
        <w:rPr>
          <w:sz w:val="22"/>
          <w:szCs w:val="22"/>
          <w:lang w:val="en-US"/>
        </w:rPr>
        <w:t>2</w:t>
      </w:r>
      <w:r w:rsidRPr="00C65372">
        <w:rPr>
          <w:sz w:val="22"/>
          <w:szCs w:val="22"/>
          <w:lang w:val="en-US"/>
        </w:rPr>
        <w:t xml:space="preserve">: Number of </w:t>
      </w:r>
      <w:r>
        <w:rPr>
          <w:sz w:val="22"/>
          <w:szCs w:val="22"/>
          <w:lang w:val="en-US"/>
        </w:rPr>
        <w:t>Secondary</w:t>
      </w:r>
      <w:r w:rsidRPr="00C65372">
        <w:rPr>
          <w:sz w:val="22"/>
          <w:szCs w:val="22"/>
          <w:lang w:val="en-US"/>
        </w:rPr>
        <w:t xml:space="preserve"> students per teacher, by region</w:t>
      </w:r>
    </w:p>
    <w:p w:rsidR="00CA6A5B" w:rsidRPr="00CA6A5B" w:rsidRDefault="009B4C6E" w:rsidP="00800F80">
      <w:pPr>
        <w:spacing w:after="0"/>
      </w:pPr>
      <w:r w:rsidRPr="009B4C6E">
        <w:rPr>
          <w:noProof/>
          <w:lang w:val="en-US"/>
        </w:rPr>
        <w:drawing>
          <wp:inline distT="0" distB="0" distL="0" distR="0">
            <wp:extent cx="5400040" cy="3038475"/>
            <wp:effectExtent l="19050" t="0" r="10160" b="0"/>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800F80" w:rsidRPr="00DE6626" w:rsidRDefault="00800F80" w:rsidP="00800F80">
      <w:pPr>
        <w:rPr>
          <w:sz w:val="16"/>
          <w:szCs w:val="16"/>
          <w:lang w:val="en-US"/>
        </w:rPr>
      </w:pPr>
      <w:r w:rsidRPr="00BE5C22">
        <w:rPr>
          <w:sz w:val="16"/>
          <w:szCs w:val="16"/>
          <w:lang w:val="en-US"/>
        </w:rPr>
        <w:t xml:space="preserve">Source: Ministry of Education </w:t>
      </w:r>
      <w:r>
        <w:rPr>
          <w:sz w:val="16"/>
          <w:szCs w:val="16"/>
          <w:lang w:val="en-US"/>
        </w:rPr>
        <w:t>–</w:t>
      </w:r>
      <w:r w:rsidRPr="00BE5C22">
        <w:rPr>
          <w:sz w:val="16"/>
          <w:szCs w:val="16"/>
          <w:lang w:val="en-US"/>
        </w:rPr>
        <w:t xml:space="preserve"> </w:t>
      </w:r>
      <w:r>
        <w:rPr>
          <w:sz w:val="16"/>
          <w:szCs w:val="16"/>
          <w:lang w:val="en-US"/>
        </w:rPr>
        <w:t>ESCALE.</w:t>
      </w:r>
      <w:r w:rsidRPr="00BE5C22">
        <w:rPr>
          <w:sz w:val="16"/>
          <w:szCs w:val="16"/>
          <w:lang w:val="en-US"/>
        </w:rPr>
        <w:t xml:space="preserve"> </w:t>
      </w:r>
    </w:p>
    <w:p w:rsidR="00D7416F" w:rsidRDefault="00D7416F">
      <w:pPr>
        <w:rPr>
          <w:rFonts w:asciiTheme="majorHAnsi" w:eastAsiaTheme="majorEastAsia" w:hAnsiTheme="majorHAnsi" w:cstheme="majorBidi"/>
          <w:b/>
          <w:bCs/>
          <w:color w:val="4F81BD" w:themeColor="accent1"/>
          <w:sz w:val="26"/>
          <w:szCs w:val="26"/>
          <w:lang w:val="en-US"/>
        </w:rPr>
      </w:pPr>
      <w:r>
        <w:rPr>
          <w:lang w:val="en-US"/>
        </w:rPr>
        <w:br w:type="page"/>
      </w:r>
    </w:p>
    <w:p w:rsidR="00851714" w:rsidRDefault="0032044A" w:rsidP="007A7AA7">
      <w:pPr>
        <w:pStyle w:val="Heading2"/>
        <w:rPr>
          <w:lang w:val="en-US"/>
        </w:rPr>
      </w:pPr>
      <w:bookmarkStart w:id="47" w:name="_Toc255446183"/>
      <w:r>
        <w:rPr>
          <w:lang w:val="en-US"/>
        </w:rPr>
        <w:lastRenderedPageBreak/>
        <w:t>Appendix C</w:t>
      </w:r>
      <w:r w:rsidR="00437427">
        <w:rPr>
          <w:lang w:val="en-US"/>
        </w:rPr>
        <w:t>: Methodology</w:t>
      </w:r>
      <w:bookmarkEnd w:id="47"/>
    </w:p>
    <w:p w:rsidR="007A7AA7" w:rsidRDefault="007A7AA7" w:rsidP="0032044A">
      <w:pPr>
        <w:rPr>
          <w:lang w:val="en-US"/>
        </w:rPr>
      </w:pPr>
    </w:p>
    <w:p w:rsidR="0032044A" w:rsidRPr="007A7AA7" w:rsidRDefault="0032044A" w:rsidP="007A7AA7">
      <w:pPr>
        <w:pStyle w:val="Caption"/>
        <w:spacing w:after="0"/>
        <w:jc w:val="center"/>
        <w:rPr>
          <w:sz w:val="22"/>
          <w:szCs w:val="22"/>
          <w:lang w:val="en-US"/>
        </w:rPr>
      </w:pPr>
      <w:r w:rsidRPr="007A7AA7">
        <w:rPr>
          <w:sz w:val="22"/>
          <w:szCs w:val="22"/>
          <w:lang w:val="en-US"/>
        </w:rPr>
        <w:t>Table C.</w:t>
      </w:r>
      <w:r w:rsidR="007A7AA7" w:rsidRPr="007A7AA7">
        <w:rPr>
          <w:sz w:val="22"/>
          <w:szCs w:val="22"/>
          <w:lang w:val="en-US"/>
        </w:rPr>
        <w:t>1</w:t>
      </w:r>
      <w:r w:rsidR="007A7AA7">
        <w:rPr>
          <w:sz w:val="22"/>
          <w:szCs w:val="22"/>
          <w:lang w:val="en-US"/>
        </w:rPr>
        <w:t>:</w:t>
      </w:r>
      <w:r w:rsidR="00437427">
        <w:rPr>
          <w:sz w:val="22"/>
          <w:szCs w:val="22"/>
          <w:lang w:val="en-US"/>
        </w:rPr>
        <w:t xml:space="preserve"> Regroup of regions into macro-regions</w:t>
      </w:r>
    </w:p>
    <w:tbl>
      <w:tblPr>
        <w:tblW w:w="6260" w:type="dxa"/>
        <w:jc w:val="center"/>
        <w:tblInd w:w="55" w:type="dxa"/>
        <w:tblCellMar>
          <w:left w:w="70" w:type="dxa"/>
          <w:right w:w="70" w:type="dxa"/>
        </w:tblCellMar>
        <w:tblLook w:val="04A0"/>
      </w:tblPr>
      <w:tblGrid>
        <w:gridCol w:w="1200"/>
        <w:gridCol w:w="1780"/>
        <w:gridCol w:w="1840"/>
        <w:gridCol w:w="1440"/>
      </w:tblGrid>
      <w:tr w:rsidR="0032044A" w:rsidRPr="0032044A" w:rsidTr="0032044A">
        <w:trPr>
          <w:trHeight w:val="375"/>
          <w:jc w:val="center"/>
        </w:trPr>
        <w:tc>
          <w:tcPr>
            <w:tcW w:w="1200" w:type="dxa"/>
            <w:tcBorders>
              <w:top w:val="single" w:sz="8" w:space="0" w:color="auto"/>
              <w:left w:val="single" w:sz="8" w:space="0" w:color="auto"/>
              <w:bottom w:val="nil"/>
              <w:right w:val="nil"/>
            </w:tcBorders>
            <w:shd w:val="clear" w:color="000000" w:fill="FFFFFF"/>
            <w:noWrap/>
            <w:vAlign w:val="bottom"/>
            <w:hideMark/>
          </w:tcPr>
          <w:p w:rsidR="0032044A" w:rsidRPr="0032044A" w:rsidRDefault="0032044A" w:rsidP="0032044A">
            <w:pPr>
              <w:spacing w:after="0" w:line="240" w:lineRule="auto"/>
              <w:rPr>
                <w:rFonts w:ascii="Calibri" w:eastAsia="Times New Roman" w:hAnsi="Calibri" w:cs="Times New Roman"/>
                <w:b/>
                <w:bCs/>
                <w:color w:val="000000"/>
                <w:sz w:val="28"/>
                <w:szCs w:val="28"/>
                <w:lang w:eastAsia="es-ES"/>
              </w:rPr>
            </w:pPr>
            <w:r w:rsidRPr="0032044A">
              <w:rPr>
                <w:rFonts w:ascii="Calibri" w:eastAsia="Times New Roman" w:hAnsi="Calibri" w:cs="Times New Roman"/>
                <w:b/>
                <w:bCs/>
                <w:color w:val="000000"/>
                <w:sz w:val="28"/>
                <w:szCs w:val="28"/>
                <w:lang w:eastAsia="es-ES"/>
              </w:rPr>
              <w:t>Sierra</w:t>
            </w:r>
          </w:p>
        </w:tc>
        <w:tc>
          <w:tcPr>
            <w:tcW w:w="1780" w:type="dxa"/>
            <w:tcBorders>
              <w:top w:val="single" w:sz="8" w:space="0" w:color="auto"/>
              <w:left w:val="nil"/>
              <w:bottom w:val="nil"/>
              <w:right w:val="single" w:sz="8" w:space="0" w:color="auto"/>
            </w:tcBorders>
            <w:shd w:val="clear" w:color="000000" w:fill="FFFFFF"/>
            <w:noWrap/>
            <w:vAlign w:val="bottom"/>
            <w:hideMark/>
          </w:tcPr>
          <w:p w:rsidR="0032044A" w:rsidRPr="0032044A" w:rsidRDefault="0032044A" w:rsidP="0032044A">
            <w:pPr>
              <w:spacing w:after="0" w:line="240" w:lineRule="auto"/>
              <w:rPr>
                <w:rFonts w:ascii="Calibri" w:eastAsia="Times New Roman" w:hAnsi="Calibri" w:cs="Times New Roman"/>
                <w:color w:val="000000"/>
                <w:lang w:eastAsia="es-ES"/>
              </w:rPr>
            </w:pPr>
            <w:r w:rsidRPr="0032044A">
              <w:rPr>
                <w:rFonts w:ascii="Calibri" w:eastAsia="Times New Roman" w:hAnsi="Calibri" w:cs="Times New Roman"/>
                <w:color w:val="000000"/>
                <w:lang w:eastAsia="es-ES"/>
              </w:rPr>
              <w:t>Cajamarca</w:t>
            </w:r>
          </w:p>
        </w:tc>
        <w:tc>
          <w:tcPr>
            <w:tcW w:w="1840" w:type="dxa"/>
            <w:tcBorders>
              <w:top w:val="single" w:sz="8" w:space="0" w:color="auto"/>
              <w:left w:val="nil"/>
              <w:bottom w:val="nil"/>
              <w:right w:val="nil"/>
            </w:tcBorders>
            <w:shd w:val="clear" w:color="000000" w:fill="FFFFFF"/>
            <w:noWrap/>
            <w:vAlign w:val="bottom"/>
            <w:hideMark/>
          </w:tcPr>
          <w:p w:rsidR="0032044A" w:rsidRPr="0032044A" w:rsidRDefault="0032044A" w:rsidP="0032044A">
            <w:pPr>
              <w:spacing w:after="0" w:line="240" w:lineRule="auto"/>
              <w:rPr>
                <w:rFonts w:ascii="Calibri" w:eastAsia="Times New Roman" w:hAnsi="Calibri" w:cs="Times New Roman"/>
                <w:b/>
                <w:bCs/>
                <w:color w:val="000000"/>
                <w:sz w:val="28"/>
                <w:szCs w:val="28"/>
                <w:lang w:eastAsia="es-ES"/>
              </w:rPr>
            </w:pPr>
            <w:r w:rsidRPr="0032044A">
              <w:rPr>
                <w:rFonts w:ascii="Calibri" w:eastAsia="Times New Roman" w:hAnsi="Calibri" w:cs="Times New Roman"/>
                <w:b/>
                <w:bCs/>
                <w:color w:val="000000"/>
                <w:sz w:val="28"/>
                <w:szCs w:val="28"/>
                <w:lang w:eastAsia="es-ES"/>
              </w:rPr>
              <w:t>Costa Sur</w:t>
            </w:r>
          </w:p>
        </w:tc>
        <w:tc>
          <w:tcPr>
            <w:tcW w:w="1440" w:type="dxa"/>
            <w:tcBorders>
              <w:top w:val="single" w:sz="8" w:space="0" w:color="auto"/>
              <w:left w:val="nil"/>
              <w:bottom w:val="nil"/>
              <w:right w:val="single" w:sz="8" w:space="0" w:color="auto"/>
            </w:tcBorders>
            <w:shd w:val="clear" w:color="000000" w:fill="FFFFFF"/>
            <w:noWrap/>
            <w:vAlign w:val="bottom"/>
            <w:hideMark/>
          </w:tcPr>
          <w:p w:rsidR="0032044A" w:rsidRPr="0032044A" w:rsidRDefault="0032044A" w:rsidP="0032044A">
            <w:pPr>
              <w:spacing w:after="0" w:line="240" w:lineRule="auto"/>
              <w:rPr>
                <w:rFonts w:ascii="Calibri" w:eastAsia="Times New Roman" w:hAnsi="Calibri" w:cs="Times New Roman"/>
                <w:color w:val="000000"/>
                <w:lang w:eastAsia="es-ES"/>
              </w:rPr>
            </w:pPr>
            <w:r w:rsidRPr="0032044A">
              <w:rPr>
                <w:rFonts w:ascii="Calibri" w:eastAsia="Times New Roman" w:hAnsi="Calibri" w:cs="Times New Roman"/>
                <w:color w:val="000000"/>
                <w:lang w:eastAsia="es-ES"/>
              </w:rPr>
              <w:t>Ica</w:t>
            </w:r>
          </w:p>
        </w:tc>
      </w:tr>
      <w:tr w:rsidR="0032044A" w:rsidRPr="0032044A" w:rsidTr="0032044A">
        <w:trPr>
          <w:trHeight w:val="300"/>
          <w:jc w:val="center"/>
        </w:trPr>
        <w:tc>
          <w:tcPr>
            <w:tcW w:w="1200" w:type="dxa"/>
            <w:tcBorders>
              <w:top w:val="nil"/>
              <w:left w:val="single" w:sz="8" w:space="0" w:color="auto"/>
              <w:bottom w:val="nil"/>
              <w:right w:val="nil"/>
            </w:tcBorders>
            <w:shd w:val="clear" w:color="000000" w:fill="FFFFFF"/>
            <w:noWrap/>
            <w:vAlign w:val="bottom"/>
            <w:hideMark/>
          </w:tcPr>
          <w:p w:rsidR="0032044A" w:rsidRPr="0032044A" w:rsidRDefault="0032044A" w:rsidP="0032044A">
            <w:pPr>
              <w:spacing w:after="0" w:line="240" w:lineRule="auto"/>
              <w:rPr>
                <w:rFonts w:ascii="Calibri" w:eastAsia="Times New Roman" w:hAnsi="Calibri" w:cs="Times New Roman"/>
                <w:color w:val="000000"/>
                <w:lang w:eastAsia="es-ES"/>
              </w:rPr>
            </w:pPr>
            <w:r w:rsidRPr="0032044A">
              <w:rPr>
                <w:rFonts w:ascii="Calibri" w:eastAsia="Times New Roman" w:hAnsi="Calibri" w:cs="Times New Roman"/>
                <w:color w:val="000000"/>
                <w:lang w:eastAsia="es-ES"/>
              </w:rPr>
              <w:t> </w:t>
            </w:r>
            <w:r w:rsidR="003064A7">
              <w:rPr>
                <w:rFonts w:ascii="Calibri" w:eastAsia="Times New Roman" w:hAnsi="Calibri" w:cs="Times New Roman"/>
                <w:color w:val="000000"/>
                <w:lang w:eastAsia="es-ES"/>
              </w:rPr>
              <w:t>(Macro 2)</w:t>
            </w:r>
          </w:p>
        </w:tc>
        <w:tc>
          <w:tcPr>
            <w:tcW w:w="1780" w:type="dxa"/>
            <w:tcBorders>
              <w:top w:val="nil"/>
              <w:left w:val="nil"/>
              <w:bottom w:val="nil"/>
              <w:right w:val="single" w:sz="8" w:space="0" w:color="auto"/>
            </w:tcBorders>
            <w:shd w:val="clear" w:color="000000" w:fill="FFFFFF"/>
            <w:noWrap/>
            <w:vAlign w:val="bottom"/>
            <w:hideMark/>
          </w:tcPr>
          <w:p w:rsidR="0032044A" w:rsidRPr="0032044A" w:rsidRDefault="0032044A" w:rsidP="0032044A">
            <w:pPr>
              <w:spacing w:after="0" w:line="240" w:lineRule="auto"/>
              <w:rPr>
                <w:rFonts w:ascii="Calibri" w:eastAsia="Times New Roman" w:hAnsi="Calibri" w:cs="Times New Roman"/>
                <w:color w:val="000000"/>
                <w:lang w:eastAsia="es-ES"/>
              </w:rPr>
            </w:pPr>
            <w:r w:rsidRPr="0032044A">
              <w:rPr>
                <w:rFonts w:ascii="Calibri" w:eastAsia="Times New Roman" w:hAnsi="Calibri" w:cs="Times New Roman"/>
                <w:color w:val="000000"/>
                <w:lang w:eastAsia="es-ES"/>
              </w:rPr>
              <w:t>Ancash</w:t>
            </w:r>
          </w:p>
        </w:tc>
        <w:tc>
          <w:tcPr>
            <w:tcW w:w="1840" w:type="dxa"/>
            <w:tcBorders>
              <w:top w:val="nil"/>
              <w:left w:val="nil"/>
              <w:bottom w:val="nil"/>
              <w:right w:val="nil"/>
            </w:tcBorders>
            <w:shd w:val="clear" w:color="000000" w:fill="FFFFFF"/>
            <w:noWrap/>
            <w:vAlign w:val="bottom"/>
            <w:hideMark/>
          </w:tcPr>
          <w:p w:rsidR="0032044A" w:rsidRPr="0032044A" w:rsidRDefault="0032044A" w:rsidP="0032044A">
            <w:pPr>
              <w:spacing w:after="0" w:line="240" w:lineRule="auto"/>
              <w:rPr>
                <w:rFonts w:ascii="Calibri" w:eastAsia="Times New Roman" w:hAnsi="Calibri" w:cs="Times New Roman"/>
                <w:color w:val="000000"/>
                <w:lang w:eastAsia="es-ES"/>
              </w:rPr>
            </w:pPr>
            <w:r w:rsidRPr="0032044A">
              <w:rPr>
                <w:rFonts w:ascii="Calibri" w:eastAsia="Times New Roman" w:hAnsi="Calibri" w:cs="Times New Roman"/>
                <w:color w:val="000000"/>
                <w:lang w:eastAsia="es-ES"/>
              </w:rPr>
              <w:t> </w:t>
            </w:r>
            <w:r w:rsidR="003064A7">
              <w:rPr>
                <w:rFonts w:ascii="Calibri" w:eastAsia="Times New Roman" w:hAnsi="Calibri" w:cs="Times New Roman"/>
                <w:color w:val="000000"/>
                <w:lang w:eastAsia="es-ES"/>
              </w:rPr>
              <w:t>(Macro</w:t>
            </w:r>
            <w:r w:rsidR="003D6CB3">
              <w:rPr>
                <w:rFonts w:ascii="Calibri" w:eastAsia="Times New Roman" w:hAnsi="Calibri" w:cs="Times New Roman"/>
                <w:color w:val="000000"/>
                <w:lang w:eastAsia="es-ES"/>
              </w:rPr>
              <w:t xml:space="preserve"> </w:t>
            </w:r>
            <w:r w:rsidR="003064A7">
              <w:rPr>
                <w:rFonts w:ascii="Calibri" w:eastAsia="Times New Roman" w:hAnsi="Calibri" w:cs="Times New Roman"/>
                <w:color w:val="000000"/>
                <w:lang w:eastAsia="es-ES"/>
              </w:rPr>
              <w:t>3)</w:t>
            </w:r>
          </w:p>
        </w:tc>
        <w:tc>
          <w:tcPr>
            <w:tcW w:w="1440" w:type="dxa"/>
            <w:tcBorders>
              <w:top w:val="nil"/>
              <w:left w:val="nil"/>
              <w:bottom w:val="nil"/>
              <w:right w:val="single" w:sz="8" w:space="0" w:color="auto"/>
            </w:tcBorders>
            <w:shd w:val="clear" w:color="000000" w:fill="FFFFFF"/>
            <w:noWrap/>
            <w:vAlign w:val="bottom"/>
            <w:hideMark/>
          </w:tcPr>
          <w:p w:rsidR="0032044A" w:rsidRPr="0032044A" w:rsidRDefault="0032044A" w:rsidP="0032044A">
            <w:pPr>
              <w:spacing w:after="0" w:line="240" w:lineRule="auto"/>
              <w:rPr>
                <w:rFonts w:ascii="Calibri" w:eastAsia="Times New Roman" w:hAnsi="Calibri" w:cs="Times New Roman"/>
                <w:color w:val="000000"/>
                <w:lang w:eastAsia="es-ES"/>
              </w:rPr>
            </w:pPr>
            <w:r w:rsidRPr="0032044A">
              <w:rPr>
                <w:rFonts w:ascii="Calibri" w:eastAsia="Times New Roman" w:hAnsi="Calibri" w:cs="Times New Roman"/>
                <w:color w:val="000000"/>
                <w:lang w:eastAsia="es-ES"/>
              </w:rPr>
              <w:t>Moquegua</w:t>
            </w:r>
          </w:p>
        </w:tc>
      </w:tr>
      <w:tr w:rsidR="0032044A" w:rsidRPr="0032044A" w:rsidTr="0032044A">
        <w:trPr>
          <w:trHeight w:val="315"/>
          <w:jc w:val="center"/>
        </w:trPr>
        <w:tc>
          <w:tcPr>
            <w:tcW w:w="1200" w:type="dxa"/>
            <w:tcBorders>
              <w:top w:val="nil"/>
              <w:left w:val="single" w:sz="8" w:space="0" w:color="auto"/>
              <w:bottom w:val="nil"/>
              <w:right w:val="nil"/>
            </w:tcBorders>
            <w:shd w:val="clear" w:color="000000" w:fill="FFFFFF"/>
            <w:noWrap/>
            <w:vAlign w:val="bottom"/>
            <w:hideMark/>
          </w:tcPr>
          <w:p w:rsidR="0032044A" w:rsidRPr="0032044A" w:rsidRDefault="0032044A" w:rsidP="0032044A">
            <w:pPr>
              <w:spacing w:after="0" w:line="240" w:lineRule="auto"/>
              <w:rPr>
                <w:rFonts w:ascii="Calibri" w:eastAsia="Times New Roman" w:hAnsi="Calibri" w:cs="Times New Roman"/>
                <w:color w:val="000000"/>
                <w:lang w:eastAsia="es-ES"/>
              </w:rPr>
            </w:pPr>
            <w:r w:rsidRPr="0032044A">
              <w:rPr>
                <w:rFonts w:ascii="Calibri" w:eastAsia="Times New Roman" w:hAnsi="Calibri" w:cs="Times New Roman"/>
                <w:color w:val="000000"/>
                <w:lang w:eastAsia="es-ES"/>
              </w:rPr>
              <w:t> </w:t>
            </w:r>
          </w:p>
        </w:tc>
        <w:tc>
          <w:tcPr>
            <w:tcW w:w="1780" w:type="dxa"/>
            <w:tcBorders>
              <w:top w:val="nil"/>
              <w:left w:val="nil"/>
              <w:bottom w:val="nil"/>
              <w:right w:val="single" w:sz="8" w:space="0" w:color="auto"/>
            </w:tcBorders>
            <w:shd w:val="clear" w:color="000000" w:fill="FFFFFF"/>
            <w:noWrap/>
            <w:vAlign w:val="bottom"/>
            <w:hideMark/>
          </w:tcPr>
          <w:p w:rsidR="0032044A" w:rsidRPr="0032044A" w:rsidRDefault="0032044A" w:rsidP="0032044A">
            <w:pPr>
              <w:spacing w:after="0" w:line="240" w:lineRule="auto"/>
              <w:rPr>
                <w:rFonts w:ascii="Calibri" w:eastAsia="Times New Roman" w:hAnsi="Calibri" w:cs="Times New Roman"/>
                <w:color w:val="000000"/>
                <w:lang w:eastAsia="es-ES"/>
              </w:rPr>
            </w:pPr>
            <w:r w:rsidRPr="0032044A">
              <w:rPr>
                <w:rFonts w:ascii="Calibri" w:eastAsia="Times New Roman" w:hAnsi="Calibri" w:cs="Times New Roman"/>
                <w:color w:val="000000"/>
                <w:lang w:eastAsia="es-ES"/>
              </w:rPr>
              <w:t>Huancavelica</w:t>
            </w:r>
          </w:p>
        </w:tc>
        <w:tc>
          <w:tcPr>
            <w:tcW w:w="1840" w:type="dxa"/>
            <w:tcBorders>
              <w:top w:val="nil"/>
              <w:left w:val="nil"/>
              <w:bottom w:val="single" w:sz="8" w:space="0" w:color="auto"/>
              <w:right w:val="nil"/>
            </w:tcBorders>
            <w:shd w:val="clear" w:color="000000" w:fill="FFFFFF"/>
            <w:noWrap/>
            <w:vAlign w:val="bottom"/>
            <w:hideMark/>
          </w:tcPr>
          <w:p w:rsidR="0032044A" w:rsidRPr="0032044A" w:rsidRDefault="0032044A" w:rsidP="0032044A">
            <w:pPr>
              <w:spacing w:after="0" w:line="240" w:lineRule="auto"/>
              <w:rPr>
                <w:rFonts w:ascii="Calibri" w:eastAsia="Times New Roman" w:hAnsi="Calibri" w:cs="Times New Roman"/>
                <w:color w:val="000000"/>
                <w:lang w:eastAsia="es-ES"/>
              </w:rPr>
            </w:pPr>
            <w:r w:rsidRPr="0032044A">
              <w:rPr>
                <w:rFonts w:ascii="Calibri" w:eastAsia="Times New Roman" w:hAnsi="Calibri" w:cs="Times New Roman"/>
                <w:color w:val="000000"/>
                <w:lang w:eastAsia="es-ES"/>
              </w:rPr>
              <w:t> </w:t>
            </w:r>
          </w:p>
        </w:tc>
        <w:tc>
          <w:tcPr>
            <w:tcW w:w="1440" w:type="dxa"/>
            <w:tcBorders>
              <w:top w:val="nil"/>
              <w:left w:val="nil"/>
              <w:bottom w:val="single" w:sz="8" w:space="0" w:color="auto"/>
              <w:right w:val="single" w:sz="8" w:space="0" w:color="auto"/>
            </w:tcBorders>
            <w:shd w:val="clear" w:color="000000" w:fill="FFFFFF"/>
            <w:noWrap/>
            <w:vAlign w:val="bottom"/>
            <w:hideMark/>
          </w:tcPr>
          <w:p w:rsidR="0032044A" w:rsidRPr="0032044A" w:rsidRDefault="0032044A" w:rsidP="0032044A">
            <w:pPr>
              <w:spacing w:after="0" w:line="240" w:lineRule="auto"/>
              <w:rPr>
                <w:rFonts w:ascii="Calibri" w:eastAsia="Times New Roman" w:hAnsi="Calibri" w:cs="Times New Roman"/>
                <w:color w:val="000000"/>
                <w:lang w:eastAsia="es-ES"/>
              </w:rPr>
            </w:pPr>
            <w:r w:rsidRPr="0032044A">
              <w:rPr>
                <w:rFonts w:ascii="Calibri" w:eastAsia="Times New Roman" w:hAnsi="Calibri" w:cs="Times New Roman"/>
                <w:color w:val="000000"/>
                <w:lang w:eastAsia="es-ES"/>
              </w:rPr>
              <w:t>Tacna</w:t>
            </w:r>
          </w:p>
        </w:tc>
      </w:tr>
      <w:tr w:rsidR="0032044A" w:rsidRPr="0032044A" w:rsidTr="0032044A">
        <w:trPr>
          <w:trHeight w:val="375"/>
          <w:jc w:val="center"/>
        </w:trPr>
        <w:tc>
          <w:tcPr>
            <w:tcW w:w="1200" w:type="dxa"/>
            <w:tcBorders>
              <w:top w:val="nil"/>
              <w:left w:val="single" w:sz="8" w:space="0" w:color="auto"/>
              <w:bottom w:val="nil"/>
              <w:right w:val="nil"/>
            </w:tcBorders>
            <w:shd w:val="clear" w:color="000000" w:fill="FFFFFF"/>
            <w:noWrap/>
            <w:vAlign w:val="bottom"/>
            <w:hideMark/>
          </w:tcPr>
          <w:p w:rsidR="0032044A" w:rsidRPr="0032044A" w:rsidRDefault="0032044A" w:rsidP="0032044A">
            <w:pPr>
              <w:spacing w:after="0" w:line="240" w:lineRule="auto"/>
              <w:rPr>
                <w:rFonts w:ascii="Calibri" w:eastAsia="Times New Roman" w:hAnsi="Calibri" w:cs="Times New Roman"/>
                <w:color w:val="000000"/>
                <w:lang w:eastAsia="es-ES"/>
              </w:rPr>
            </w:pPr>
            <w:r w:rsidRPr="0032044A">
              <w:rPr>
                <w:rFonts w:ascii="Calibri" w:eastAsia="Times New Roman" w:hAnsi="Calibri" w:cs="Times New Roman"/>
                <w:color w:val="000000"/>
                <w:lang w:eastAsia="es-ES"/>
              </w:rPr>
              <w:t> </w:t>
            </w:r>
          </w:p>
        </w:tc>
        <w:tc>
          <w:tcPr>
            <w:tcW w:w="1780" w:type="dxa"/>
            <w:tcBorders>
              <w:top w:val="nil"/>
              <w:left w:val="nil"/>
              <w:bottom w:val="nil"/>
              <w:right w:val="single" w:sz="8" w:space="0" w:color="auto"/>
            </w:tcBorders>
            <w:shd w:val="clear" w:color="000000" w:fill="FFFFFF"/>
            <w:noWrap/>
            <w:vAlign w:val="bottom"/>
            <w:hideMark/>
          </w:tcPr>
          <w:p w:rsidR="0032044A" w:rsidRPr="0032044A" w:rsidRDefault="0032044A" w:rsidP="0032044A">
            <w:pPr>
              <w:spacing w:after="0" w:line="240" w:lineRule="auto"/>
              <w:rPr>
                <w:rFonts w:ascii="Calibri" w:eastAsia="Times New Roman" w:hAnsi="Calibri" w:cs="Times New Roman"/>
                <w:color w:val="000000"/>
                <w:lang w:eastAsia="es-ES"/>
              </w:rPr>
            </w:pPr>
            <w:r w:rsidRPr="0032044A">
              <w:rPr>
                <w:rFonts w:ascii="Calibri" w:eastAsia="Times New Roman" w:hAnsi="Calibri" w:cs="Times New Roman"/>
                <w:color w:val="000000"/>
                <w:lang w:eastAsia="es-ES"/>
              </w:rPr>
              <w:t>Huánuco</w:t>
            </w:r>
          </w:p>
        </w:tc>
        <w:tc>
          <w:tcPr>
            <w:tcW w:w="1840" w:type="dxa"/>
            <w:tcBorders>
              <w:top w:val="nil"/>
              <w:left w:val="nil"/>
              <w:bottom w:val="nil"/>
              <w:right w:val="nil"/>
            </w:tcBorders>
            <w:shd w:val="clear" w:color="000000" w:fill="FFFFFF"/>
            <w:noWrap/>
            <w:vAlign w:val="bottom"/>
            <w:hideMark/>
          </w:tcPr>
          <w:p w:rsidR="0032044A" w:rsidRPr="0032044A" w:rsidRDefault="0032044A" w:rsidP="0032044A">
            <w:pPr>
              <w:spacing w:after="0" w:line="240" w:lineRule="auto"/>
              <w:rPr>
                <w:rFonts w:ascii="Calibri" w:eastAsia="Times New Roman" w:hAnsi="Calibri" w:cs="Times New Roman"/>
                <w:b/>
                <w:bCs/>
                <w:color w:val="000000"/>
                <w:sz w:val="28"/>
                <w:szCs w:val="28"/>
                <w:lang w:eastAsia="es-ES"/>
              </w:rPr>
            </w:pPr>
            <w:r w:rsidRPr="0032044A">
              <w:rPr>
                <w:rFonts w:ascii="Calibri" w:eastAsia="Times New Roman" w:hAnsi="Calibri" w:cs="Times New Roman"/>
                <w:b/>
                <w:bCs/>
                <w:color w:val="000000"/>
                <w:sz w:val="28"/>
                <w:szCs w:val="28"/>
                <w:lang w:eastAsia="es-ES"/>
              </w:rPr>
              <w:t>Selva</w:t>
            </w:r>
          </w:p>
        </w:tc>
        <w:tc>
          <w:tcPr>
            <w:tcW w:w="1440" w:type="dxa"/>
            <w:tcBorders>
              <w:top w:val="nil"/>
              <w:left w:val="nil"/>
              <w:bottom w:val="nil"/>
              <w:right w:val="single" w:sz="8" w:space="0" w:color="auto"/>
            </w:tcBorders>
            <w:shd w:val="clear" w:color="000000" w:fill="FFFFFF"/>
            <w:noWrap/>
            <w:vAlign w:val="bottom"/>
            <w:hideMark/>
          </w:tcPr>
          <w:p w:rsidR="0032044A" w:rsidRPr="0032044A" w:rsidRDefault="0032044A" w:rsidP="0032044A">
            <w:pPr>
              <w:spacing w:after="0" w:line="240" w:lineRule="auto"/>
              <w:rPr>
                <w:rFonts w:ascii="Calibri" w:eastAsia="Times New Roman" w:hAnsi="Calibri" w:cs="Times New Roman"/>
                <w:color w:val="000000"/>
                <w:lang w:eastAsia="es-ES"/>
              </w:rPr>
            </w:pPr>
            <w:r w:rsidRPr="0032044A">
              <w:rPr>
                <w:rFonts w:ascii="Calibri" w:eastAsia="Times New Roman" w:hAnsi="Calibri" w:cs="Times New Roman"/>
                <w:color w:val="000000"/>
                <w:lang w:eastAsia="es-ES"/>
              </w:rPr>
              <w:t>Amazonas</w:t>
            </w:r>
          </w:p>
        </w:tc>
      </w:tr>
      <w:tr w:rsidR="0032044A" w:rsidRPr="0032044A" w:rsidTr="0032044A">
        <w:trPr>
          <w:trHeight w:val="300"/>
          <w:jc w:val="center"/>
        </w:trPr>
        <w:tc>
          <w:tcPr>
            <w:tcW w:w="1200" w:type="dxa"/>
            <w:tcBorders>
              <w:top w:val="nil"/>
              <w:left w:val="single" w:sz="8" w:space="0" w:color="auto"/>
              <w:bottom w:val="nil"/>
              <w:right w:val="nil"/>
            </w:tcBorders>
            <w:shd w:val="clear" w:color="000000" w:fill="FFFFFF"/>
            <w:noWrap/>
            <w:vAlign w:val="bottom"/>
            <w:hideMark/>
          </w:tcPr>
          <w:p w:rsidR="0032044A" w:rsidRPr="0032044A" w:rsidRDefault="0032044A" w:rsidP="0032044A">
            <w:pPr>
              <w:spacing w:after="0" w:line="240" w:lineRule="auto"/>
              <w:rPr>
                <w:rFonts w:ascii="Calibri" w:eastAsia="Times New Roman" w:hAnsi="Calibri" w:cs="Times New Roman"/>
                <w:color w:val="000000"/>
                <w:lang w:eastAsia="es-ES"/>
              </w:rPr>
            </w:pPr>
            <w:r w:rsidRPr="0032044A">
              <w:rPr>
                <w:rFonts w:ascii="Calibri" w:eastAsia="Times New Roman" w:hAnsi="Calibri" w:cs="Times New Roman"/>
                <w:color w:val="000000"/>
                <w:lang w:eastAsia="es-ES"/>
              </w:rPr>
              <w:t> </w:t>
            </w:r>
          </w:p>
        </w:tc>
        <w:tc>
          <w:tcPr>
            <w:tcW w:w="1780" w:type="dxa"/>
            <w:tcBorders>
              <w:top w:val="nil"/>
              <w:left w:val="nil"/>
              <w:bottom w:val="nil"/>
              <w:right w:val="single" w:sz="8" w:space="0" w:color="auto"/>
            </w:tcBorders>
            <w:shd w:val="clear" w:color="000000" w:fill="FFFFFF"/>
            <w:noWrap/>
            <w:vAlign w:val="bottom"/>
            <w:hideMark/>
          </w:tcPr>
          <w:p w:rsidR="0032044A" w:rsidRPr="0032044A" w:rsidRDefault="0032044A" w:rsidP="0032044A">
            <w:pPr>
              <w:spacing w:after="0" w:line="240" w:lineRule="auto"/>
              <w:rPr>
                <w:rFonts w:ascii="Calibri" w:eastAsia="Times New Roman" w:hAnsi="Calibri" w:cs="Times New Roman"/>
                <w:color w:val="000000"/>
                <w:lang w:eastAsia="es-ES"/>
              </w:rPr>
            </w:pPr>
            <w:r w:rsidRPr="0032044A">
              <w:rPr>
                <w:rFonts w:ascii="Calibri" w:eastAsia="Times New Roman" w:hAnsi="Calibri" w:cs="Times New Roman"/>
                <w:color w:val="000000"/>
                <w:lang w:eastAsia="es-ES"/>
              </w:rPr>
              <w:t>Junín</w:t>
            </w:r>
          </w:p>
        </w:tc>
        <w:tc>
          <w:tcPr>
            <w:tcW w:w="1840" w:type="dxa"/>
            <w:tcBorders>
              <w:top w:val="nil"/>
              <w:left w:val="nil"/>
              <w:bottom w:val="nil"/>
              <w:right w:val="nil"/>
            </w:tcBorders>
            <w:shd w:val="clear" w:color="000000" w:fill="FFFFFF"/>
            <w:noWrap/>
            <w:vAlign w:val="bottom"/>
            <w:hideMark/>
          </w:tcPr>
          <w:p w:rsidR="0032044A" w:rsidRPr="0032044A" w:rsidRDefault="0032044A" w:rsidP="0032044A">
            <w:pPr>
              <w:spacing w:after="0" w:line="240" w:lineRule="auto"/>
              <w:rPr>
                <w:rFonts w:ascii="Calibri" w:eastAsia="Times New Roman" w:hAnsi="Calibri" w:cs="Times New Roman"/>
                <w:color w:val="000000"/>
                <w:lang w:eastAsia="es-ES"/>
              </w:rPr>
            </w:pPr>
            <w:r w:rsidRPr="0032044A">
              <w:rPr>
                <w:rFonts w:ascii="Calibri" w:eastAsia="Times New Roman" w:hAnsi="Calibri" w:cs="Times New Roman"/>
                <w:color w:val="000000"/>
                <w:lang w:eastAsia="es-ES"/>
              </w:rPr>
              <w:t> </w:t>
            </w:r>
            <w:r w:rsidR="003064A7">
              <w:rPr>
                <w:rFonts w:ascii="Calibri" w:eastAsia="Times New Roman" w:hAnsi="Calibri" w:cs="Times New Roman"/>
                <w:color w:val="000000"/>
                <w:lang w:eastAsia="es-ES"/>
              </w:rPr>
              <w:t>(Macro 4)</w:t>
            </w:r>
          </w:p>
        </w:tc>
        <w:tc>
          <w:tcPr>
            <w:tcW w:w="1440" w:type="dxa"/>
            <w:tcBorders>
              <w:top w:val="nil"/>
              <w:left w:val="nil"/>
              <w:bottom w:val="nil"/>
              <w:right w:val="single" w:sz="8" w:space="0" w:color="auto"/>
            </w:tcBorders>
            <w:shd w:val="clear" w:color="000000" w:fill="FFFFFF"/>
            <w:noWrap/>
            <w:vAlign w:val="bottom"/>
            <w:hideMark/>
          </w:tcPr>
          <w:p w:rsidR="0032044A" w:rsidRPr="0032044A" w:rsidRDefault="0032044A" w:rsidP="0032044A">
            <w:pPr>
              <w:spacing w:after="0" w:line="240" w:lineRule="auto"/>
              <w:rPr>
                <w:rFonts w:ascii="Calibri" w:eastAsia="Times New Roman" w:hAnsi="Calibri" w:cs="Times New Roman"/>
                <w:color w:val="000000"/>
                <w:lang w:eastAsia="es-ES"/>
              </w:rPr>
            </w:pPr>
            <w:r w:rsidRPr="0032044A">
              <w:rPr>
                <w:rFonts w:ascii="Calibri" w:eastAsia="Times New Roman" w:hAnsi="Calibri" w:cs="Times New Roman"/>
                <w:color w:val="000000"/>
                <w:lang w:eastAsia="es-ES"/>
              </w:rPr>
              <w:t>Loreto</w:t>
            </w:r>
          </w:p>
        </w:tc>
      </w:tr>
      <w:tr w:rsidR="0032044A" w:rsidRPr="0032044A" w:rsidTr="0032044A">
        <w:trPr>
          <w:trHeight w:val="300"/>
          <w:jc w:val="center"/>
        </w:trPr>
        <w:tc>
          <w:tcPr>
            <w:tcW w:w="1200" w:type="dxa"/>
            <w:tcBorders>
              <w:top w:val="nil"/>
              <w:left w:val="single" w:sz="8" w:space="0" w:color="auto"/>
              <w:bottom w:val="nil"/>
              <w:right w:val="nil"/>
            </w:tcBorders>
            <w:shd w:val="clear" w:color="000000" w:fill="FFFFFF"/>
            <w:noWrap/>
            <w:vAlign w:val="bottom"/>
            <w:hideMark/>
          </w:tcPr>
          <w:p w:rsidR="0032044A" w:rsidRPr="0032044A" w:rsidRDefault="0032044A" w:rsidP="0032044A">
            <w:pPr>
              <w:spacing w:after="0" w:line="240" w:lineRule="auto"/>
              <w:rPr>
                <w:rFonts w:ascii="Calibri" w:eastAsia="Times New Roman" w:hAnsi="Calibri" w:cs="Times New Roman"/>
                <w:color w:val="000000"/>
                <w:lang w:eastAsia="es-ES"/>
              </w:rPr>
            </w:pPr>
            <w:r w:rsidRPr="0032044A">
              <w:rPr>
                <w:rFonts w:ascii="Calibri" w:eastAsia="Times New Roman" w:hAnsi="Calibri" w:cs="Times New Roman"/>
                <w:color w:val="000000"/>
                <w:lang w:eastAsia="es-ES"/>
              </w:rPr>
              <w:t> </w:t>
            </w:r>
          </w:p>
        </w:tc>
        <w:tc>
          <w:tcPr>
            <w:tcW w:w="1780" w:type="dxa"/>
            <w:tcBorders>
              <w:top w:val="nil"/>
              <w:left w:val="nil"/>
              <w:bottom w:val="nil"/>
              <w:right w:val="single" w:sz="8" w:space="0" w:color="auto"/>
            </w:tcBorders>
            <w:shd w:val="clear" w:color="000000" w:fill="FFFFFF"/>
            <w:noWrap/>
            <w:vAlign w:val="bottom"/>
            <w:hideMark/>
          </w:tcPr>
          <w:p w:rsidR="0032044A" w:rsidRPr="0032044A" w:rsidRDefault="0032044A" w:rsidP="0032044A">
            <w:pPr>
              <w:spacing w:after="0" w:line="240" w:lineRule="auto"/>
              <w:rPr>
                <w:rFonts w:ascii="Calibri" w:eastAsia="Times New Roman" w:hAnsi="Calibri" w:cs="Times New Roman"/>
                <w:color w:val="000000"/>
                <w:lang w:eastAsia="es-ES"/>
              </w:rPr>
            </w:pPr>
            <w:r w:rsidRPr="0032044A">
              <w:rPr>
                <w:rFonts w:ascii="Calibri" w:eastAsia="Times New Roman" w:hAnsi="Calibri" w:cs="Times New Roman"/>
                <w:color w:val="000000"/>
                <w:lang w:eastAsia="es-ES"/>
              </w:rPr>
              <w:t>Pasco</w:t>
            </w:r>
          </w:p>
        </w:tc>
        <w:tc>
          <w:tcPr>
            <w:tcW w:w="1840" w:type="dxa"/>
            <w:tcBorders>
              <w:top w:val="nil"/>
              <w:left w:val="nil"/>
              <w:bottom w:val="nil"/>
              <w:right w:val="nil"/>
            </w:tcBorders>
            <w:shd w:val="clear" w:color="000000" w:fill="FFFFFF"/>
            <w:noWrap/>
            <w:vAlign w:val="bottom"/>
            <w:hideMark/>
          </w:tcPr>
          <w:p w:rsidR="0032044A" w:rsidRPr="0032044A" w:rsidRDefault="0032044A" w:rsidP="0032044A">
            <w:pPr>
              <w:spacing w:after="0" w:line="240" w:lineRule="auto"/>
              <w:rPr>
                <w:rFonts w:ascii="Calibri" w:eastAsia="Times New Roman" w:hAnsi="Calibri" w:cs="Times New Roman"/>
                <w:color w:val="000000"/>
                <w:lang w:eastAsia="es-ES"/>
              </w:rPr>
            </w:pPr>
            <w:r w:rsidRPr="0032044A">
              <w:rPr>
                <w:rFonts w:ascii="Calibri" w:eastAsia="Times New Roman" w:hAnsi="Calibri" w:cs="Times New Roman"/>
                <w:color w:val="000000"/>
                <w:lang w:eastAsia="es-ES"/>
              </w:rPr>
              <w:t> </w:t>
            </w:r>
          </w:p>
        </w:tc>
        <w:tc>
          <w:tcPr>
            <w:tcW w:w="1440" w:type="dxa"/>
            <w:tcBorders>
              <w:top w:val="nil"/>
              <w:left w:val="nil"/>
              <w:bottom w:val="nil"/>
              <w:right w:val="single" w:sz="8" w:space="0" w:color="auto"/>
            </w:tcBorders>
            <w:shd w:val="clear" w:color="000000" w:fill="FFFFFF"/>
            <w:noWrap/>
            <w:vAlign w:val="bottom"/>
            <w:hideMark/>
          </w:tcPr>
          <w:p w:rsidR="0032044A" w:rsidRPr="0032044A" w:rsidRDefault="0032044A" w:rsidP="0032044A">
            <w:pPr>
              <w:spacing w:after="0" w:line="240" w:lineRule="auto"/>
              <w:rPr>
                <w:rFonts w:ascii="Calibri" w:eastAsia="Times New Roman" w:hAnsi="Calibri" w:cs="Times New Roman"/>
                <w:color w:val="000000"/>
                <w:lang w:eastAsia="es-ES"/>
              </w:rPr>
            </w:pPr>
            <w:r w:rsidRPr="0032044A">
              <w:rPr>
                <w:rFonts w:ascii="Calibri" w:eastAsia="Times New Roman" w:hAnsi="Calibri" w:cs="Times New Roman"/>
                <w:color w:val="000000"/>
                <w:lang w:eastAsia="es-ES"/>
              </w:rPr>
              <w:t>Madre de Dios</w:t>
            </w:r>
          </w:p>
        </w:tc>
      </w:tr>
      <w:tr w:rsidR="0032044A" w:rsidRPr="0032044A" w:rsidTr="0032044A">
        <w:trPr>
          <w:trHeight w:val="300"/>
          <w:jc w:val="center"/>
        </w:trPr>
        <w:tc>
          <w:tcPr>
            <w:tcW w:w="1200" w:type="dxa"/>
            <w:tcBorders>
              <w:top w:val="nil"/>
              <w:left w:val="single" w:sz="8" w:space="0" w:color="auto"/>
              <w:bottom w:val="nil"/>
              <w:right w:val="nil"/>
            </w:tcBorders>
            <w:shd w:val="clear" w:color="000000" w:fill="FFFFFF"/>
            <w:noWrap/>
            <w:vAlign w:val="bottom"/>
            <w:hideMark/>
          </w:tcPr>
          <w:p w:rsidR="0032044A" w:rsidRPr="0032044A" w:rsidRDefault="0032044A" w:rsidP="0032044A">
            <w:pPr>
              <w:spacing w:after="0" w:line="240" w:lineRule="auto"/>
              <w:rPr>
                <w:rFonts w:ascii="Calibri" w:eastAsia="Times New Roman" w:hAnsi="Calibri" w:cs="Times New Roman"/>
                <w:color w:val="000000"/>
                <w:lang w:eastAsia="es-ES"/>
              </w:rPr>
            </w:pPr>
            <w:r w:rsidRPr="0032044A">
              <w:rPr>
                <w:rFonts w:ascii="Calibri" w:eastAsia="Times New Roman" w:hAnsi="Calibri" w:cs="Times New Roman"/>
                <w:color w:val="000000"/>
                <w:lang w:eastAsia="es-ES"/>
              </w:rPr>
              <w:t> </w:t>
            </w:r>
          </w:p>
        </w:tc>
        <w:tc>
          <w:tcPr>
            <w:tcW w:w="1780" w:type="dxa"/>
            <w:tcBorders>
              <w:top w:val="nil"/>
              <w:left w:val="nil"/>
              <w:bottom w:val="nil"/>
              <w:right w:val="single" w:sz="8" w:space="0" w:color="auto"/>
            </w:tcBorders>
            <w:shd w:val="clear" w:color="000000" w:fill="FFFFFF"/>
            <w:noWrap/>
            <w:vAlign w:val="bottom"/>
            <w:hideMark/>
          </w:tcPr>
          <w:p w:rsidR="0032044A" w:rsidRPr="0032044A" w:rsidRDefault="0032044A" w:rsidP="0032044A">
            <w:pPr>
              <w:spacing w:after="0" w:line="240" w:lineRule="auto"/>
              <w:rPr>
                <w:rFonts w:ascii="Calibri" w:eastAsia="Times New Roman" w:hAnsi="Calibri" w:cs="Times New Roman"/>
                <w:color w:val="000000"/>
                <w:lang w:eastAsia="es-ES"/>
              </w:rPr>
            </w:pPr>
            <w:r w:rsidRPr="0032044A">
              <w:rPr>
                <w:rFonts w:ascii="Calibri" w:eastAsia="Times New Roman" w:hAnsi="Calibri" w:cs="Times New Roman"/>
                <w:color w:val="000000"/>
                <w:lang w:eastAsia="es-ES"/>
              </w:rPr>
              <w:t>Arequipa</w:t>
            </w:r>
          </w:p>
        </w:tc>
        <w:tc>
          <w:tcPr>
            <w:tcW w:w="1840" w:type="dxa"/>
            <w:tcBorders>
              <w:top w:val="nil"/>
              <w:left w:val="nil"/>
              <w:bottom w:val="nil"/>
              <w:right w:val="nil"/>
            </w:tcBorders>
            <w:shd w:val="clear" w:color="000000" w:fill="FFFFFF"/>
            <w:noWrap/>
            <w:vAlign w:val="bottom"/>
            <w:hideMark/>
          </w:tcPr>
          <w:p w:rsidR="0032044A" w:rsidRPr="0032044A" w:rsidRDefault="0032044A" w:rsidP="0032044A">
            <w:pPr>
              <w:spacing w:after="0" w:line="240" w:lineRule="auto"/>
              <w:rPr>
                <w:rFonts w:ascii="Calibri" w:eastAsia="Times New Roman" w:hAnsi="Calibri" w:cs="Times New Roman"/>
                <w:color w:val="000000"/>
                <w:lang w:eastAsia="es-ES"/>
              </w:rPr>
            </w:pPr>
            <w:r w:rsidRPr="0032044A">
              <w:rPr>
                <w:rFonts w:ascii="Calibri" w:eastAsia="Times New Roman" w:hAnsi="Calibri" w:cs="Times New Roman"/>
                <w:color w:val="000000"/>
                <w:lang w:eastAsia="es-ES"/>
              </w:rPr>
              <w:t> </w:t>
            </w:r>
          </w:p>
        </w:tc>
        <w:tc>
          <w:tcPr>
            <w:tcW w:w="1440" w:type="dxa"/>
            <w:tcBorders>
              <w:top w:val="nil"/>
              <w:left w:val="nil"/>
              <w:bottom w:val="nil"/>
              <w:right w:val="single" w:sz="8" w:space="0" w:color="auto"/>
            </w:tcBorders>
            <w:shd w:val="clear" w:color="000000" w:fill="FFFFFF"/>
            <w:noWrap/>
            <w:vAlign w:val="bottom"/>
            <w:hideMark/>
          </w:tcPr>
          <w:p w:rsidR="0032044A" w:rsidRPr="0032044A" w:rsidRDefault="0032044A" w:rsidP="0032044A">
            <w:pPr>
              <w:spacing w:after="0" w:line="240" w:lineRule="auto"/>
              <w:rPr>
                <w:rFonts w:ascii="Calibri" w:eastAsia="Times New Roman" w:hAnsi="Calibri" w:cs="Times New Roman"/>
                <w:color w:val="000000"/>
                <w:lang w:eastAsia="es-ES"/>
              </w:rPr>
            </w:pPr>
            <w:r w:rsidRPr="0032044A">
              <w:rPr>
                <w:rFonts w:ascii="Calibri" w:eastAsia="Times New Roman" w:hAnsi="Calibri" w:cs="Times New Roman"/>
                <w:color w:val="000000"/>
                <w:lang w:eastAsia="es-ES"/>
              </w:rPr>
              <w:t>San Martín</w:t>
            </w:r>
          </w:p>
        </w:tc>
      </w:tr>
      <w:tr w:rsidR="0032044A" w:rsidRPr="0032044A" w:rsidTr="0032044A">
        <w:trPr>
          <w:trHeight w:val="315"/>
          <w:jc w:val="center"/>
        </w:trPr>
        <w:tc>
          <w:tcPr>
            <w:tcW w:w="1200" w:type="dxa"/>
            <w:tcBorders>
              <w:top w:val="nil"/>
              <w:left w:val="single" w:sz="8" w:space="0" w:color="auto"/>
              <w:bottom w:val="nil"/>
              <w:right w:val="nil"/>
            </w:tcBorders>
            <w:shd w:val="clear" w:color="000000" w:fill="FFFFFF"/>
            <w:noWrap/>
            <w:vAlign w:val="bottom"/>
            <w:hideMark/>
          </w:tcPr>
          <w:p w:rsidR="0032044A" w:rsidRPr="0032044A" w:rsidRDefault="0032044A" w:rsidP="0032044A">
            <w:pPr>
              <w:spacing w:after="0" w:line="240" w:lineRule="auto"/>
              <w:rPr>
                <w:rFonts w:ascii="Calibri" w:eastAsia="Times New Roman" w:hAnsi="Calibri" w:cs="Times New Roman"/>
                <w:color w:val="000000"/>
                <w:lang w:eastAsia="es-ES"/>
              </w:rPr>
            </w:pPr>
            <w:r w:rsidRPr="0032044A">
              <w:rPr>
                <w:rFonts w:ascii="Calibri" w:eastAsia="Times New Roman" w:hAnsi="Calibri" w:cs="Times New Roman"/>
                <w:color w:val="000000"/>
                <w:lang w:eastAsia="es-ES"/>
              </w:rPr>
              <w:t> </w:t>
            </w:r>
          </w:p>
        </w:tc>
        <w:tc>
          <w:tcPr>
            <w:tcW w:w="1780" w:type="dxa"/>
            <w:tcBorders>
              <w:top w:val="nil"/>
              <w:left w:val="nil"/>
              <w:bottom w:val="nil"/>
              <w:right w:val="single" w:sz="8" w:space="0" w:color="auto"/>
            </w:tcBorders>
            <w:shd w:val="clear" w:color="000000" w:fill="FFFFFF"/>
            <w:noWrap/>
            <w:vAlign w:val="bottom"/>
            <w:hideMark/>
          </w:tcPr>
          <w:p w:rsidR="0032044A" w:rsidRPr="0032044A" w:rsidRDefault="0032044A" w:rsidP="0032044A">
            <w:pPr>
              <w:spacing w:after="0" w:line="240" w:lineRule="auto"/>
              <w:rPr>
                <w:rFonts w:ascii="Calibri" w:eastAsia="Times New Roman" w:hAnsi="Calibri" w:cs="Times New Roman"/>
                <w:color w:val="000000"/>
                <w:lang w:eastAsia="es-ES"/>
              </w:rPr>
            </w:pPr>
            <w:r w:rsidRPr="0032044A">
              <w:rPr>
                <w:rFonts w:ascii="Calibri" w:eastAsia="Times New Roman" w:hAnsi="Calibri" w:cs="Times New Roman"/>
                <w:color w:val="000000"/>
                <w:lang w:eastAsia="es-ES"/>
              </w:rPr>
              <w:t>Apurímac</w:t>
            </w:r>
          </w:p>
        </w:tc>
        <w:tc>
          <w:tcPr>
            <w:tcW w:w="1840" w:type="dxa"/>
            <w:tcBorders>
              <w:top w:val="nil"/>
              <w:left w:val="nil"/>
              <w:bottom w:val="single" w:sz="8" w:space="0" w:color="auto"/>
              <w:right w:val="nil"/>
            </w:tcBorders>
            <w:shd w:val="clear" w:color="000000" w:fill="FFFFFF"/>
            <w:noWrap/>
            <w:vAlign w:val="bottom"/>
            <w:hideMark/>
          </w:tcPr>
          <w:p w:rsidR="0032044A" w:rsidRPr="0032044A" w:rsidRDefault="0032044A" w:rsidP="0032044A">
            <w:pPr>
              <w:spacing w:after="0" w:line="240" w:lineRule="auto"/>
              <w:rPr>
                <w:rFonts w:ascii="Calibri" w:eastAsia="Times New Roman" w:hAnsi="Calibri" w:cs="Times New Roman"/>
                <w:color w:val="000000"/>
                <w:lang w:eastAsia="es-ES"/>
              </w:rPr>
            </w:pPr>
            <w:r w:rsidRPr="0032044A">
              <w:rPr>
                <w:rFonts w:ascii="Calibri" w:eastAsia="Times New Roman" w:hAnsi="Calibri" w:cs="Times New Roman"/>
                <w:color w:val="000000"/>
                <w:lang w:eastAsia="es-ES"/>
              </w:rPr>
              <w:t> </w:t>
            </w:r>
          </w:p>
        </w:tc>
        <w:tc>
          <w:tcPr>
            <w:tcW w:w="1440" w:type="dxa"/>
            <w:tcBorders>
              <w:top w:val="nil"/>
              <w:left w:val="nil"/>
              <w:bottom w:val="single" w:sz="8" w:space="0" w:color="auto"/>
              <w:right w:val="single" w:sz="8" w:space="0" w:color="auto"/>
            </w:tcBorders>
            <w:shd w:val="clear" w:color="000000" w:fill="FFFFFF"/>
            <w:noWrap/>
            <w:vAlign w:val="bottom"/>
            <w:hideMark/>
          </w:tcPr>
          <w:p w:rsidR="0032044A" w:rsidRPr="0032044A" w:rsidRDefault="0032044A" w:rsidP="0032044A">
            <w:pPr>
              <w:spacing w:after="0" w:line="240" w:lineRule="auto"/>
              <w:rPr>
                <w:rFonts w:ascii="Calibri" w:eastAsia="Times New Roman" w:hAnsi="Calibri" w:cs="Times New Roman"/>
                <w:color w:val="000000"/>
                <w:lang w:eastAsia="es-ES"/>
              </w:rPr>
            </w:pPr>
            <w:r w:rsidRPr="0032044A">
              <w:rPr>
                <w:rFonts w:ascii="Calibri" w:eastAsia="Times New Roman" w:hAnsi="Calibri" w:cs="Times New Roman"/>
                <w:color w:val="000000"/>
                <w:lang w:eastAsia="es-ES"/>
              </w:rPr>
              <w:t>Ucayali</w:t>
            </w:r>
          </w:p>
        </w:tc>
      </w:tr>
      <w:tr w:rsidR="0032044A" w:rsidRPr="0032044A" w:rsidTr="0032044A">
        <w:trPr>
          <w:trHeight w:val="375"/>
          <w:jc w:val="center"/>
        </w:trPr>
        <w:tc>
          <w:tcPr>
            <w:tcW w:w="1200" w:type="dxa"/>
            <w:tcBorders>
              <w:top w:val="nil"/>
              <w:left w:val="single" w:sz="8" w:space="0" w:color="auto"/>
              <w:bottom w:val="nil"/>
              <w:right w:val="nil"/>
            </w:tcBorders>
            <w:shd w:val="clear" w:color="000000" w:fill="FFFFFF"/>
            <w:noWrap/>
            <w:vAlign w:val="bottom"/>
            <w:hideMark/>
          </w:tcPr>
          <w:p w:rsidR="0032044A" w:rsidRPr="0032044A" w:rsidRDefault="0032044A" w:rsidP="0032044A">
            <w:pPr>
              <w:spacing w:after="0" w:line="240" w:lineRule="auto"/>
              <w:rPr>
                <w:rFonts w:ascii="Calibri" w:eastAsia="Times New Roman" w:hAnsi="Calibri" w:cs="Times New Roman"/>
                <w:color w:val="000000"/>
                <w:lang w:eastAsia="es-ES"/>
              </w:rPr>
            </w:pPr>
            <w:r w:rsidRPr="0032044A">
              <w:rPr>
                <w:rFonts w:ascii="Calibri" w:eastAsia="Times New Roman" w:hAnsi="Calibri" w:cs="Times New Roman"/>
                <w:color w:val="000000"/>
                <w:lang w:eastAsia="es-ES"/>
              </w:rPr>
              <w:t> </w:t>
            </w:r>
          </w:p>
        </w:tc>
        <w:tc>
          <w:tcPr>
            <w:tcW w:w="1780" w:type="dxa"/>
            <w:tcBorders>
              <w:top w:val="nil"/>
              <w:left w:val="nil"/>
              <w:bottom w:val="nil"/>
              <w:right w:val="single" w:sz="8" w:space="0" w:color="auto"/>
            </w:tcBorders>
            <w:shd w:val="clear" w:color="000000" w:fill="FFFFFF"/>
            <w:noWrap/>
            <w:vAlign w:val="bottom"/>
            <w:hideMark/>
          </w:tcPr>
          <w:p w:rsidR="0032044A" w:rsidRPr="0032044A" w:rsidRDefault="0032044A" w:rsidP="0032044A">
            <w:pPr>
              <w:spacing w:after="0" w:line="240" w:lineRule="auto"/>
              <w:rPr>
                <w:rFonts w:ascii="Calibri" w:eastAsia="Times New Roman" w:hAnsi="Calibri" w:cs="Times New Roman"/>
                <w:color w:val="000000"/>
                <w:lang w:eastAsia="es-ES"/>
              </w:rPr>
            </w:pPr>
            <w:r w:rsidRPr="0032044A">
              <w:rPr>
                <w:rFonts w:ascii="Calibri" w:eastAsia="Times New Roman" w:hAnsi="Calibri" w:cs="Times New Roman"/>
                <w:color w:val="000000"/>
                <w:lang w:eastAsia="es-ES"/>
              </w:rPr>
              <w:t>Ayacucho</w:t>
            </w:r>
          </w:p>
        </w:tc>
        <w:tc>
          <w:tcPr>
            <w:tcW w:w="1840" w:type="dxa"/>
            <w:tcBorders>
              <w:top w:val="nil"/>
              <w:left w:val="nil"/>
              <w:bottom w:val="nil"/>
              <w:right w:val="nil"/>
            </w:tcBorders>
            <w:shd w:val="clear" w:color="000000" w:fill="FFFFFF"/>
            <w:noWrap/>
            <w:vAlign w:val="bottom"/>
            <w:hideMark/>
          </w:tcPr>
          <w:p w:rsidR="0032044A" w:rsidRPr="0032044A" w:rsidRDefault="0032044A" w:rsidP="0032044A">
            <w:pPr>
              <w:spacing w:after="0" w:line="240" w:lineRule="auto"/>
              <w:rPr>
                <w:rFonts w:ascii="Calibri" w:eastAsia="Times New Roman" w:hAnsi="Calibri" w:cs="Times New Roman"/>
                <w:b/>
                <w:bCs/>
                <w:color w:val="000000"/>
                <w:sz w:val="28"/>
                <w:szCs w:val="28"/>
                <w:lang w:eastAsia="es-ES"/>
              </w:rPr>
            </w:pPr>
            <w:r w:rsidRPr="0032044A">
              <w:rPr>
                <w:rFonts w:ascii="Calibri" w:eastAsia="Times New Roman" w:hAnsi="Calibri" w:cs="Times New Roman"/>
                <w:b/>
                <w:bCs/>
                <w:color w:val="000000"/>
                <w:sz w:val="28"/>
                <w:szCs w:val="28"/>
                <w:lang w:eastAsia="es-ES"/>
              </w:rPr>
              <w:t>Lima</w:t>
            </w:r>
          </w:p>
        </w:tc>
        <w:tc>
          <w:tcPr>
            <w:tcW w:w="1440" w:type="dxa"/>
            <w:tcBorders>
              <w:top w:val="nil"/>
              <w:left w:val="nil"/>
              <w:bottom w:val="nil"/>
              <w:right w:val="single" w:sz="8" w:space="0" w:color="auto"/>
            </w:tcBorders>
            <w:shd w:val="clear" w:color="000000" w:fill="FFFFFF"/>
            <w:noWrap/>
            <w:vAlign w:val="bottom"/>
            <w:hideMark/>
          </w:tcPr>
          <w:p w:rsidR="0032044A" w:rsidRPr="0032044A" w:rsidRDefault="0032044A" w:rsidP="0032044A">
            <w:pPr>
              <w:spacing w:after="0" w:line="240" w:lineRule="auto"/>
              <w:rPr>
                <w:rFonts w:ascii="Calibri" w:eastAsia="Times New Roman" w:hAnsi="Calibri" w:cs="Times New Roman"/>
                <w:color w:val="000000"/>
                <w:lang w:eastAsia="es-ES"/>
              </w:rPr>
            </w:pPr>
            <w:r w:rsidRPr="0032044A">
              <w:rPr>
                <w:rFonts w:ascii="Calibri" w:eastAsia="Times New Roman" w:hAnsi="Calibri" w:cs="Times New Roman"/>
                <w:color w:val="000000"/>
                <w:lang w:eastAsia="es-ES"/>
              </w:rPr>
              <w:t>Callao</w:t>
            </w:r>
          </w:p>
        </w:tc>
      </w:tr>
      <w:tr w:rsidR="0032044A" w:rsidRPr="0032044A" w:rsidTr="0032044A">
        <w:trPr>
          <w:trHeight w:val="315"/>
          <w:jc w:val="center"/>
        </w:trPr>
        <w:tc>
          <w:tcPr>
            <w:tcW w:w="1200" w:type="dxa"/>
            <w:tcBorders>
              <w:top w:val="nil"/>
              <w:left w:val="single" w:sz="8" w:space="0" w:color="auto"/>
              <w:bottom w:val="nil"/>
              <w:right w:val="nil"/>
            </w:tcBorders>
            <w:shd w:val="clear" w:color="000000" w:fill="FFFFFF"/>
            <w:noWrap/>
            <w:vAlign w:val="bottom"/>
            <w:hideMark/>
          </w:tcPr>
          <w:p w:rsidR="0032044A" w:rsidRPr="0032044A" w:rsidRDefault="0032044A" w:rsidP="0032044A">
            <w:pPr>
              <w:spacing w:after="0" w:line="240" w:lineRule="auto"/>
              <w:rPr>
                <w:rFonts w:ascii="Calibri" w:eastAsia="Times New Roman" w:hAnsi="Calibri" w:cs="Times New Roman"/>
                <w:color w:val="000000"/>
                <w:lang w:eastAsia="es-ES"/>
              </w:rPr>
            </w:pPr>
            <w:r w:rsidRPr="0032044A">
              <w:rPr>
                <w:rFonts w:ascii="Calibri" w:eastAsia="Times New Roman" w:hAnsi="Calibri" w:cs="Times New Roman"/>
                <w:color w:val="000000"/>
                <w:lang w:eastAsia="es-ES"/>
              </w:rPr>
              <w:t> </w:t>
            </w:r>
          </w:p>
        </w:tc>
        <w:tc>
          <w:tcPr>
            <w:tcW w:w="1780" w:type="dxa"/>
            <w:tcBorders>
              <w:top w:val="nil"/>
              <w:left w:val="nil"/>
              <w:bottom w:val="nil"/>
              <w:right w:val="single" w:sz="8" w:space="0" w:color="auto"/>
            </w:tcBorders>
            <w:shd w:val="clear" w:color="000000" w:fill="FFFFFF"/>
            <w:noWrap/>
            <w:vAlign w:val="bottom"/>
            <w:hideMark/>
          </w:tcPr>
          <w:p w:rsidR="0032044A" w:rsidRPr="0032044A" w:rsidRDefault="0032044A" w:rsidP="0032044A">
            <w:pPr>
              <w:spacing w:after="0" w:line="240" w:lineRule="auto"/>
              <w:rPr>
                <w:rFonts w:ascii="Calibri" w:eastAsia="Times New Roman" w:hAnsi="Calibri" w:cs="Times New Roman"/>
                <w:color w:val="000000"/>
                <w:lang w:eastAsia="es-ES"/>
              </w:rPr>
            </w:pPr>
            <w:r w:rsidRPr="0032044A">
              <w:rPr>
                <w:rFonts w:ascii="Calibri" w:eastAsia="Times New Roman" w:hAnsi="Calibri" w:cs="Times New Roman"/>
                <w:color w:val="000000"/>
                <w:lang w:eastAsia="es-ES"/>
              </w:rPr>
              <w:t>Cusco</w:t>
            </w:r>
          </w:p>
        </w:tc>
        <w:tc>
          <w:tcPr>
            <w:tcW w:w="1840" w:type="dxa"/>
            <w:tcBorders>
              <w:top w:val="nil"/>
              <w:left w:val="nil"/>
              <w:bottom w:val="single" w:sz="8" w:space="0" w:color="auto"/>
              <w:right w:val="nil"/>
            </w:tcBorders>
            <w:shd w:val="clear" w:color="000000" w:fill="FFFFFF"/>
            <w:noWrap/>
            <w:vAlign w:val="bottom"/>
            <w:hideMark/>
          </w:tcPr>
          <w:p w:rsidR="0032044A" w:rsidRPr="0032044A" w:rsidRDefault="0032044A" w:rsidP="0032044A">
            <w:pPr>
              <w:spacing w:after="0" w:line="240" w:lineRule="auto"/>
              <w:rPr>
                <w:rFonts w:ascii="Calibri" w:eastAsia="Times New Roman" w:hAnsi="Calibri" w:cs="Times New Roman"/>
                <w:color w:val="000000"/>
                <w:lang w:eastAsia="es-ES"/>
              </w:rPr>
            </w:pPr>
            <w:r w:rsidRPr="0032044A">
              <w:rPr>
                <w:rFonts w:ascii="Calibri" w:eastAsia="Times New Roman" w:hAnsi="Calibri" w:cs="Times New Roman"/>
                <w:color w:val="000000"/>
                <w:lang w:eastAsia="es-ES"/>
              </w:rPr>
              <w:t> </w:t>
            </w:r>
            <w:r w:rsidR="003064A7">
              <w:rPr>
                <w:rFonts w:ascii="Calibri" w:eastAsia="Times New Roman" w:hAnsi="Calibri" w:cs="Times New Roman"/>
                <w:color w:val="000000"/>
                <w:lang w:eastAsia="es-ES"/>
              </w:rPr>
              <w:t>(Macro 5)</w:t>
            </w:r>
          </w:p>
        </w:tc>
        <w:tc>
          <w:tcPr>
            <w:tcW w:w="1440" w:type="dxa"/>
            <w:tcBorders>
              <w:top w:val="nil"/>
              <w:left w:val="nil"/>
              <w:bottom w:val="single" w:sz="8" w:space="0" w:color="auto"/>
              <w:right w:val="single" w:sz="8" w:space="0" w:color="auto"/>
            </w:tcBorders>
            <w:shd w:val="clear" w:color="000000" w:fill="FFFFFF"/>
            <w:noWrap/>
            <w:vAlign w:val="bottom"/>
            <w:hideMark/>
          </w:tcPr>
          <w:p w:rsidR="0032044A" w:rsidRPr="0032044A" w:rsidRDefault="0032044A" w:rsidP="0032044A">
            <w:pPr>
              <w:spacing w:after="0" w:line="240" w:lineRule="auto"/>
              <w:rPr>
                <w:rFonts w:ascii="Calibri" w:eastAsia="Times New Roman" w:hAnsi="Calibri" w:cs="Times New Roman"/>
                <w:color w:val="000000"/>
                <w:lang w:eastAsia="es-ES"/>
              </w:rPr>
            </w:pPr>
            <w:r w:rsidRPr="0032044A">
              <w:rPr>
                <w:rFonts w:ascii="Calibri" w:eastAsia="Times New Roman" w:hAnsi="Calibri" w:cs="Times New Roman"/>
                <w:color w:val="000000"/>
                <w:lang w:eastAsia="es-ES"/>
              </w:rPr>
              <w:t>Lima</w:t>
            </w:r>
          </w:p>
        </w:tc>
      </w:tr>
      <w:tr w:rsidR="0032044A" w:rsidRPr="0032044A" w:rsidTr="0032044A">
        <w:trPr>
          <w:trHeight w:val="375"/>
          <w:jc w:val="center"/>
        </w:trPr>
        <w:tc>
          <w:tcPr>
            <w:tcW w:w="1200" w:type="dxa"/>
            <w:tcBorders>
              <w:top w:val="nil"/>
              <w:left w:val="single" w:sz="8" w:space="0" w:color="auto"/>
              <w:bottom w:val="nil"/>
              <w:right w:val="nil"/>
            </w:tcBorders>
            <w:shd w:val="clear" w:color="000000" w:fill="FFFFFF"/>
            <w:noWrap/>
            <w:vAlign w:val="bottom"/>
            <w:hideMark/>
          </w:tcPr>
          <w:p w:rsidR="0032044A" w:rsidRPr="0032044A" w:rsidRDefault="0032044A" w:rsidP="0032044A">
            <w:pPr>
              <w:spacing w:after="0" w:line="240" w:lineRule="auto"/>
              <w:rPr>
                <w:rFonts w:ascii="Calibri" w:eastAsia="Times New Roman" w:hAnsi="Calibri" w:cs="Times New Roman"/>
                <w:color w:val="000000"/>
                <w:lang w:eastAsia="es-ES"/>
              </w:rPr>
            </w:pPr>
            <w:r w:rsidRPr="0032044A">
              <w:rPr>
                <w:rFonts w:ascii="Calibri" w:eastAsia="Times New Roman" w:hAnsi="Calibri" w:cs="Times New Roman"/>
                <w:color w:val="000000"/>
                <w:lang w:eastAsia="es-ES"/>
              </w:rPr>
              <w:t> </w:t>
            </w:r>
          </w:p>
        </w:tc>
        <w:tc>
          <w:tcPr>
            <w:tcW w:w="1780" w:type="dxa"/>
            <w:tcBorders>
              <w:top w:val="nil"/>
              <w:left w:val="nil"/>
              <w:bottom w:val="nil"/>
              <w:right w:val="single" w:sz="8" w:space="0" w:color="auto"/>
            </w:tcBorders>
            <w:shd w:val="clear" w:color="000000" w:fill="FFFFFF"/>
            <w:noWrap/>
            <w:vAlign w:val="bottom"/>
            <w:hideMark/>
          </w:tcPr>
          <w:p w:rsidR="0032044A" w:rsidRPr="0032044A" w:rsidRDefault="0032044A" w:rsidP="0032044A">
            <w:pPr>
              <w:spacing w:after="0" w:line="240" w:lineRule="auto"/>
              <w:rPr>
                <w:rFonts w:ascii="Calibri" w:eastAsia="Times New Roman" w:hAnsi="Calibri" w:cs="Times New Roman"/>
                <w:color w:val="000000"/>
                <w:lang w:eastAsia="es-ES"/>
              </w:rPr>
            </w:pPr>
            <w:r w:rsidRPr="0032044A">
              <w:rPr>
                <w:rFonts w:ascii="Calibri" w:eastAsia="Times New Roman" w:hAnsi="Calibri" w:cs="Times New Roman"/>
                <w:color w:val="000000"/>
                <w:lang w:eastAsia="es-ES"/>
              </w:rPr>
              <w:t>Puno</w:t>
            </w:r>
          </w:p>
        </w:tc>
        <w:tc>
          <w:tcPr>
            <w:tcW w:w="1840" w:type="dxa"/>
            <w:tcBorders>
              <w:top w:val="nil"/>
              <w:left w:val="nil"/>
              <w:bottom w:val="nil"/>
              <w:right w:val="nil"/>
            </w:tcBorders>
            <w:shd w:val="clear" w:color="000000" w:fill="FFFFFF"/>
            <w:noWrap/>
            <w:vAlign w:val="bottom"/>
            <w:hideMark/>
          </w:tcPr>
          <w:p w:rsidR="0032044A" w:rsidRPr="0032044A" w:rsidRDefault="0032044A" w:rsidP="0032044A">
            <w:pPr>
              <w:spacing w:after="0" w:line="240" w:lineRule="auto"/>
              <w:rPr>
                <w:rFonts w:ascii="Calibri" w:eastAsia="Times New Roman" w:hAnsi="Calibri" w:cs="Times New Roman"/>
                <w:b/>
                <w:bCs/>
                <w:color w:val="000000"/>
                <w:sz w:val="28"/>
                <w:szCs w:val="28"/>
                <w:lang w:eastAsia="es-ES"/>
              </w:rPr>
            </w:pPr>
            <w:r w:rsidRPr="0032044A">
              <w:rPr>
                <w:rFonts w:ascii="Calibri" w:eastAsia="Times New Roman" w:hAnsi="Calibri" w:cs="Times New Roman"/>
                <w:b/>
                <w:bCs/>
                <w:color w:val="000000"/>
                <w:sz w:val="28"/>
                <w:szCs w:val="28"/>
                <w:lang w:eastAsia="es-ES"/>
              </w:rPr>
              <w:t>Costa Norte</w:t>
            </w:r>
          </w:p>
        </w:tc>
        <w:tc>
          <w:tcPr>
            <w:tcW w:w="1440" w:type="dxa"/>
            <w:tcBorders>
              <w:top w:val="nil"/>
              <w:left w:val="nil"/>
              <w:bottom w:val="nil"/>
              <w:right w:val="single" w:sz="8" w:space="0" w:color="auto"/>
            </w:tcBorders>
            <w:shd w:val="clear" w:color="000000" w:fill="FFFFFF"/>
            <w:noWrap/>
            <w:vAlign w:val="bottom"/>
            <w:hideMark/>
          </w:tcPr>
          <w:p w:rsidR="0032044A" w:rsidRPr="0032044A" w:rsidRDefault="0032044A" w:rsidP="0032044A">
            <w:pPr>
              <w:spacing w:after="0" w:line="240" w:lineRule="auto"/>
              <w:rPr>
                <w:rFonts w:ascii="Calibri" w:eastAsia="Times New Roman" w:hAnsi="Calibri" w:cs="Times New Roman"/>
                <w:color w:val="000000"/>
                <w:lang w:eastAsia="es-ES"/>
              </w:rPr>
            </w:pPr>
            <w:r w:rsidRPr="0032044A">
              <w:rPr>
                <w:rFonts w:ascii="Calibri" w:eastAsia="Times New Roman" w:hAnsi="Calibri" w:cs="Times New Roman"/>
                <w:color w:val="000000"/>
                <w:lang w:eastAsia="es-ES"/>
              </w:rPr>
              <w:t>La Libertad</w:t>
            </w:r>
          </w:p>
        </w:tc>
      </w:tr>
      <w:tr w:rsidR="0032044A" w:rsidRPr="0032044A" w:rsidTr="0032044A">
        <w:trPr>
          <w:trHeight w:val="300"/>
          <w:jc w:val="center"/>
        </w:trPr>
        <w:tc>
          <w:tcPr>
            <w:tcW w:w="1200" w:type="dxa"/>
            <w:tcBorders>
              <w:top w:val="nil"/>
              <w:left w:val="single" w:sz="8" w:space="0" w:color="auto"/>
              <w:bottom w:val="nil"/>
              <w:right w:val="nil"/>
            </w:tcBorders>
            <w:shd w:val="clear" w:color="000000" w:fill="FFFFFF"/>
            <w:noWrap/>
            <w:vAlign w:val="bottom"/>
            <w:hideMark/>
          </w:tcPr>
          <w:p w:rsidR="0032044A" w:rsidRPr="0032044A" w:rsidRDefault="0032044A" w:rsidP="0032044A">
            <w:pPr>
              <w:spacing w:after="0" w:line="240" w:lineRule="auto"/>
              <w:rPr>
                <w:rFonts w:ascii="Calibri" w:eastAsia="Times New Roman" w:hAnsi="Calibri" w:cs="Times New Roman"/>
                <w:color w:val="000000"/>
                <w:lang w:eastAsia="es-ES"/>
              </w:rPr>
            </w:pPr>
            <w:r w:rsidRPr="0032044A">
              <w:rPr>
                <w:rFonts w:ascii="Calibri" w:eastAsia="Times New Roman" w:hAnsi="Calibri" w:cs="Times New Roman"/>
                <w:color w:val="000000"/>
                <w:lang w:eastAsia="es-ES"/>
              </w:rPr>
              <w:t> </w:t>
            </w:r>
          </w:p>
        </w:tc>
        <w:tc>
          <w:tcPr>
            <w:tcW w:w="1780" w:type="dxa"/>
            <w:tcBorders>
              <w:top w:val="nil"/>
              <w:left w:val="nil"/>
              <w:bottom w:val="nil"/>
              <w:right w:val="single" w:sz="8" w:space="0" w:color="auto"/>
            </w:tcBorders>
            <w:shd w:val="clear" w:color="000000" w:fill="FFFFFF"/>
            <w:noWrap/>
            <w:vAlign w:val="bottom"/>
            <w:hideMark/>
          </w:tcPr>
          <w:p w:rsidR="0032044A" w:rsidRPr="0032044A" w:rsidRDefault="0032044A" w:rsidP="0032044A">
            <w:pPr>
              <w:spacing w:after="0" w:line="240" w:lineRule="auto"/>
              <w:rPr>
                <w:rFonts w:ascii="Calibri" w:eastAsia="Times New Roman" w:hAnsi="Calibri" w:cs="Times New Roman"/>
                <w:color w:val="000000"/>
                <w:lang w:eastAsia="es-ES"/>
              </w:rPr>
            </w:pPr>
            <w:r w:rsidRPr="0032044A">
              <w:rPr>
                <w:rFonts w:ascii="Calibri" w:eastAsia="Times New Roman" w:hAnsi="Calibri" w:cs="Times New Roman"/>
                <w:color w:val="000000"/>
                <w:lang w:eastAsia="es-ES"/>
              </w:rPr>
              <w:t> </w:t>
            </w:r>
          </w:p>
        </w:tc>
        <w:tc>
          <w:tcPr>
            <w:tcW w:w="1840" w:type="dxa"/>
            <w:tcBorders>
              <w:top w:val="nil"/>
              <w:left w:val="nil"/>
              <w:bottom w:val="nil"/>
              <w:right w:val="nil"/>
            </w:tcBorders>
            <w:shd w:val="clear" w:color="000000" w:fill="FFFFFF"/>
            <w:noWrap/>
            <w:vAlign w:val="bottom"/>
            <w:hideMark/>
          </w:tcPr>
          <w:p w:rsidR="0032044A" w:rsidRPr="0032044A" w:rsidRDefault="0032044A" w:rsidP="0032044A">
            <w:pPr>
              <w:spacing w:after="0" w:line="240" w:lineRule="auto"/>
              <w:rPr>
                <w:rFonts w:ascii="Calibri" w:eastAsia="Times New Roman" w:hAnsi="Calibri" w:cs="Times New Roman"/>
                <w:color w:val="000000"/>
                <w:lang w:eastAsia="es-ES"/>
              </w:rPr>
            </w:pPr>
            <w:r w:rsidRPr="0032044A">
              <w:rPr>
                <w:rFonts w:ascii="Calibri" w:eastAsia="Times New Roman" w:hAnsi="Calibri" w:cs="Times New Roman"/>
                <w:color w:val="000000"/>
                <w:lang w:eastAsia="es-ES"/>
              </w:rPr>
              <w:t> </w:t>
            </w:r>
            <w:r w:rsidR="003064A7">
              <w:rPr>
                <w:rFonts w:ascii="Calibri" w:eastAsia="Times New Roman" w:hAnsi="Calibri" w:cs="Times New Roman"/>
                <w:color w:val="000000"/>
                <w:lang w:eastAsia="es-ES"/>
              </w:rPr>
              <w:t>(Macro 1)</w:t>
            </w:r>
          </w:p>
        </w:tc>
        <w:tc>
          <w:tcPr>
            <w:tcW w:w="1440" w:type="dxa"/>
            <w:tcBorders>
              <w:top w:val="nil"/>
              <w:left w:val="nil"/>
              <w:bottom w:val="nil"/>
              <w:right w:val="single" w:sz="8" w:space="0" w:color="auto"/>
            </w:tcBorders>
            <w:shd w:val="clear" w:color="000000" w:fill="FFFFFF"/>
            <w:noWrap/>
            <w:vAlign w:val="bottom"/>
            <w:hideMark/>
          </w:tcPr>
          <w:p w:rsidR="0032044A" w:rsidRPr="0032044A" w:rsidRDefault="0032044A" w:rsidP="0032044A">
            <w:pPr>
              <w:spacing w:after="0" w:line="240" w:lineRule="auto"/>
              <w:rPr>
                <w:rFonts w:ascii="Calibri" w:eastAsia="Times New Roman" w:hAnsi="Calibri" w:cs="Times New Roman"/>
                <w:color w:val="000000"/>
                <w:lang w:eastAsia="es-ES"/>
              </w:rPr>
            </w:pPr>
            <w:r w:rsidRPr="0032044A">
              <w:rPr>
                <w:rFonts w:ascii="Calibri" w:eastAsia="Times New Roman" w:hAnsi="Calibri" w:cs="Times New Roman"/>
                <w:color w:val="000000"/>
                <w:lang w:eastAsia="es-ES"/>
              </w:rPr>
              <w:t>Lambayeque</w:t>
            </w:r>
          </w:p>
        </w:tc>
      </w:tr>
      <w:tr w:rsidR="0032044A" w:rsidRPr="0032044A" w:rsidTr="0032044A">
        <w:trPr>
          <w:trHeight w:val="300"/>
          <w:jc w:val="center"/>
        </w:trPr>
        <w:tc>
          <w:tcPr>
            <w:tcW w:w="1200" w:type="dxa"/>
            <w:tcBorders>
              <w:top w:val="nil"/>
              <w:left w:val="single" w:sz="8" w:space="0" w:color="auto"/>
              <w:bottom w:val="nil"/>
              <w:right w:val="nil"/>
            </w:tcBorders>
            <w:shd w:val="clear" w:color="000000" w:fill="FFFFFF"/>
            <w:noWrap/>
            <w:vAlign w:val="bottom"/>
            <w:hideMark/>
          </w:tcPr>
          <w:p w:rsidR="0032044A" w:rsidRPr="0032044A" w:rsidRDefault="0032044A" w:rsidP="0032044A">
            <w:pPr>
              <w:spacing w:after="0" w:line="240" w:lineRule="auto"/>
              <w:rPr>
                <w:rFonts w:ascii="Calibri" w:eastAsia="Times New Roman" w:hAnsi="Calibri" w:cs="Times New Roman"/>
                <w:color w:val="000000"/>
                <w:lang w:eastAsia="es-ES"/>
              </w:rPr>
            </w:pPr>
            <w:r w:rsidRPr="0032044A">
              <w:rPr>
                <w:rFonts w:ascii="Calibri" w:eastAsia="Times New Roman" w:hAnsi="Calibri" w:cs="Times New Roman"/>
                <w:color w:val="000000"/>
                <w:lang w:eastAsia="es-ES"/>
              </w:rPr>
              <w:t> </w:t>
            </w:r>
          </w:p>
        </w:tc>
        <w:tc>
          <w:tcPr>
            <w:tcW w:w="1780" w:type="dxa"/>
            <w:tcBorders>
              <w:top w:val="nil"/>
              <w:left w:val="nil"/>
              <w:bottom w:val="nil"/>
              <w:right w:val="single" w:sz="8" w:space="0" w:color="auto"/>
            </w:tcBorders>
            <w:shd w:val="clear" w:color="000000" w:fill="FFFFFF"/>
            <w:noWrap/>
            <w:vAlign w:val="bottom"/>
            <w:hideMark/>
          </w:tcPr>
          <w:p w:rsidR="0032044A" w:rsidRPr="0032044A" w:rsidRDefault="0032044A" w:rsidP="0032044A">
            <w:pPr>
              <w:spacing w:after="0" w:line="240" w:lineRule="auto"/>
              <w:rPr>
                <w:rFonts w:ascii="Calibri" w:eastAsia="Times New Roman" w:hAnsi="Calibri" w:cs="Times New Roman"/>
                <w:color w:val="000000"/>
                <w:lang w:eastAsia="es-ES"/>
              </w:rPr>
            </w:pPr>
            <w:r w:rsidRPr="0032044A">
              <w:rPr>
                <w:rFonts w:ascii="Calibri" w:eastAsia="Times New Roman" w:hAnsi="Calibri" w:cs="Times New Roman"/>
                <w:color w:val="000000"/>
                <w:lang w:eastAsia="es-ES"/>
              </w:rPr>
              <w:t> </w:t>
            </w:r>
          </w:p>
        </w:tc>
        <w:tc>
          <w:tcPr>
            <w:tcW w:w="1840" w:type="dxa"/>
            <w:tcBorders>
              <w:top w:val="nil"/>
              <w:left w:val="nil"/>
              <w:bottom w:val="nil"/>
              <w:right w:val="nil"/>
            </w:tcBorders>
            <w:shd w:val="clear" w:color="000000" w:fill="FFFFFF"/>
            <w:noWrap/>
            <w:vAlign w:val="bottom"/>
            <w:hideMark/>
          </w:tcPr>
          <w:p w:rsidR="0032044A" w:rsidRPr="0032044A" w:rsidRDefault="0032044A" w:rsidP="0032044A">
            <w:pPr>
              <w:spacing w:after="0" w:line="240" w:lineRule="auto"/>
              <w:rPr>
                <w:rFonts w:ascii="Calibri" w:eastAsia="Times New Roman" w:hAnsi="Calibri" w:cs="Times New Roman"/>
                <w:color w:val="000000"/>
                <w:lang w:eastAsia="es-ES"/>
              </w:rPr>
            </w:pPr>
            <w:r w:rsidRPr="0032044A">
              <w:rPr>
                <w:rFonts w:ascii="Calibri" w:eastAsia="Times New Roman" w:hAnsi="Calibri" w:cs="Times New Roman"/>
                <w:color w:val="000000"/>
                <w:lang w:eastAsia="es-ES"/>
              </w:rPr>
              <w:t> </w:t>
            </w:r>
          </w:p>
        </w:tc>
        <w:tc>
          <w:tcPr>
            <w:tcW w:w="1440" w:type="dxa"/>
            <w:tcBorders>
              <w:top w:val="nil"/>
              <w:left w:val="nil"/>
              <w:bottom w:val="nil"/>
              <w:right w:val="single" w:sz="8" w:space="0" w:color="auto"/>
            </w:tcBorders>
            <w:shd w:val="clear" w:color="000000" w:fill="FFFFFF"/>
            <w:noWrap/>
            <w:vAlign w:val="bottom"/>
            <w:hideMark/>
          </w:tcPr>
          <w:p w:rsidR="0032044A" w:rsidRPr="0032044A" w:rsidRDefault="0032044A" w:rsidP="0032044A">
            <w:pPr>
              <w:spacing w:after="0" w:line="240" w:lineRule="auto"/>
              <w:rPr>
                <w:rFonts w:ascii="Calibri" w:eastAsia="Times New Roman" w:hAnsi="Calibri" w:cs="Times New Roman"/>
                <w:color w:val="000000"/>
                <w:lang w:eastAsia="es-ES"/>
              </w:rPr>
            </w:pPr>
            <w:r w:rsidRPr="0032044A">
              <w:rPr>
                <w:rFonts w:ascii="Calibri" w:eastAsia="Times New Roman" w:hAnsi="Calibri" w:cs="Times New Roman"/>
                <w:color w:val="000000"/>
                <w:lang w:eastAsia="es-ES"/>
              </w:rPr>
              <w:t>Piura</w:t>
            </w:r>
          </w:p>
        </w:tc>
      </w:tr>
      <w:tr w:rsidR="0032044A" w:rsidRPr="0032044A" w:rsidTr="0032044A">
        <w:trPr>
          <w:trHeight w:val="315"/>
          <w:jc w:val="center"/>
        </w:trPr>
        <w:tc>
          <w:tcPr>
            <w:tcW w:w="1200" w:type="dxa"/>
            <w:tcBorders>
              <w:top w:val="nil"/>
              <w:left w:val="single" w:sz="8" w:space="0" w:color="auto"/>
              <w:bottom w:val="single" w:sz="8" w:space="0" w:color="auto"/>
              <w:right w:val="nil"/>
            </w:tcBorders>
            <w:shd w:val="clear" w:color="000000" w:fill="FFFFFF"/>
            <w:noWrap/>
            <w:vAlign w:val="bottom"/>
            <w:hideMark/>
          </w:tcPr>
          <w:p w:rsidR="0032044A" w:rsidRPr="0032044A" w:rsidRDefault="0032044A" w:rsidP="0032044A">
            <w:pPr>
              <w:spacing w:after="0" w:line="240" w:lineRule="auto"/>
              <w:rPr>
                <w:rFonts w:ascii="Calibri" w:eastAsia="Times New Roman" w:hAnsi="Calibri" w:cs="Times New Roman"/>
                <w:color w:val="000000"/>
                <w:lang w:eastAsia="es-ES"/>
              </w:rPr>
            </w:pPr>
            <w:r w:rsidRPr="0032044A">
              <w:rPr>
                <w:rFonts w:ascii="Calibri" w:eastAsia="Times New Roman" w:hAnsi="Calibri" w:cs="Times New Roman"/>
                <w:color w:val="000000"/>
                <w:lang w:eastAsia="es-ES"/>
              </w:rPr>
              <w:t> </w:t>
            </w:r>
          </w:p>
        </w:tc>
        <w:tc>
          <w:tcPr>
            <w:tcW w:w="1780" w:type="dxa"/>
            <w:tcBorders>
              <w:top w:val="nil"/>
              <w:left w:val="nil"/>
              <w:bottom w:val="single" w:sz="8" w:space="0" w:color="auto"/>
              <w:right w:val="single" w:sz="8" w:space="0" w:color="auto"/>
            </w:tcBorders>
            <w:shd w:val="clear" w:color="000000" w:fill="FFFFFF"/>
            <w:noWrap/>
            <w:vAlign w:val="bottom"/>
            <w:hideMark/>
          </w:tcPr>
          <w:p w:rsidR="0032044A" w:rsidRPr="0032044A" w:rsidRDefault="0032044A" w:rsidP="0032044A">
            <w:pPr>
              <w:spacing w:after="0" w:line="240" w:lineRule="auto"/>
              <w:rPr>
                <w:rFonts w:ascii="Calibri" w:eastAsia="Times New Roman" w:hAnsi="Calibri" w:cs="Times New Roman"/>
                <w:color w:val="000000"/>
                <w:lang w:eastAsia="es-ES"/>
              </w:rPr>
            </w:pPr>
            <w:r w:rsidRPr="0032044A">
              <w:rPr>
                <w:rFonts w:ascii="Calibri" w:eastAsia="Times New Roman" w:hAnsi="Calibri" w:cs="Times New Roman"/>
                <w:color w:val="000000"/>
                <w:lang w:eastAsia="es-ES"/>
              </w:rPr>
              <w:t> </w:t>
            </w:r>
          </w:p>
        </w:tc>
        <w:tc>
          <w:tcPr>
            <w:tcW w:w="1840" w:type="dxa"/>
            <w:tcBorders>
              <w:top w:val="nil"/>
              <w:left w:val="nil"/>
              <w:bottom w:val="single" w:sz="8" w:space="0" w:color="auto"/>
              <w:right w:val="nil"/>
            </w:tcBorders>
            <w:shd w:val="clear" w:color="000000" w:fill="FFFFFF"/>
            <w:noWrap/>
            <w:vAlign w:val="bottom"/>
            <w:hideMark/>
          </w:tcPr>
          <w:p w:rsidR="0032044A" w:rsidRPr="0032044A" w:rsidRDefault="0032044A" w:rsidP="0032044A">
            <w:pPr>
              <w:spacing w:after="0" w:line="240" w:lineRule="auto"/>
              <w:rPr>
                <w:rFonts w:ascii="Calibri" w:eastAsia="Times New Roman" w:hAnsi="Calibri" w:cs="Times New Roman"/>
                <w:color w:val="000000"/>
                <w:lang w:eastAsia="es-ES"/>
              </w:rPr>
            </w:pPr>
            <w:r w:rsidRPr="0032044A">
              <w:rPr>
                <w:rFonts w:ascii="Calibri" w:eastAsia="Times New Roman" w:hAnsi="Calibri" w:cs="Times New Roman"/>
                <w:color w:val="000000"/>
                <w:lang w:eastAsia="es-ES"/>
              </w:rPr>
              <w:t> </w:t>
            </w:r>
          </w:p>
        </w:tc>
        <w:tc>
          <w:tcPr>
            <w:tcW w:w="1440" w:type="dxa"/>
            <w:tcBorders>
              <w:top w:val="nil"/>
              <w:left w:val="nil"/>
              <w:bottom w:val="single" w:sz="8" w:space="0" w:color="auto"/>
              <w:right w:val="single" w:sz="8" w:space="0" w:color="auto"/>
            </w:tcBorders>
            <w:shd w:val="clear" w:color="000000" w:fill="FFFFFF"/>
            <w:noWrap/>
            <w:vAlign w:val="bottom"/>
            <w:hideMark/>
          </w:tcPr>
          <w:p w:rsidR="0032044A" w:rsidRPr="0032044A" w:rsidRDefault="0032044A" w:rsidP="0032044A">
            <w:pPr>
              <w:spacing w:after="0" w:line="240" w:lineRule="auto"/>
              <w:rPr>
                <w:rFonts w:ascii="Calibri" w:eastAsia="Times New Roman" w:hAnsi="Calibri" w:cs="Times New Roman"/>
                <w:color w:val="000000"/>
                <w:lang w:eastAsia="es-ES"/>
              </w:rPr>
            </w:pPr>
            <w:r w:rsidRPr="0032044A">
              <w:rPr>
                <w:rFonts w:ascii="Calibri" w:eastAsia="Times New Roman" w:hAnsi="Calibri" w:cs="Times New Roman"/>
                <w:color w:val="000000"/>
                <w:lang w:eastAsia="es-ES"/>
              </w:rPr>
              <w:t>Tumbes</w:t>
            </w:r>
          </w:p>
        </w:tc>
      </w:tr>
    </w:tbl>
    <w:p w:rsidR="0027439B" w:rsidRDefault="0027439B" w:rsidP="007E56CB">
      <w:pPr>
        <w:rPr>
          <w:lang w:val="en-US"/>
        </w:rPr>
      </w:pPr>
    </w:p>
    <w:sectPr w:rsidR="0027439B" w:rsidSect="005F043F">
      <w:footerReference w:type="default" r:id="rId46"/>
      <w:pgSz w:w="11906" w:h="16838"/>
      <w:pgMar w:top="1411" w:right="1411" w:bottom="1411" w:left="2160" w:header="706" w:footer="706"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5678" w:rsidRDefault="003F5678" w:rsidP="0004029A">
      <w:pPr>
        <w:spacing w:after="0" w:line="240" w:lineRule="auto"/>
      </w:pPr>
      <w:r>
        <w:separator/>
      </w:r>
    </w:p>
  </w:endnote>
  <w:endnote w:type="continuationSeparator" w:id="0">
    <w:p w:rsidR="003F5678" w:rsidRDefault="003F5678" w:rsidP="000402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5465"/>
      <w:docPartObj>
        <w:docPartGallery w:val="Page Numbers (Bottom of Page)"/>
        <w:docPartUnique/>
      </w:docPartObj>
    </w:sdtPr>
    <w:sdtContent>
      <w:p w:rsidR="00C90338" w:rsidRDefault="00C90338">
        <w:pPr>
          <w:pStyle w:val="Footer"/>
          <w:jc w:val="right"/>
        </w:pPr>
        <w:fldSimple w:instr=" PAGE   \* MERGEFORMAT ">
          <w:r w:rsidR="00D60C7A">
            <w:rPr>
              <w:noProof/>
            </w:rPr>
            <w:t>43</w:t>
          </w:r>
        </w:fldSimple>
      </w:p>
    </w:sdtContent>
  </w:sdt>
  <w:p w:rsidR="00C90338" w:rsidRDefault="00C9033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5678" w:rsidRDefault="003F5678" w:rsidP="0004029A">
      <w:pPr>
        <w:spacing w:after="0" w:line="240" w:lineRule="auto"/>
      </w:pPr>
      <w:r>
        <w:separator/>
      </w:r>
    </w:p>
  </w:footnote>
  <w:footnote w:type="continuationSeparator" w:id="0">
    <w:p w:rsidR="003F5678" w:rsidRDefault="003F5678" w:rsidP="0004029A">
      <w:pPr>
        <w:spacing w:after="0" w:line="240" w:lineRule="auto"/>
      </w:pPr>
      <w:r>
        <w:continuationSeparator/>
      </w:r>
    </w:p>
  </w:footnote>
  <w:footnote w:id="1">
    <w:p w:rsidR="00C90338" w:rsidRPr="004C6A07" w:rsidRDefault="00C90338">
      <w:pPr>
        <w:pStyle w:val="FootnoteText"/>
        <w:rPr>
          <w:lang w:val="en-US"/>
        </w:rPr>
      </w:pPr>
      <w:r>
        <w:rPr>
          <w:rStyle w:val="FootnoteReference"/>
        </w:rPr>
        <w:footnoteRef/>
      </w:r>
      <w:r w:rsidRPr="004C6A07">
        <w:rPr>
          <w:lang w:val="en-US"/>
        </w:rPr>
        <w:t xml:space="preserve"> </w:t>
      </w:r>
      <w:r>
        <w:rPr>
          <w:lang w:val="en-US"/>
        </w:rPr>
        <w:t>See Appendix B.4.</w:t>
      </w:r>
    </w:p>
  </w:footnote>
  <w:footnote w:id="2">
    <w:p w:rsidR="00C90338" w:rsidRPr="003272EB" w:rsidRDefault="00C90338">
      <w:pPr>
        <w:pStyle w:val="FootnoteText"/>
        <w:rPr>
          <w:lang w:val="en-US"/>
        </w:rPr>
      </w:pPr>
      <w:r>
        <w:rPr>
          <w:rStyle w:val="FootnoteReference"/>
        </w:rPr>
        <w:footnoteRef/>
      </w:r>
      <w:r w:rsidRPr="003272EB">
        <w:rPr>
          <w:lang w:val="en-US"/>
        </w:rPr>
        <w:t xml:space="preserve"> The last year </w:t>
      </w:r>
      <w:r>
        <w:rPr>
          <w:lang w:val="en-US"/>
        </w:rPr>
        <w:t>Peru participated in this international standardized exam. Peru has also participated in PISA 2009 evaluation, but those results have not been published yet.</w:t>
      </w:r>
    </w:p>
  </w:footnote>
  <w:footnote w:id="3">
    <w:p w:rsidR="00C90338" w:rsidRPr="005D26AA" w:rsidRDefault="00C90338">
      <w:pPr>
        <w:pStyle w:val="FootnoteText"/>
        <w:rPr>
          <w:lang w:val="en-US"/>
        </w:rPr>
      </w:pPr>
      <w:r>
        <w:rPr>
          <w:rStyle w:val="FootnoteReference"/>
        </w:rPr>
        <w:footnoteRef/>
      </w:r>
      <w:r w:rsidRPr="005D26AA">
        <w:rPr>
          <w:lang w:val="en-US"/>
        </w:rPr>
        <w:t xml:space="preserve"> </w:t>
      </w:r>
      <w:r>
        <w:rPr>
          <w:lang w:val="en-US"/>
        </w:rPr>
        <w:t>See Appendix B for more information about these last rates.</w:t>
      </w:r>
    </w:p>
  </w:footnote>
  <w:footnote w:id="4">
    <w:p w:rsidR="00C90338" w:rsidRPr="00CD3F2E" w:rsidRDefault="00C90338">
      <w:pPr>
        <w:pStyle w:val="FootnoteText"/>
        <w:rPr>
          <w:lang w:val="en-US"/>
        </w:rPr>
      </w:pPr>
      <w:r>
        <w:rPr>
          <w:rStyle w:val="FootnoteReference"/>
        </w:rPr>
        <w:footnoteRef/>
      </w:r>
      <w:r w:rsidRPr="00CD3F2E">
        <w:rPr>
          <w:lang w:val="en-US"/>
        </w:rPr>
        <w:t xml:space="preserve"> http://www.nationmaster.com/correlations/edu_pup_tea_rat_pri_lev-pupils-teacher-ratio-primary-level</w:t>
      </w:r>
    </w:p>
  </w:footnote>
  <w:footnote w:id="5">
    <w:p w:rsidR="00C90338" w:rsidRPr="00535DB1" w:rsidRDefault="00C90338" w:rsidP="00124190">
      <w:pPr>
        <w:pStyle w:val="FootnoteText"/>
        <w:rPr>
          <w:lang w:val="en-US"/>
        </w:rPr>
      </w:pPr>
      <w:r>
        <w:rPr>
          <w:rStyle w:val="FootnoteReference"/>
        </w:rPr>
        <w:footnoteRef/>
      </w:r>
      <w:r w:rsidRPr="00535DB1">
        <w:rPr>
          <w:lang w:val="en-US"/>
        </w:rPr>
        <w:t xml:space="preserve"> It was excluded for the analysis the following education programs: Education for Natural Disasters Preparedness, Training and Improvement</w:t>
      </w:r>
      <w:r>
        <w:rPr>
          <w:lang w:val="en-US"/>
        </w:rPr>
        <w:t xml:space="preserve"> (aimed at teachers)</w:t>
      </w:r>
      <w:r w:rsidRPr="00535DB1">
        <w:rPr>
          <w:lang w:val="en-US"/>
        </w:rPr>
        <w:t xml:space="preserve">, </w:t>
      </w:r>
      <w:r>
        <w:rPr>
          <w:lang w:val="en-US"/>
        </w:rPr>
        <w:t>Culture-based education, Gymnastics and Sports.</w:t>
      </w:r>
    </w:p>
  </w:footnote>
  <w:footnote w:id="6">
    <w:p w:rsidR="00C90338" w:rsidRPr="0061379E" w:rsidRDefault="00C90338" w:rsidP="002B40C9">
      <w:pPr>
        <w:pStyle w:val="FootnoteText"/>
        <w:rPr>
          <w:lang w:val="en-US"/>
        </w:rPr>
      </w:pPr>
      <w:r>
        <w:rPr>
          <w:rStyle w:val="FootnoteReference"/>
        </w:rPr>
        <w:footnoteRef/>
      </w:r>
      <w:r w:rsidRPr="0061379E">
        <w:rPr>
          <w:lang w:val="en-US"/>
        </w:rPr>
        <w:t xml:space="preserve"> </w:t>
      </w:r>
      <w:r>
        <w:rPr>
          <w:lang w:val="en-US"/>
        </w:rPr>
        <w:t>See Appendix A for more information.</w:t>
      </w:r>
    </w:p>
  </w:footnote>
  <w:footnote w:id="7">
    <w:p w:rsidR="00C90338" w:rsidRPr="00B57979" w:rsidRDefault="00C90338">
      <w:pPr>
        <w:pStyle w:val="FootnoteText"/>
        <w:rPr>
          <w:sz w:val="18"/>
          <w:szCs w:val="18"/>
          <w:lang w:val="en-US"/>
        </w:rPr>
      </w:pPr>
      <w:r>
        <w:rPr>
          <w:rStyle w:val="FootnoteReference"/>
        </w:rPr>
        <w:footnoteRef/>
      </w:r>
      <w:r w:rsidRPr="00AC6A82">
        <w:rPr>
          <w:lang w:val="en-US"/>
        </w:rPr>
        <w:t xml:space="preserve"> </w:t>
      </w:r>
      <w:r w:rsidRPr="00B57979">
        <w:rPr>
          <w:sz w:val="18"/>
          <w:szCs w:val="18"/>
          <w:lang w:val="en-US"/>
        </w:rPr>
        <w:t xml:space="preserve">We are referring here </w:t>
      </w:r>
      <w:r>
        <w:rPr>
          <w:sz w:val="18"/>
          <w:szCs w:val="18"/>
          <w:lang w:val="en-US"/>
        </w:rPr>
        <w:t>at the national norms of human r</w:t>
      </w:r>
      <w:r w:rsidRPr="00B57979">
        <w:rPr>
          <w:sz w:val="18"/>
          <w:szCs w:val="18"/>
          <w:lang w:val="en-US"/>
        </w:rPr>
        <w:t>esources and procurement basically.</w:t>
      </w:r>
    </w:p>
  </w:footnote>
  <w:footnote w:id="8">
    <w:p w:rsidR="00C90338" w:rsidRPr="00B643B0" w:rsidRDefault="00C90338" w:rsidP="0092364B">
      <w:pPr>
        <w:pStyle w:val="FootnoteText"/>
        <w:rPr>
          <w:sz w:val="18"/>
          <w:szCs w:val="18"/>
          <w:lang w:val="en-US"/>
        </w:rPr>
      </w:pPr>
      <w:r>
        <w:rPr>
          <w:rStyle w:val="FootnoteReference"/>
        </w:rPr>
        <w:footnoteRef/>
      </w:r>
      <w:r w:rsidRPr="00B643B0">
        <w:rPr>
          <w:lang w:val="en-US"/>
        </w:rPr>
        <w:t xml:space="preserve"> </w:t>
      </w:r>
      <w:proofErr w:type="gramStart"/>
      <w:r w:rsidRPr="00B643B0">
        <w:rPr>
          <w:sz w:val="18"/>
          <w:szCs w:val="18"/>
          <w:lang w:val="en-US"/>
        </w:rPr>
        <w:t xml:space="preserve">Considered one of the most knowledgeable professors </w:t>
      </w:r>
      <w:r>
        <w:rPr>
          <w:sz w:val="18"/>
          <w:szCs w:val="18"/>
          <w:lang w:val="en-US"/>
        </w:rPr>
        <w:t>on</w:t>
      </w:r>
      <w:r w:rsidRPr="00B643B0">
        <w:rPr>
          <w:sz w:val="18"/>
          <w:szCs w:val="18"/>
          <w:lang w:val="en-US"/>
        </w:rPr>
        <w:t xml:space="preserve"> R</w:t>
      </w:r>
      <w:r>
        <w:rPr>
          <w:sz w:val="18"/>
          <w:szCs w:val="18"/>
          <w:lang w:val="en-US"/>
        </w:rPr>
        <w:t>esult Based Budget at the international level,</w:t>
      </w:r>
      <w:r w:rsidRPr="00B643B0">
        <w:rPr>
          <w:sz w:val="18"/>
          <w:szCs w:val="18"/>
          <w:lang w:val="en-US"/>
        </w:rPr>
        <w:t xml:space="preserve"> Maryland University.</w:t>
      </w:r>
      <w:proofErr w:type="gramEnd"/>
      <w:r w:rsidRPr="00B643B0">
        <w:rPr>
          <w:sz w:val="18"/>
          <w:szCs w:val="18"/>
          <w:lang w:val="en-US"/>
        </w:rPr>
        <w:t xml:space="preserve"> Speech at the Seminar organized by the Municipality of Lima and IDB in Lima August 13 y </w:t>
      </w:r>
      <w:proofErr w:type="gramStart"/>
      <w:r w:rsidRPr="00B643B0">
        <w:rPr>
          <w:sz w:val="18"/>
          <w:szCs w:val="18"/>
          <w:lang w:val="en-US"/>
        </w:rPr>
        <w:t>14 ,</w:t>
      </w:r>
      <w:proofErr w:type="gramEnd"/>
      <w:r w:rsidRPr="00B643B0">
        <w:rPr>
          <w:sz w:val="18"/>
          <w:szCs w:val="18"/>
          <w:lang w:val="en-US"/>
        </w:rPr>
        <w:t xml:space="preserve"> </w:t>
      </w:r>
      <w:proofErr w:type="spellStart"/>
      <w:r w:rsidRPr="00B643B0">
        <w:rPr>
          <w:sz w:val="18"/>
          <w:szCs w:val="18"/>
          <w:lang w:val="en-US"/>
        </w:rPr>
        <w:t>Swiss</w:t>
      </w:r>
      <w:r>
        <w:rPr>
          <w:sz w:val="18"/>
          <w:szCs w:val="18"/>
          <w:lang w:val="en-US"/>
        </w:rPr>
        <w:t>h</w:t>
      </w:r>
      <w:r w:rsidRPr="00B643B0">
        <w:rPr>
          <w:sz w:val="18"/>
          <w:szCs w:val="18"/>
          <w:lang w:val="en-US"/>
        </w:rPr>
        <w:t>otel</w:t>
      </w:r>
      <w:proofErr w:type="spellEnd"/>
      <w:r>
        <w:rPr>
          <w:sz w:val="18"/>
          <w:szCs w:val="18"/>
          <w:lang w:val="en-US"/>
        </w:rPr>
        <w:t>.</w:t>
      </w:r>
    </w:p>
  </w:footnote>
  <w:footnote w:id="9">
    <w:p w:rsidR="00C90338" w:rsidRPr="009F1341" w:rsidRDefault="00C90338">
      <w:pPr>
        <w:pStyle w:val="FootnoteText"/>
        <w:rPr>
          <w:lang w:val="en-US"/>
        </w:rPr>
      </w:pPr>
      <w:r>
        <w:rPr>
          <w:rStyle w:val="FootnoteReference"/>
        </w:rPr>
        <w:footnoteRef/>
      </w:r>
      <w:r w:rsidRPr="009F1341">
        <w:rPr>
          <w:lang w:val="en-US"/>
        </w:rPr>
        <w:t xml:space="preserve"> </w:t>
      </w:r>
      <w:r>
        <w:rPr>
          <w:lang w:val="en-US"/>
        </w:rPr>
        <w:t xml:space="preserve">Unlike this document, in the MINEDU´s report Universities and Institutes have been considered separately. </w:t>
      </w:r>
    </w:p>
  </w:footnote>
  <w:footnote w:id="10">
    <w:p w:rsidR="00C90338" w:rsidRPr="00D45B0D" w:rsidRDefault="00C90338" w:rsidP="005C4C92">
      <w:pPr>
        <w:pStyle w:val="FootnoteText"/>
        <w:rPr>
          <w:lang w:val="en-US"/>
        </w:rPr>
      </w:pPr>
      <w:r>
        <w:rPr>
          <w:rStyle w:val="FootnoteReference"/>
        </w:rPr>
        <w:footnoteRef/>
      </w:r>
      <w:r w:rsidRPr="00D45B0D">
        <w:rPr>
          <w:lang w:val="en-US"/>
        </w:rPr>
        <w:t xml:space="preserve"> APAFA is a Spanish acronym referred to the </w:t>
      </w:r>
      <w:r>
        <w:rPr>
          <w:lang w:val="en-US"/>
        </w:rPr>
        <w:t>Parents Association (“</w:t>
      </w:r>
      <w:proofErr w:type="spellStart"/>
      <w:r w:rsidRPr="00D45B0D">
        <w:rPr>
          <w:lang w:val="en-US"/>
        </w:rPr>
        <w:t>Asociación</w:t>
      </w:r>
      <w:proofErr w:type="spellEnd"/>
      <w:r w:rsidRPr="00D45B0D">
        <w:rPr>
          <w:lang w:val="en-US"/>
        </w:rPr>
        <w:t xml:space="preserve"> de Padres de </w:t>
      </w:r>
      <w:proofErr w:type="spellStart"/>
      <w:r w:rsidRPr="00D45B0D">
        <w:rPr>
          <w:lang w:val="en-US"/>
        </w:rPr>
        <w:t>Familia</w:t>
      </w:r>
      <w:proofErr w:type="spellEnd"/>
      <w:r>
        <w:rPr>
          <w:lang w:val="en-US"/>
        </w:rPr>
        <w:t>”</w:t>
      </w:r>
      <w:r w:rsidRPr="00D45B0D">
        <w:rPr>
          <w:lang w:val="en-US"/>
        </w:rPr>
        <w:t>). The funds obtained by the </w:t>
      </w:r>
      <w:r w:rsidRPr="00D45B0D">
        <w:rPr>
          <w:bCs/>
          <w:lang w:val="en-US"/>
        </w:rPr>
        <w:t>APAFA</w:t>
      </w:r>
      <w:r w:rsidRPr="00D45B0D">
        <w:rPr>
          <w:lang w:val="en-US"/>
        </w:rPr>
        <w:t> </w:t>
      </w:r>
      <w:r>
        <w:rPr>
          <w:lang w:val="en-US"/>
        </w:rPr>
        <w:t>are</w:t>
      </w:r>
      <w:r w:rsidRPr="00D45B0D">
        <w:rPr>
          <w:lang w:val="en-US"/>
        </w:rPr>
        <w:t xml:space="preserve"> administrated by </w:t>
      </w:r>
      <w:r>
        <w:rPr>
          <w:lang w:val="en-US"/>
        </w:rPr>
        <w:t xml:space="preserve">both </w:t>
      </w:r>
      <w:r w:rsidRPr="00D45B0D">
        <w:rPr>
          <w:lang w:val="en-US"/>
        </w:rPr>
        <w:t>the administration of the school and the Board of Directors of the </w:t>
      </w:r>
      <w:r w:rsidRPr="00D45B0D">
        <w:rPr>
          <w:bCs/>
          <w:lang w:val="en-US"/>
        </w:rPr>
        <w:t>APAFA</w:t>
      </w:r>
      <w:r w:rsidRPr="00D45B0D">
        <w:rPr>
          <w:lang w:val="en-US"/>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0546F"/>
    <w:multiLevelType w:val="hybridMultilevel"/>
    <w:tmpl w:val="9EA0FD8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AB82F0F"/>
    <w:multiLevelType w:val="hybridMultilevel"/>
    <w:tmpl w:val="A8EC192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815455"/>
    <w:multiLevelType w:val="hybridMultilevel"/>
    <w:tmpl w:val="E81899E8"/>
    <w:lvl w:ilvl="0" w:tplc="895C10B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F011EB3"/>
    <w:multiLevelType w:val="hybridMultilevel"/>
    <w:tmpl w:val="DCD678C6"/>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2FB97C7A"/>
    <w:multiLevelType w:val="hybridMultilevel"/>
    <w:tmpl w:val="0A9E953C"/>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33C9537F"/>
    <w:multiLevelType w:val="hybridMultilevel"/>
    <w:tmpl w:val="CEDC7930"/>
    <w:lvl w:ilvl="0" w:tplc="0409000B">
      <w:start w:val="1"/>
      <w:numFmt w:val="bullet"/>
      <w:lvlText w:val=""/>
      <w:lvlJc w:val="left"/>
      <w:pPr>
        <w:ind w:left="3192" w:hanging="360"/>
      </w:pPr>
      <w:rPr>
        <w:rFonts w:ascii="Wingdings" w:hAnsi="Wingdings" w:hint="default"/>
      </w:rPr>
    </w:lvl>
    <w:lvl w:ilvl="1" w:tplc="04090003" w:tentative="1">
      <w:start w:val="1"/>
      <w:numFmt w:val="bullet"/>
      <w:lvlText w:val="o"/>
      <w:lvlJc w:val="left"/>
      <w:pPr>
        <w:ind w:left="3912" w:hanging="360"/>
      </w:pPr>
      <w:rPr>
        <w:rFonts w:ascii="Courier New" w:hAnsi="Courier New" w:cs="Courier New" w:hint="default"/>
      </w:rPr>
    </w:lvl>
    <w:lvl w:ilvl="2" w:tplc="04090005" w:tentative="1">
      <w:start w:val="1"/>
      <w:numFmt w:val="bullet"/>
      <w:lvlText w:val=""/>
      <w:lvlJc w:val="left"/>
      <w:pPr>
        <w:ind w:left="4632" w:hanging="360"/>
      </w:pPr>
      <w:rPr>
        <w:rFonts w:ascii="Wingdings" w:hAnsi="Wingdings" w:hint="default"/>
      </w:rPr>
    </w:lvl>
    <w:lvl w:ilvl="3" w:tplc="04090001" w:tentative="1">
      <w:start w:val="1"/>
      <w:numFmt w:val="bullet"/>
      <w:lvlText w:val=""/>
      <w:lvlJc w:val="left"/>
      <w:pPr>
        <w:ind w:left="5352" w:hanging="360"/>
      </w:pPr>
      <w:rPr>
        <w:rFonts w:ascii="Symbol" w:hAnsi="Symbol" w:hint="default"/>
      </w:rPr>
    </w:lvl>
    <w:lvl w:ilvl="4" w:tplc="04090003" w:tentative="1">
      <w:start w:val="1"/>
      <w:numFmt w:val="bullet"/>
      <w:lvlText w:val="o"/>
      <w:lvlJc w:val="left"/>
      <w:pPr>
        <w:ind w:left="6072" w:hanging="360"/>
      </w:pPr>
      <w:rPr>
        <w:rFonts w:ascii="Courier New" w:hAnsi="Courier New" w:cs="Courier New" w:hint="default"/>
      </w:rPr>
    </w:lvl>
    <w:lvl w:ilvl="5" w:tplc="04090005" w:tentative="1">
      <w:start w:val="1"/>
      <w:numFmt w:val="bullet"/>
      <w:lvlText w:val=""/>
      <w:lvlJc w:val="left"/>
      <w:pPr>
        <w:ind w:left="6792" w:hanging="360"/>
      </w:pPr>
      <w:rPr>
        <w:rFonts w:ascii="Wingdings" w:hAnsi="Wingdings" w:hint="default"/>
      </w:rPr>
    </w:lvl>
    <w:lvl w:ilvl="6" w:tplc="04090001" w:tentative="1">
      <w:start w:val="1"/>
      <w:numFmt w:val="bullet"/>
      <w:lvlText w:val=""/>
      <w:lvlJc w:val="left"/>
      <w:pPr>
        <w:ind w:left="7512" w:hanging="360"/>
      </w:pPr>
      <w:rPr>
        <w:rFonts w:ascii="Symbol" w:hAnsi="Symbol" w:hint="default"/>
      </w:rPr>
    </w:lvl>
    <w:lvl w:ilvl="7" w:tplc="04090003" w:tentative="1">
      <w:start w:val="1"/>
      <w:numFmt w:val="bullet"/>
      <w:lvlText w:val="o"/>
      <w:lvlJc w:val="left"/>
      <w:pPr>
        <w:ind w:left="8232" w:hanging="360"/>
      </w:pPr>
      <w:rPr>
        <w:rFonts w:ascii="Courier New" w:hAnsi="Courier New" w:cs="Courier New" w:hint="default"/>
      </w:rPr>
    </w:lvl>
    <w:lvl w:ilvl="8" w:tplc="04090005" w:tentative="1">
      <w:start w:val="1"/>
      <w:numFmt w:val="bullet"/>
      <w:lvlText w:val=""/>
      <w:lvlJc w:val="left"/>
      <w:pPr>
        <w:ind w:left="8952" w:hanging="360"/>
      </w:pPr>
      <w:rPr>
        <w:rFonts w:ascii="Wingdings" w:hAnsi="Wingdings" w:hint="default"/>
      </w:rPr>
    </w:lvl>
  </w:abstractNum>
  <w:abstractNum w:abstractNumId="6">
    <w:nsid w:val="3CAD73CC"/>
    <w:multiLevelType w:val="hybridMultilevel"/>
    <w:tmpl w:val="47503790"/>
    <w:lvl w:ilvl="0" w:tplc="0409000B">
      <w:start w:val="1"/>
      <w:numFmt w:val="bullet"/>
      <w:lvlText w:val=""/>
      <w:lvlJc w:val="left"/>
      <w:pPr>
        <w:ind w:left="1068" w:hanging="360"/>
      </w:pPr>
      <w:rPr>
        <w:rFonts w:ascii="Wingdings" w:hAnsi="Wingdings"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7">
    <w:nsid w:val="3D120EE6"/>
    <w:multiLevelType w:val="hybridMultilevel"/>
    <w:tmpl w:val="AB963A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7362657"/>
    <w:multiLevelType w:val="hybridMultilevel"/>
    <w:tmpl w:val="39A623D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A7C3492"/>
    <w:multiLevelType w:val="hybridMultilevel"/>
    <w:tmpl w:val="C1521058"/>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533F7056"/>
    <w:multiLevelType w:val="hybridMultilevel"/>
    <w:tmpl w:val="D5A6F348"/>
    <w:lvl w:ilvl="0" w:tplc="BC0002C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4156AAB"/>
    <w:multiLevelType w:val="hybridMultilevel"/>
    <w:tmpl w:val="ED9875C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B5C2C3E"/>
    <w:multiLevelType w:val="hybridMultilevel"/>
    <w:tmpl w:val="52DC24CC"/>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66E9463C"/>
    <w:multiLevelType w:val="hybridMultilevel"/>
    <w:tmpl w:val="2BDCEF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8106B72"/>
    <w:multiLevelType w:val="hybridMultilevel"/>
    <w:tmpl w:val="E728815C"/>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6A8A0411"/>
    <w:multiLevelType w:val="hybridMultilevel"/>
    <w:tmpl w:val="85DCA7E0"/>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7DB72442"/>
    <w:multiLevelType w:val="hybridMultilevel"/>
    <w:tmpl w:val="358A3718"/>
    <w:lvl w:ilvl="0" w:tplc="9C1A3BBE">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8"/>
  </w:num>
  <w:num w:numId="3">
    <w:abstractNumId w:val="11"/>
  </w:num>
  <w:num w:numId="4">
    <w:abstractNumId w:val="10"/>
  </w:num>
  <w:num w:numId="5">
    <w:abstractNumId w:val="7"/>
  </w:num>
  <w:num w:numId="6">
    <w:abstractNumId w:val="13"/>
  </w:num>
  <w:num w:numId="7">
    <w:abstractNumId w:val="1"/>
  </w:num>
  <w:num w:numId="8">
    <w:abstractNumId w:val="5"/>
  </w:num>
  <w:num w:numId="9">
    <w:abstractNumId w:val="6"/>
  </w:num>
  <w:num w:numId="10">
    <w:abstractNumId w:val="16"/>
  </w:num>
  <w:num w:numId="11">
    <w:abstractNumId w:val="2"/>
  </w:num>
  <w:num w:numId="12">
    <w:abstractNumId w:val="3"/>
  </w:num>
  <w:num w:numId="13">
    <w:abstractNumId w:val="15"/>
  </w:num>
  <w:num w:numId="14">
    <w:abstractNumId w:val="14"/>
  </w:num>
  <w:num w:numId="15">
    <w:abstractNumId w:val="4"/>
  </w:num>
  <w:num w:numId="16">
    <w:abstractNumId w:val="9"/>
  </w:num>
  <w:num w:numId="1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3C5FE7"/>
    <w:rsid w:val="00001F71"/>
    <w:rsid w:val="000022F5"/>
    <w:rsid w:val="00002F09"/>
    <w:rsid w:val="00003ACE"/>
    <w:rsid w:val="00003BF8"/>
    <w:rsid w:val="00005371"/>
    <w:rsid w:val="00005984"/>
    <w:rsid w:val="000059C4"/>
    <w:rsid w:val="00005CAB"/>
    <w:rsid w:val="00006B10"/>
    <w:rsid w:val="000112EF"/>
    <w:rsid w:val="00012729"/>
    <w:rsid w:val="00012B0F"/>
    <w:rsid w:val="0001537B"/>
    <w:rsid w:val="000160B6"/>
    <w:rsid w:val="00016D97"/>
    <w:rsid w:val="00020961"/>
    <w:rsid w:val="000210E7"/>
    <w:rsid w:val="000228EB"/>
    <w:rsid w:val="000257A0"/>
    <w:rsid w:val="00030541"/>
    <w:rsid w:val="00031109"/>
    <w:rsid w:val="0003139B"/>
    <w:rsid w:val="00031AA8"/>
    <w:rsid w:val="00031B67"/>
    <w:rsid w:val="000370BA"/>
    <w:rsid w:val="0004029A"/>
    <w:rsid w:val="00041CE1"/>
    <w:rsid w:val="00043499"/>
    <w:rsid w:val="000436CF"/>
    <w:rsid w:val="000437FF"/>
    <w:rsid w:val="00046EF3"/>
    <w:rsid w:val="0004777E"/>
    <w:rsid w:val="00047ECE"/>
    <w:rsid w:val="0005117F"/>
    <w:rsid w:val="00051CBB"/>
    <w:rsid w:val="00052091"/>
    <w:rsid w:val="000524F1"/>
    <w:rsid w:val="00053BC2"/>
    <w:rsid w:val="00057555"/>
    <w:rsid w:val="00057748"/>
    <w:rsid w:val="0006469F"/>
    <w:rsid w:val="00066045"/>
    <w:rsid w:val="0006682B"/>
    <w:rsid w:val="00066ED2"/>
    <w:rsid w:val="000703C8"/>
    <w:rsid w:val="00073814"/>
    <w:rsid w:val="00074D95"/>
    <w:rsid w:val="00076C22"/>
    <w:rsid w:val="0008072A"/>
    <w:rsid w:val="0008079E"/>
    <w:rsid w:val="00081EF9"/>
    <w:rsid w:val="00082CA8"/>
    <w:rsid w:val="000837BF"/>
    <w:rsid w:val="000842C4"/>
    <w:rsid w:val="00084562"/>
    <w:rsid w:val="0009068C"/>
    <w:rsid w:val="00090FC0"/>
    <w:rsid w:val="00091386"/>
    <w:rsid w:val="00091666"/>
    <w:rsid w:val="00091DEC"/>
    <w:rsid w:val="00093CEE"/>
    <w:rsid w:val="00094524"/>
    <w:rsid w:val="0009591F"/>
    <w:rsid w:val="000959C0"/>
    <w:rsid w:val="00096A33"/>
    <w:rsid w:val="000A059E"/>
    <w:rsid w:val="000B1057"/>
    <w:rsid w:val="000B1809"/>
    <w:rsid w:val="000B1FDB"/>
    <w:rsid w:val="000B2473"/>
    <w:rsid w:val="000B4BF4"/>
    <w:rsid w:val="000B5961"/>
    <w:rsid w:val="000B5B74"/>
    <w:rsid w:val="000C1BA4"/>
    <w:rsid w:val="000C26C8"/>
    <w:rsid w:val="000C5851"/>
    <w:rsid w:val="000C6592"/>
    <w:rsid w:val="000C6935"/>
    <w:rsid w:val="000C6ACB"/>
    <w:rsid w:val="000C72BC"/>
    <w:rsid w:val="000C7E1C"/>
    <w:rsid w:val="000D0098"/>
    <w:rsid w:val="000D0B05"/>
    <w:rsid w:val="000D1131"/>
    <w:rsid w:val="000D3145"/>
    <w:rsid w:val="000D3B5B"/>
    <w:rsid w:val="000D4F6E"/>
    <w:rsid w:val="000D58B7"/>
    <w:rsid w:val="000D5A1C"/>
    <w:rsid w:val="000E4B19"/>
    <w:rsid w:val="000E6072"/>
    <w:rsid w:val="000F01B1"/>
    <w:rsid w:val="000F030C"/>
    <w:rsid w:val="000F13C5"/>
    <w:rsid w:val="000F304B"/>
    <w:rsid w:val="000F35DC"/>
    <w:rsid w:val="000F5140"/>
    <w:rsid w:val="001002AC"/>
    <w:rsid w:val="0010074E"/>
    <w:rsid w:val="00100795"/>
    <w:rsid w:val="001018D0"/>
    <w:rsid w:val="00105005"/>
    <w:rsid w:val="0010687A"/>
    <w:rsid w:val="00106A05"/>
    <w:rsid w:val="00110555"/>
    <w:rsid w:val="00110EA9"/>
    <w:rsid w:val="00112139"/>
    <w:rsid w:val="00116596"/>
    <w:rsid w:val="00116E76"/>
    <w:rsid w:val="00117C00"/>
    <w:rsid w:val="001204DF"/>
    <w:rsid w:val="00121BE6"/>
    <w:rsid w:val="0012270A"/>
    <w:rsid w:val="00122C0A"/>
    <w:rsid w:val="00123959"/>
    <w:rsid w:val="00124190"/>
    <w:rsid w:val="00124250"/>
    <w:rsid w:val="00125399"/>
    <w:rsid w:val="00125733"/>
    <w:rsid w:val="00126740"/>
    <w:rsid w:val="00127533"/>
    <w:rsid w:val="00130842"/>
    <w:rsid w:val="00130B71"/>
    <w:rsid w:val="0013144C"/>
    <w:rsid w:val="00131669"/>
    <w:rsid w:val="0013220E"/>
    <w:rsid w:val="00132B56"/>
    <w:rsid w:val="0013331C"/>
    <w:rsid w:val="00134C0E"/>
    <w:rsid w:val="00135A8B"/>
    <w:rsid w:val="00140865"/>
    <w:rsid w:val="00143E87"/>
    <w:rsid w:val="00147D06"/>
    <w:rsid w:val="001533E3"/>
    <w:rsid w:val="00156813"/>
    <w:rsid w:val="00162A9A"/>
    <w:rsid w:val="00163531"/>
    <w:rsid w:val="00165019"/>
    <w:rsid w:val="001656D7"/>
    <w:rsid w:val="00167961"/>
    <w:rsid w:val="00167C0C"/>
    <w:rsid w:val="00170545"/>
    <w:rsid w:val="00170851"/>
    <w:rsid w:val="00173249"/>
    <w:rsid w:val="001732C3"/>
    <w:rsid w:val="00174C1F"/>
    <w:rsid w:val="001801B1"/>
    <w:rsid w:val="00181B3E"/>
    <w:rsid w:val="001828FB"/>
    <w:rsid w:val="0018347B"/>
    <w:rsid w:val="001838D7"/>
    <w:rsid w:val="00184746"/>
    <w:rsid w:val="00184AF1"/>
    <w:rsid w:val="0018644E"/>
    <w:rsid w:val="0018742E"/>
    <w:rsid w:val="001906D4"/>
    <w:rsid w:val="00191785"/>
    <w:rsid w:val="0019273C"/>
    <w:rsid w:val="00192B27"/>
    <w:rsid w:val="00192FDF"/>
    <w:rsid w:val="00194E20"/>
    <w:rsid w:val="00195584"/>
    <w:rsid w:val="00195A76"/>
    <w:rsid w:val="00196280"/>
    <w:rsid w:val="001A0C9B"/>
    <w:rsid w:val="001A3A3E"/>
    <w:rsid w:val="001A3F6B"/>
    <w:rsid w:val="001A40FE"/>
    <w:rsid w:val="001A5253"/>
    <w:rsid w:val="001A589A"/>
    <w:rsid w:val="001A62FF"/>
    <w:rsid w:val="001A6A91"/>
    <w:rsid w:val="001A6DD2"/>
    <w:rsid w:val="001A7675"/>
    <w:rsid w:val="001A7AD0"/>
    <w:rsid w:val="001A7EC9"/>
    <w:rsid w:val="001B4985"/>
    <w:rsid w:val="001C0120"/>
    <w:rsid w:val="001C1BBB"/>
    <w:rsid w:val="001C262D"/>
    <w:rsid w:val="001C2BAB"/>
    <w:rsid w:val="001C2BF4"/>
    <w:rsid w:val="001C5049"/>
    <w:rsid w:val="001C73B1"/>
    <w:rsid w:val="001C7661"/>
    <w:rsid w:val="001D03E6"/>
    <w:rsid w:val="001D073D"/>
    <w:rsid w:val="001D08B9"/>
    <w:rsid w:val="001D1D12"/>
    <w:rsid w:val="001D51A8"/>
    <w:rsid w:val="001D666C"/>
    <w:rsid w:val="001D6716"/>
    <w:rsid w:val="001D76A9"/>
    <w:rsid w:val="001E07DB"/>
    <w:rsid w:val="001E314E"/>
    <w:rsid w:val="001E3A06"/>
    <w:rsid w:val="001E4456"/>
    <w:rsid w:val="001E5341"/>
    <w:rsid w:val="001E5844"/>
    <w:rsid w:val="001E5C64"/>
    <w:rsid w:val="001E64FB"/>
    <w:rsid w:val="001E6A30"/>
    <w:rsid w:val="001E702E"/>
    <w:rsid w:val="001E76CE"/>
    <w:rsid w:val="001F0870"/>
    <w:rsid w:val="001F0EB3"/>
    <w:rsid w:val="001F4CC9"/>
    <w:rsid w:val="001F5791"/>
    <w:rsid w:val="001F5BA2"/>
    <w:rsid w:val="001F69B8"/>
    <w:rsid w:val="001F69FA"/>
    <w:rsid w:val="002002D5"/>
    <w:rsid w:val="002014F7"/>
    <w:rsid w:val="00201732"/>
    <w:rsid w:val="00201AD9"/>
    <w:rsid w:val="00201D5E"/>
    <w:rsid w:val="002024E6"/>
    <w:rsid w:val="00202807"/>
    <w:rsid w:val="00202C36"/>
    <w:rsid w:val="002100C9"/>
    <w:rsid w:val="00211AAB"/>
    <w:rsid w:val="00211E16"/>
    <w:rsid w:val="00211EAE"/>
    <w:rsid w:val="0021208F"/>
    <w:rsid w:val="002129F5"/>
    <w:rsid w:val="00212E1E"/>
    <w:rsid w:val="002133F7"/>
    <w:rsid w:val="00215683"/>
    <w:rsid w:val="00216755"/>
    <w:rsid w:val="00217DEB"/>
    <w:rsid w:val="00220824"/>
    <w:rsid w:val="00220AD4"/>
    <w:rsid w:val="0022345C"/>
    <w:rsid w:val="00225D8E"/>
    <w:rsid w:val="00225E88"/>
    <w:rsid w:val="0022648A"/>
    <w:rsid w:val="00230470"/>
    <w:rsid w:val="002404F9"/>
    <w:rsid w:val="002414A7"/>
    <w:rsid w:val="00242F90"/>
    <w:rsid w:val="00244C5B"/>
    <w:rsid w:val="00247549"/>
    <w:rsid w:val="00250A24"/>
    <w:rsid w:val="00252673"/>
    <w:rsid w:val="002534F5"/>
    <w:rsid w:val="00253EF8"/>
    <w:rsid w:val="00253FAE"/>
    <w:rsid w:val="00254006"/>
    <w:rsid w:val="00254189"/>
    <w:rsid w:val="002552AD"/>
    <w:rsid w:val="00256363"/>
    <w:rsid w:val="00257A4F"/>
    <w:rsid w:val="00262554"/>
    <w:rsid w:val="00262691"/>
    <w:rsid w:val="00264EAF"/>
    <w:rsid w:val="00266181"/>
    <w:rsid w:val="002661EE"/>
    <w:rsid w:val="00266B7D"/>
    <w:rsid w:val="00267066"/>
    <w:rsid w:val="00267182"/>
    <w:rsid w:val="0026728E"/>
    <w:rsid w:val="002672BA"/>
    <w:rsid w:val="00267345"/>
    <w:rsid w:val="00270612"/>
    <w:rsid w:val="002706EB"/>
    <w:rsid w:val="0027147E"/>
    <w:rsid w:val="00271B14"/>
    <w:rsid w:val="00271FFA"/>
    <w:rsid w:val="002727CA"/>
    <w:rsid w:val="00272C1F"/>
    <w:rsid w:val="00273901"/>
    <w:rsid w:val="00273CED"/>
    <w:rsid w:val="0027439B"/>
    <w:rsid w:val="00277AA6"/>
    <w:rsid w:val="0028068E"/>
    <w:rsid w:val="00280F3B"/>
    <w:rsid w:val="0028183E"/>
    <w:rsid w:val="00283842"/>
    <w:rsid w:val="00284C6B"/>
    <w:rsid w:val="0028640A"/>
    <w:rsid w:val="00286472"/>
    <w:rsid w:val="00287167"/>
    <w:rsid w:val="002900CD"/>
    <w:rsid w:val="002910CB"/>
    <w:rsid w:val="0029182C"/>
    <w:rsid w:val="00291A31"/>
    <w:rsid w:val="00291C76"/>
    <w:rsid w:val="00291E56"/>
    <w:rsid w:val="0029258A"/>
    <w:rsid w:val="002931A6"/>
    <w:rsid w:val="002940EE"/>
    <w:rsid w:val="00294AE2"/>
    <w:rsid w:val="002950A9"/>
    <w:rsid w:val="002955B0"/>
    <w:rsid w:val="002965A1"/>
    <w:rsid w:val="00297E57"/>
    <w:rsid w:val="002A1A73"/>
    <w:rsid w:val="002A4DAE"/>
    <w:rsid w:val="002A5E7D"/>
    <w:rsid w:val="002A73C2"/>
    <w:rsid w:val="002B24BC"/>
    <w:rsid w:val="002B40C9"/>
    <w:rsid w:val="002B479D"/>
    <w:rsid w:val="002B6922"/>
    <w:rsid w:val="002B79A7"/>
    <w:rsid w:val="002B7E9E"/>
    <w:rsid w:val="002C0991"/>
    <w:rsid w:val="002C2CD0"/>
    <w:rsid w:val="002C3809"/>
    <w:rsid w:val="002C4248"/>
    <w:rsid w:val="002C4BA2"/>
    <w:rsid w:val="002C5159"/>
    <w:rsid w:val="002C588C"/>
    <w:rsid w:val="002C6DCB"/>
    <w:rsid w:val="002D300D"/>
    <w:rsid w:val="002D537F"/>
    <w:rsid w:val="002D7619"/>
    <w:rsid w:val="002E1062"/>
    <w:rsid w:val="002E10CC"/>
    <w:rsid w:val="002E1579"/>
    <w:rsid w:val="002E77BE"/>
    <w:rsid w:val="002E781D"/>
    <w:rsid w:val="002E7B50"/>
    <w:rsid w:val="002F0DC3"/>
    <w:rsid w:val="002F3392"/>
    <w:rsid w:val="002F3422"/>
    <w:rsid w:val="002F3E30"/>
    <w:rsid w:val="002F3E66"/>
    <w:rsid w:val="002F5CB8"/>
    <w:rsid w:val="002F66D1"/>
    <w:rsid w:val="002F737B"/>
    <w:rsid w:val="002F7CDE"/>
    <w:rsid w:val="003019B4"/>
    <w:rsid w:val="00302506"/>
    <w:rsid w:val="00304700"/>
    <w:rsid w:val="00306055"/>
    <w:rsid w:val="003064A7"/>
    <w:rsid w:val="00307997"/>
    <w:rsid w:val="00310616"/>
    <w:rsid w:val="00312E39"/>
    <w:rsid w:val="00314B07"/>
    <w:rsid w:val="003162A9"/>
    <w:rsid w:val="00320047"/>
    <w:rsid w:val="00320154"/>
    <w:rsid w:val="0032044A"/>
    <w:rsid w:val="00320B66"/>
    <w:rsid w:val="003223DF"/>
    <w:rsid w:val="00322E62"/>
    <w:rsid w:val="00323ADE"/>
    <w:rsid w:val="003264CE"/>
    <w:rsid w:val="003272EB"/>
    <w:rsid w:val="003273DD"/>
    <w:rsid w:val="00327F3B"/>
    <w:rsid w:val="00331319"/>
    <w:rsid w:val="00331E69"/>
    <w:rsid w:val="00345E66"/>
    <w:rsid w:val="00351F2B"/>
    <w:rsid w:val="003526B6"/>
    <w:rsid w:val="00352F78"/>
    <w:rsid w:val="00354321"/>
    <w:rsid w:val="00356772"/>
    <w:rsid w:val="0036031C"/>
    <w:rsid w:val="00361D0D"/>
    <w:rsid w:val="00361DF3"/>
    <w:rsid w:val="0036372E"/>
    <w:rsid w:val="00363BC2"/>
    <w:rsid w:val="00364B51"/>
    <w:rsid w:val="00365686"/>
    <w:rsid w:val="0036580B"/>
    <w:rsid w:val="00370C66"/>
    <w:rsid w:val="00371528"/>
    <w:rsid w:val="00371B90"/>
    <w:rsid w:val="00372098"/>
    <w:rsid w:val="0037232D"/>
    <w:rsid w:val="003725AF"/>
    <w:rsid w:val="00375A34"/>
    <w:rsid w:val="00375F25"/>
    <w:rsid w:val="00376F28"/>
    <w:rsid w:val="00383B90"/>
    <w:rsid w:val="00383D55"/>
    <w:rsid w:val="00384DD5"/>
    <w:rsid w:val="003912C8"/>
    <w:rsid w:val="0039238F"/>
    <w:rsid w:val="00392600"/>
    <w:rsid w:val="00393AEF"/>
    <w:rsid w:val="0039740B"/>
    <w:rsid w:val="00397EAF"/>
    <w:rsid w:val="003A0CCE"/>
    <w:rsid w:val="003A412C"/>
    <w:rsid w:val="003A698E"/>
    <w:rsid w:val="003A6DF7"/>
    <w:rsid w:val="003B29B3"/>
    <w:rsid w:val="003B2E50"/>
    <w:rsid w:val="003B4B1D"/>
    <w:rsid w:val="003B55E4"/>
    <w:rsid w:val="003B6C38"/>
    <w:rsid w:val="003C0AC0"/>
    <w:rsid w:val="003C0DB6"/>
    <w:rsid w:val="003C248B"/>
    <w:rsid w:val="003C31AF"/>
    <w:rsid w:val="003C42FC"/>
    <w:rsid w:val="003C5E82"/>
    <w:rsid w:val="003C5FE7"/>
    <w:rsid w:val="003C6822"/>
    <w:rsid w:val="003C6AC2"/>
    <w:rsid w:val="003C6E01"/>
    <w:rsid w:val="003C6F45"/>
    <w:rsid w:val="003D3821"/>
    <w:rsid w:val="003D6A50"/>
    <w:rsid w:val="003D6CB3"/>
    <w:rsid w:val="003D6D21"/>
    <w:rsid w:val="003E080F"/>
    <w:rsid w:val="003E67DA"/>
    <w:rsid w:val="003F08A0"/>
    <w:rsid w:val="003F30B7"/>
    <w:rsid w:val="003F39E9"/>
    <w:rsid w:val="003F5678"/>
    <w:rsid w:val="003F5E03"/>
    <w:rsid w:val="003F605C"/>
    <w:rsid w:val="00400AFA"/>
    <w:rsid w:val="00401D2A"/>
    <w:rsid w:val="00402F72"/>
    <w:rsid w:val="0040638C"/>
    <w:rsid w:val="004076F3"/>
    <w:rsid w:val="00407AF4"/>
    <w:rsid w:val="0041692E"/>
    <w:rsid w:val="00417239"/>
    <w:rsid w:val="00417816"/>
    <w:rsid w:val="0042088B"/>
    <w:rsid w:val="00421654"/>
    <w:rsid w:val="00422F7D"/>
    <w:rsid w:val="00423F8B"/>
    <w:rsid w:val="00426ED5"/>
    <w:rsid w:val="004271B3"/>
    <w:rsid w:val="00427DE0"/>
    <w:rsid w:val="00427F68"/>
    <w:rsid w:val="004300A6"/>
    <w:rsid w:val="00431CF6"/>
    <w:rsid w:val="00433CF8"/>
    <w:rsid w:val="00433E7A"/>
    <w:rsid w:val="00437427"/>
    <w:rsid w:val="0044748A"/>
    <w:rsid w:val="0044793F"/>
    <w:rsid w:val="00451AB8"/>
    <w:rsid w:val="00455B68"/>
    <w:rsid w:val="00457C50"/>
    <w:rsid w:val="00460F52"/>
    <w:rsid w:val="00461369"/>
    <w:rsid w:val="00471231"/>
    <w:rsid w:val="004722C5"/>
    <w:rsid w:val="004725F5"/>
    <w:rsid w:val="00472E56"/>
    <w:rsid w:val="00473BA7"/>
    <w:rsid w:val="00474AE8"/>
    <w:rsid w:val="004757E8"/>
    <w:rsid w:val="00475852"/>
    <w:rsid w:val="00475AEF"/>
    <w:rsid w:val="00475B3C"/>
    <w:rsid w:val="004801D9"/>
    <w:rsid w:val="00480ADF"/>
    <w:rsid w:val="00482016"/>
    <w:rsid w:val="004835C0"/>
    <w:rsid w:val="0048536E"/>
    <w:rsid w:val="004855E1"/>
    <w:rsid w:val="00486112"/>
    <w:rsid w:val="00487FEC"/>
    <w:rsid w:val="0049067C"/>
    <w:rsid w:val="00490D46"/>
    <w:rsid w:val="00492FC3"/>
    <w:rsid w:val="00494847"/>
    <w:rsid w:val="0049674C"/>
    <w:rsid w:val="00497192"/>
    <w:rsid w:val="004A0649"/>
    <w:rsid w:val="004A2B77"/>
    <w:rsid w:val="004A2BE3"/>
    <w:rsid w:val="004A4F72"/>
    <w:rsid w:val="004A7F8E"/>
    <w:rsid w:val="004B13E7"/>
    <w:rsid w:val="004B1F48"/>
    <w:rsid w:val="004B4821"/>
    <w:rsid w:val="004B517C"/>
    <w:rsid w:val="004B5AA1"/>
    <w:rsid w:val="004B72AA"/>
    <w:rsid w:val="004C288A"/>
    <w:rsid w:val="004C28E5"/>
    <w:rsid w:val="004C2A03"/>
    <w:rsid w:val="004C354A"/>
    <w:rsid w:val="004C3BE4"/>
    <w:rsid w:val="004C3F9A"/>
    <w:rsid w:val="004C4252"/>
    <w:rsid w:val="004C437A"/>
    <w:rsid w:val="004C4AA6"/>
    <w:rsid w:val="004C5220"/>
    <w:rsid w:val="004C5AE7"/>
    <w:rsid w:val="004C6A07"/>
    <w:rsid w:val="004C7065"/>
    <w:rsid w:val="004D0321"/>
    <w:rsid w:val="004D0E65"/>
    <w:rsid w:val="004D11AE"/>
    <w:rsid w:val="004D264F"/>
    <w:rsid w:val="004D2FA6"/>
    <w:rsid w:val="004D3D56"/>
    <w:rsid w:val="004D3EA2"/>
    <w:rsid w:val="004D3ED1"/>
    <w:rsid w:val="004D54EE"/>
    <w:rsid w:val="004D690D"/>
    <w:rsid w:val="004E21F9"/>
    <w:rsid w:val="004E2483"/>
    <w:rsid w:val="004E24F2"/>
    <w:rsid w:val="004E2D7C"/>
    <w:rsid w:val="004E4D0C"/>
    <w:rsid w:val="004E6968"/>
    <w:rsid w:val="004E7B3D"/>
    <w:rsid w:val="004F56A5"/>
    <w:rsid w:val="004F5D80"/>
    <w:rsid w:val="005001F7"/>
    <w:rsid w:val="0050095F"/>
    <w:rsid w:val="00500E76"/>
    <w:rsid w:val="00502564"/>
    <w:rsid w:val="005030C3"/>
    <w:rsid w:val="00503A78"/>
    <w:rsid w:val="00503E3D"/>
    <w:rsid w:val="00504E18"/>
    <w:rsid w:val="00505354"/>
    <w:rsid w:val="00505444"/>
    <w:rsid w:val="005061DD"/>
    <w:rsid w:val="00507259"/>
    <w:rsid w:val="005101A8"/>
    <w:rsid w:val="00511C63"/>
    <w:rsid w:val="00512408"/>
    <w:rsid w:val="0051254A"/>
    <w:rsid w:val="005125FD"/>
    <w:rsid w:val="00513AC5"/>
    <w:rsid w:val="00513DE3"/>
    <w:rsid w:val="00515936"/>
    <w:rsid w:val="00515C63"/>
    <w:rsid w:val="00516526"/>
    <w:rsid w:val="005207E5"/>
    <w:rsid w:val="005222F7"/>
    <w:rsid w:val="00530DE1"/>
    <w:rsid w:val="0053192C"/>
    <w:rsid w:val="00532FAF"/>
    <w:rsid w:val="00534E93"/>
    <w:rsid w:val="00535DB1"/>
    <w:rsid w:val="00536140"/>
    <w:rsid w:val="005372B9"/>
    <w:rsid w:val="005447CB"/>
    <w:rsid w:val="00545ED2"/>
    <w:rsid w:val="0054666D"/>
    <w:rsid w:val="00546A5A"/>
    <w:rsid w:val="00546BA8"/>
    <w:rsid w:val="005476FD"/>
    <w:rsid w:val="005509B1"/>
    <w:rsid w:val="00553492"/>
    <w:rsid w:val="0055423C"/>
    <w:rsid w:val="0055584E"/>
    <w:rsid w:val="00555B43"/>
    <w:rsid w:val="00557024"/>
    <w:rsid w:val="005619B1"/>
    <w:rsid w:val="0056240C"/>
    <w:rsid w:val="00566172"/>
    <w:rsid w:val="005671EF"/>
    <w:rsid w:val="00570224"/>
    <w:rsid w:val="00570A85"/>
    <w:rsid w:val="00572006"/>
    <w:rsid w:val="0057398F"/>
    <w:rsid w:val="00576B11"/>
    <w:rsid w:val="0057797F"/>
    <w:rsid w:val="00577A89"/>
    <w:rsid w:val="00580C3D"/>
    <w:rsid w:val="005816CA"/>
    <w:rsid w:val="00581B00"/>
    <w:rsid w:val="00582184"/>
    <w:rsid w:val="00583A0D"/>
    <w:rsid w:val="00583A49"/>
    <w:rsid w:val="00584B57"/>
    <w:rsid w:val="00584CC7"/>
    <w:rsid w:val="0058735A"/>
    <w:rsid w:val="0059019B"/>
    <w:rsid w:val="0059100D"/>
    <w:rsid w:val="005915D0"/>
    <w:rsid w:val="00593961"/>
    <w:rsid w:val="00593D97"/>
    <w:rsid w:val="005963F4"/>
    <w:rsid w:val="005A0EAA"/>
    <w:rsid w:val="005A234C"/>
    <w:rsid w:val="005A28F2"/>
    <w:rsid w:val="005A3CC5"/>
    <w:rsid w:val="005A43E1"/>
    <w:rsid w:val="005A547B"/>
    <w:rsid w:val="005A7B9A"/>
    <w:rsid w:val="005B0A63"/>
    <w:rsid w:val="005B1B9F"/>
    <w:rsid w:val="005B3E4B"/>
    <w:rsid w:val="005B5A5A"/>
    <w:rsid w:val="005B5DB3"/>
    <w:rsid w:val="005C22DA"/>
    <w:rsid w:val="005C2F95"/>
    <w:rsid w:val="005C4C92"/>
    <w:rsid w:val="005C6B3F"/>
    <w:rsid w:val="005D0B00"/>
    <w:rsid w:val="005D1E43"/>
    <w:rsid w:val="005D26AA"/>
    <w:rsid w:val="005D355A"/>
    <w:rsid w:val="005D44FC"/>
    <w:rsid w:val="005D6192"/>
    <w:rsid w:val="005D71DE"/>
    <w:rsid w:val="005E3CFE"/>
    <w:rsid w:val="005E4539"/>
    <w:rsid w:val="005E626F"/>
    <w:rsid w:val="005E64AC"/>
    <w:rsid w:val="005E7850"/>
    <w:rsid w:val="005E793B"/>
    <w:rsid w:val="005F043F"/>
    <w:rsid w:val="005F08C6"/>
    <w:rsid w:val="005F4768"/>
    <w:rsid w:val="005F55DA"/>
    <w:rsid w:val="005F563D"/>
    <w:rsid w:val="005F59B7"/>
    <w:rsid w:val="005F5AFC"/>
    <w:rsid w:val="005F6C3F"/>
    <w:rsid w:val="006003DD"/>
    <w:rsid w:val="006026F2"/>
    <w:rsid w:val="00602F06"/>
    <w:rsid w:val="00603601"/>
    <w:rsid w:val="00606776"/>
    <w:rsid w:val="0060735B"/>
    <w:rsid w:val="0061071E"/>
    <w:rsid w:val="006113C6"/>
    <w:rsid w:val="0061162E"/>
    <w:rsid w:val="0061273E"/>
    <w:rsid w:val="00612DF8"/>
    <w:rsid w:val="0061379E"/>
    <w:rsid w:val="00615D69"/>
    <w:rsid w:val="00616830"/>
    <w:rsid w:val="00617C97"/>
    <w:rsid w:val="0062017D"/>
    <w:rsid w:val="00620F03"/>
    <w:rsid w:val="006211E6"/>
    <w:rsid w:val="00621810"/>
    <w:rsid w:val="006233FA"/>
    <w:rsid w:val="00624706"/>
    <w:rsid w:val="00626495"/>
    <w:rsid w:val="00627EDA"/>
    <w:rsid w:val="00631D93"/>
    <w:rsid w:val="006324C7"/>
    <w:rsid w:val="00633C1E"/>
    <w:rsid w:val="006366E5"/>
    <w:rsid w:val="00636CB4"/>
    <w:rsid w:val="0063727E"/>
    <w:rsid w:val="006375FE"/>
    <w:rsid w:val="00640AF6"/>
    <w:rsid w:val="0064175A"/>
    <w:rsid w:val="00641F14"/>
    <w:rsid w:val="00643BA3"/>
    <w:rsid w:val="00645E01"/>
    <w:rsid w:val="0065040E"/>
    <w:rsid w:val="00650447"/>
    <w:rsid w:val="00650DD8"/>
    <w:rsid w:val="006567D4"/>
    <w:rsid w:val="006569BB"/>
    <w:rsid w:val="00661683"/>
    <w:rsid w:val="0066345F"/>
    <w:rsid w:val="00671DFF"/>
    <w:rsid w:val="0067200B"/>
    <w:rsid w:val="00672956"/>
    <w:rsid w:val="00672DB8"/>
    <w:rsid w:val="006732E9"/>
    <w:rsid w:val="00673328"/>
    <w:rsid w:val="00674747"/>
    <w:rsid w:val="0067584F"/>
    <w:rsid w:val="00677E3B"/>
    <w:rsid w:val="006801F9"/>
    <w:rsid w:val="0068436B"/>
    <w:rsid w:val="0068678D"/>
    <w:rsid w:val="00687676"/>
    <w:rsid w:val="006939EB"/>
    <w:rsid w:val="0069485E"/>
    <w:rsid w:val="00695289"/>
    <w:rsid w:val="006954E9"/>
    <w:rsid w:val="00695A78"/>
    <w:rsid w:val="00695DC2"/>
    <w:rsid w:val="006A0D9D"/>
    <w:rsid w:val="006A7971"/>
    <w:rsid w:val="006B148D"/>
    <w:rsid w:val="006B3427"/>
    <w:rsid w:val="006B5C3F"/>
    <w:rsid w:val="006B75B2"/>
    <w:rsid w:val="006B7C30"/>
    <w:rsid w:val="006C04AA"/>
    <w:rsid w:val="006C07F2"/>
    <w:rsid w:val="006C270C"/>
    <w:rsid w:val="006C35A5"/>
    <w:rsid w:val="006C465E"/>
    <w:rsid w:val="006C530D"/>
    <w:rsid w:val="006C6C35"/>
    <w:rsid w:val="006C77BC"/>
    <w:rsid w:val="006C77FA"/>
    <w:rsid w:val="006C7D32"/>
    <w:rsid w:val="006D1BD2"/>
    <w:rsid w:val="006D4D89"/>
    <w:rsid w:val="006D5694"/>
    <w:rsid w:val="006D628E"/>
    <w:rsid w:val="006E04F5"/>
    <w:rsid w:val="006E11E2"/>
    <w:rsid w:val="006E2424"/>
    <w:rsid w:val="006E316C"/>
    <w:rsid w:val="006E5BB3"/>
    <w:rsid w:val="006E641D"/>
    <w:rsid w:val="006E6AC7"/>
    <w:rsid w:val="006F099F"/>
    <w:rsid w:val="006F3E4F"/>
    <w:rsid w:val="006F541C"/>
    <w:rsid w:val="006F6611"/>
    <w:rsid w:val="006F7A00"/>
    <w:rsid w:val="007021D9"/>
    <w:rsid w:val="0070409C"/>
    <w:rsid w:val="00704542"/>
    <w:rsid w:val="00710D6B"/>
    <w:rsid w:val="00712040"/>
    <w:rsid w:val="0071365B"/>
    <w:rsid w:val="00713869"/>
    <w:rsid w:val="0071552A"/>
    <w:rsid w:val="00715607"/>
    <w:rsid w:val="00715DBC"/>
    <w:rsid w:val="007171E8"/>
    <w:rsid w:val="007203C3"/>
    <w:rsid w:val="0072044A"/>
    <w:rsid w:val="00720FCF"/>
    <w:rsid w:val="007234A2"/>
    <w:rsid w:val="0072574A"/>
    <w:rsid w:val="00726FD0"/>
    <w:rsid w:val="0072737B"/>
    <w:rsid w:val="00727A6C"/>
    <w:rsid w:val="00731113"/>
    <w:rsid w:val="0073121E"/>
    <w:rsid w:val="0073295B"/>
    <w:rsid w:val="00732CA0"/>
    <w:rsid w:val="007339E9"/>
    <w:rsid w:val="00735D9B"/>
    <w:rsid w:val="007404E6"/>
    <w:rsid w:val="00741F4A"/>
    <w:rsid w:val="0074202B"/>
    <w:rsid w:val="0074360E"/>
    <w:rsid w:val="007449E7"/>
    <w:rsid w:val="00744A96"/>
    <w:rsid w:val="00746DBF"/>
    <w:rsid w:val="00747C6F"/>
    <w:rsid w:val="007505D1"/>
    <w:rsid w:val="007528B9"/>
    <w:rsid w:val="00753383"/>
    <w:rsid w:val="0075386F"/>
    <w:rsid w:val="00754815"/>
    <w:rsid w:val="00755A24"/>
    <w:rsid w:val="00757AD0"/>
    <w:rsid w:val="00757BBF"/>
    <w:rsid w:val="0076326E"/>
    <w:rsid w:val="00763DA2"/>
    <w:rsid w:val="00765CF4"/>
    <w:rsid w:val="00767C34"/>
    <w:rsid w:val="007700B6"/>
    <w:rsid w:val="007728FE"/>
    <w:rsid w:val="007736BE"/>
    <w:rsid w:val="00773A9B"/>
    <w:rsid w:val="00774BFB"/>
    <w:rsid w:val="00776240"/>
    <w:rsid w:val="00776971"/>
    <w:rsid w:val="007777D9"/>
    <w:rsid w:val="00777A34"/>
    <w:rsid w:val="00777AB0"/>
    <w:rsid w:val="0078614B"/>
    <w:rsid w:val="00787D89"/>
    <w:rsid w:val="00790E67"/>
    <w:rsid w:val="00791019"/>
    <w:rsid w:val="00791525"/>
    <w:rsid w:val="00791AA4"/>
    <w:rsid w:val="00793E26"/>
    <w:rsid w:val="0079469D"/>
    <w:rsid w:val="007967A5"/>
    <w:rsid w:val="00796D5B"/>
    <w:rsid w:val="00797A88"/>
    <w:rsid w:val="00797C6C"/>
    <w:rsid w:val="00797C93"/>
    <w:rsid w:val="007A4586"/>
    <w:rsid w:val="007A7AA7"/>
    <w:rsid w:val="007A7E50"/>
    <w:rsid w:val="007A7F40"/>
    <w:rsid w:val="007B0D62"/>
    <w:rsid w:val="007B2144"/>
    <w:rsid w:val="007B533A"/>
    <w:rsid w:val="007B5CD0"/>
    <w:rsid w:val="007B7928"/>
    <w:rsid w:val="007C167E"/>
    <w:rsid w:val="007C1C97"/>
    <w:rsid w:val="007C67FC"/>
    <w:rsid w:val="007C72F3"/>
    <w:rsid w:val="007C7497"/>
    <w:rsid w:val="007C752E"/>
    <w:rsid w:val="007D05E6"/>
    <w:rsid w:val="007D6128"/>
    <w:rsid w:val="007D69C1"/>
    <w:rsid w:val="007D72B5"/>
    <w:rsid w:val="007E061E"/>
    <w:rsid w:val="007E11FF"/>
    <w:rsid w:val="007E178B"/>
    <w:rsid w:val="007E2138"/>
    <w:rsid w:val="007E2576"/>
    <w:rsid w:val="007E4BAA"/>
    <w:rsid w:val="007E56CB"/>
    <w:rsid w:val="007F1E9C"/>
    <w:rsid w:val="007F544D"/>
    <w:rsid w:val="007F60BF"/>
    <w:rsid w:val="007F6B9E"/>
    <w:rsid w:val="007F7440"/>
    <w:rsid w:val="00800A7C"/>
    <w:rsid w:val="00800F80"/>
    <w:rsid w:val="00801649"/>
    <w:rsid w:val="00805534"/>
    <w:rsid w:val="00810B55"/>
    <w:rsid w:val="00810BF3"/>
    <w:rsid w:val="00812E49"/>
    <w:rsid w:val="008154BA"/>
    <w:rsid w:val="00815505"/>
    <w:rsid w:val="0081596C"/>
    <w:rsid w:val="00816927"/>
    <w:rsid w:val="00833362"/>
    <w:rsid w:val="008348F6"/>
    <w:rsid w:val="00834DAF"/>
    <w:rsid w:val="00835170"/>
    <w:rsid w:val="00835597"/>
    <w:rsid w:val="008363C4"/>
    <w:rsid w:val="00840555"/>
    <w:rsid w:val="008433D8"/>
    <w:rsid w:val="0084398C"/>
    <w:rsid w:val="00843B0C"/>
    <w:rsid w:val="00845B4C"/>
    <w:rsid w:val="008501C0"/>
    <w:rsid w:val="00851714"/>
    <w:rsid w:val="0085176F"/>
    <w:rsid w:val="008547E4"/>
    <w:rsid w:val="00854BAF"/>
    <w:rsid w:val="00854BF9"/>
    <w:rsid w:val="00862174"/>
    <w:rsid w:val="00862FD7"/>
    <w:rsid w:val="008652F1"/>
    <w:rsid w:val="00867949"/>
    <w:rsid w:val="008702DA"/>
    <w:rsid w:val="008710B3"/>
    <w:rsid w:val="0087247B"/>
    <w:rsid w:val="0087464E"/>
    <w:rsid w:val="00874848"/>
    <w:rsid w:val="0087714E"/>
    <w:rsid w:val="00877C68"/>
    <w:rsid w:val="00880C5F"/>
    <w:rsid w:val="00881369"/>
    <w:rsid w:val="00882CC5"/>
    <w:rsid w:val="008839D9"/>
    <w:rsid w:val="00887D69"/>
    <w:rsid w:val="008903D5"/>
    <w:rsid w:val="00890516"/>
    <w:rsid w:val="0089098D"/>
    <w:rsid w:val="00892AAC"/>
    <w:rsid w:val="008932E9"/>
    <w:rsid w:val="00893A5F"/>
    <w:rsid w:val="00893DD7"/>
    <w:rsid w:val="008956D5"/>
    <w:rsid w:val="00897F92"/>
    <w:rsid w:val="008A201C"/>
    <w:rsid w:val="008A2491"/>
    <w:rsid w:val="008A26FA"/>
    <w:rsid w:val="008A3F48"/>
    <w:rsid w:val="008A4ECF"/>
    <w:rsid w:val="008A6983"/>
    <w:rsid w:val="008A6988"/>
    <w:rsid w:val="008A6FA5"/>
    <w:rsid w:val="008A7ABC"/>
    <w:rsid w:val="008A7C5A"/>
    <w:rsid w:val="008B14E8"/>
    <w:rsid w:val="008B3C4F"/>
    <w:rsid w:val="008B4C45"/>
    <w:rsid w:val="008B56A5"/>
    <w:rsid w:val="008B5D53"/>
    <w:rsid w:val="008B5E67"/>
    <w:rsid w:val="008B6680"/>
    <w:rsid w:val="008B66EC"/>
    <w:rsid w:val="008B670F"/>
    <w:rsid w:val="008C075A"/>
    <w:rsid w:val="008C1DAC"/>
    <w:rsid w:val="008C1DDC"/>
    <w:rsid w:val="008C39E0"/>
    <w:rsid w:val="008D0740"/>
    <w:rsid w:val="008D134E"/>
    <w:rsid w:val="008D1939"/>
    <w:rsid w:val="008D2F4D"/>
    <w:rsid w:val="008D3031"/>
    <w:rsid w:val="008D419A"/>
    <w:rsid w:val="008D5654"/>
    <w:rsid w:val="008D5A48"/>
    <w:rsid w:val="008D5C3B"/>
    <w:rsid w:val="008D60A8"/>
    <w:rsid w:val="008D649F"/>
    <w:rsid w:val="008E0980"/>
    <w:rsid w:val="008E12B8"/>
    <w:rsid w:val="008E49BE"/>
    <w:rsid w:val="008E5359"/>
    <w:rsid w:val="008E5962"/>
    <w:rsid w:val="008F22A9"/>
    <w:rsid w:val="008F271D"/>
    <w:rsid w:val="008F344D"/>
    <w:rsid w:val="008F363C"/>
    <w:rsid w:val="008F446E"/>
    <w:rsid w:val="008F7193"/>
    <w:rsid w:val="00900633"/>
    <w:rsid w:val="00900778"/>
    <w:rsid w:val="00901462"/>
    <w:rsid w:val="00901DB7"/>
    <w:rsid w:val="00902A56"/>
    <w:rsid w:val="009038CC"/>
    <w:rsid w:val="009041AB"/>
    <w:rsid w:val="00910DB6"/>
    <w:rsid w:val="00911581"/>
    <w:rsid w:val="0091224F"/>
    <w:rsid w:val="0091466F"/>
    <w:rsid w:val="00914969"/>
    <w:rsid w:val="00915290"/>
    <w:rsid w:val="00917BD8"/>
    <w:rsid w:val="00920548"/>
    <w:rsid w:val="00923174"/>
    <w:rsid w:val="0092364B"/>
    <w:rsid w:val="0092473F"/>
    <w:rsid w:val="00924B82"/>
    <w:rsid w:val="00925EF4"/>
    <w:rsid w:val="009315FC"/>
    <w:rsid w:val="009328A2"/>
    <w:rsid w:val="0093422D"/>
    <w:rsid w:val="009358C5"/>
    <w:rsid w:val="009365F1"/>
    <w:rsid w:val="00936ABC"/>
    <w:rsid w:val="00942017"/>
    <w:rsid w:val="00943FF1"/>
    <w:rsid w:val="00945F16"/>
    <w:rsid w:val="00945F89"/>
    <w:rsid w:val="00947509"/>
    <w:rsid w:val="00947E94"/>
    <w:rsid w:val="00952FAD"/>
    <w:rsid w:val="00954728"/>
    <w:rsid w:val="009569C4"/>
    <w:rsid w:val="00960EF6"/>
    <w:rsid w:val="00962185"/>
    <w:rsid w:val="009626BC"/>
    <w:rsid w:val="00962AF8"/>
    <w:rsid w:val="00963087"/>
    <w:rsid w:val="00963380"/>
    <w:rsid w:val="00963C70"/>
    <w:rsid w:val="00963F08"/>
    <w:rsid w:val="00965D8D"/>
    <w:rsid w:val="00967537"/>
    <w:rsid w:val="00971154"/>
    <w:rsid w:val="009737AF"/>
    <w:rsid w:val="00983B82"/>
    <w:rsid w:val="00987CA8"/>
    <w:rsid w:val="00987D1C"/>
    <w:rsid w:val="009918ED"/>
    <w:rsid w:val="00992506"/>
    <w:rsid w:val="00995D3F"/>
    <w:rsid w:val="00995E6F"/>
    <w:rsid w:val="009968E0"/>
    <w:rsid w:val="00997624"/>
    <w:rsid w:val="009A1CE6"/>
    <w:rsid w:val="009A224B"/>
    <w:rsid w:val="009A3B45"/>
    <w:rsid w:val="009A409E"/>
    <w:rsid w:val="009A4D1D"/>
    <w:rsid w:val="009A5712"/>
    <w:rsid w:val="009A6611"/>
    <w:rsid w:val="009B0734"/>
    <w:rsid w:val="009B1B6B"/>
    <w:rsid w:val="009B3479"/>
    <w:rsid w:val="009B4C6E"/>
    <w:rsid w:val="009B6CF0"/>
    <w:rsid w:val="009C0086"/>
    <w:rsid w:val="009C06D7"/>
    <w:rsid w:val="009C145D"/>
    <w:rsid w:val="009C2741"/>
    <w:rsid w:val="009C357B"/>
    <w:rsid w:val="009C426D"/>
    <w:rsid w:val="009C5D96"/>
    <w:rsid w:val="009C7593"/>
    <w:rsid w:val="009D0E0B"/>
    <w:rsid w:val="009D1BFC"/>
    <w:rsid w:val="009D39D7"/>
    <w:rsid w:val="009D6162"/>
    <w:rsid w:val="009D702F"/>
    <w:rsid w:val="009E04DD"/>
    <w:rsid w:val="009E09B1"/>
    <w:rsid w:val="009E11BA"/>
    <w:rsid w:val="009E1AEA"/>
    <w:rsid w:val="009E2133"/>
    <w:rsid w:val="009E2BC4"/>
    <w:rsid w:val="009E5962"/>
    <w:rsid w:val="009E74EB"/>
    <w:rsid w:val="009F056B"/>
    <w:rsid w:val="009F09D3"/>
    <w:rsid w:val="009F1341"/>
    <w:rsid w:val="009F1907"/>
    <w:rsid w:val="009F35E9"/>
    <w:rsid w:val="009F505C"/>
    <w:rsid w:val="009F5527"/>
    <w:rsid w:val="009F5662"/>
    <w:rsid w:val="009F5AFD"/>
    <w:rsid w:val="009F737E"/>
    <w:rsid w:val="00A00496"/>
    <w:rsid w:val="00A00E79"/>
    <w:rsid w:val="00A019C5"/>
    <w:rsid w:val="00A028D6"/>
    <w:rsid w:val="00A03B44"/>
    <w:rsid w:val="00A03C3D"/>
    <w:rsid w:val="00A055F4"/>
    <w:rsid w:val="00A05B47"/>
    <w:rsid w:val="00A06648"/>
    <w:rsid w:val="00A1051A"/>
    <w:rsid w:val="00A11EE5"/>
    <w:rsid w:val="00A1492C"/>
    <w:rsid w:val="00A15A65"/>
    <w:rsid w:val="00A162F6"/>
    <w:rsid w:val="00A2091D"/>
    <w:rsid w:val="00A215BC"/>
    <w:rsid w:val="00A235AA"/>
    <w:rsid w:val="00A23EFD"/>
    <w:rsid w:val="00A2568D"/>
    <w:rsid w:val="00A25EB7"/>
    <w:rsid w:val="00A31294"/>
    <w:rsid w:val="00A32A8B"/>
    <w:rsid w:val="00A33F80"/>
    <w:rsid w:val="00A34380"/>
    <w:rsid w:val="00A36F03"/>
    <w:rsid w:val="00A37240"/>
    <w:rsid w:val="00A37750"/>
    <w:rsid w:val="00A41463"/>
    <w:rsid w:val="00A41824"/>
    <w:rsid w:val="00A437FD"/>
    <w:rsid w:val="00A47BF1"/>
    <w:rsid w:val="00A51092"/>
    <w:rsid w:val="00A5233E"/>
    <w:rsid w:val="00A5364F"/>
    <w:rsid w:val="00A53DFA"/>
    <w:rsid w:val="00A552CF"/>
    <w:rsid w:val="00A62521"/>
    <w:rsid w:val="00A63F1C"/>
    <w:rsid w:val="00A64357"/>
    <w:rsid w:val="00A6739F"/>
    <w:rsid w:val="00A6744E"/>
    <w:rsid w:val="00A676BA"/>
    <w:rsid w:val="00A67C35"/>
    <w:rsid w:val="00A71B9E"/>
    <w:rsid w:val="00A74299"/>
    <w:rsid w:val="00A74580"/>
    <w:rsid w:val="00A75341"/>
    <w:rsid w:val="00A8037E"/>
    <w:rsid w:val="00A83765"/>
    <w:rsid w:val="00A849D7"/>
    <w:rsid w:val="00A8575B"/>
    <w:rsid w:val="00A8673A"/>
    <w:rsid w:val="00A90FEC"/>
    <w:rsid w:val="00A91256"/>
    <w:rsid w:val="00A921F7"/>
    <w:rsid w:val="00A942EE"/>
    <w:rsid w:val="00A94455"/>
    <w:rsid w:val="00A9577F"/>
    <w:rsid w:val="00A961B5"/>
    <w:rsid w:val="00AA2268"/>
    <w:rsid w:val="00AA2B35"/>
    <w:rsid w:val="00AA55A9"/>
    <w:rsid w:val="00AA6799"/>
    <w:rsid w:val="00AA6918"/>
    <w:rsid w:val="00AB0D58"/>
    <w:rsid w:val="00AB2434"/>
    <w:rsid w:val="00AB4B15"/>
    <w:rsid w:val="00AB4C16"/>
    <w:rsid w:val="00AB664A"/>
    <w:rsid w:val="00AB6E01"/>
    <w:rsid w:val="00AB74C4"/>
    <w:rsid w:val="00AB7827"/>
    <w:rsid w:val="00AC013B"/>
    <w:rsid w:val="00AC07F1"/>
    <w:rsid w:val="00AC0D93"/>
    <w:rsid w:val="00AC3FDA"/>
    <w:rsid w:val="00AC6A82"/>
    <w:rsid w:val="00AC6DEF"/>
    <w:rsid w:val="00AC7301"/>
    <w:rsid w:val="00AD0D06"/>
    <w:rsid w:val="00AD2838"/>
    <w:rsid w:val="00AD3E4A"/>
    <w:rsid w:val="00AD4D09"/>
    <w:rsid w:val="00AD4EBA"/>
    <w:rsid w:val="00AD7675"/>
    <w:rsid w:val="00AE122D"/>
    <w:rsid w:val="00AE24D9"/>
    <w:rsid w:val="00AE278A"/>
    <w:rsid w:val="00AE5C92"/>
    <w:rsid w:val="00AE6691"/>
    <w:rsid w:val="00AE7D88"/>
    <w:rsid w:val="00AF326C"/>
    <w:rsid w:val="00AF4BAF"/>
    <w:rsid w:val="00AF5D0D"/>
    <w:rsid w:val="00AF7E84"/>
    <w:rsid w:val="00B001F3"/>
    <w:rsid w:val="00B01632"/>
    <w:rsid w:val="00B01CA5"/>
    <w:rsid w:val="00B031EC"/>
    <w:rsid w:val="00B03DC2"/>
    <w:rsid w:val="00B04729"/>
    <w:rsid w:val="00B04885"/>
    <w:rsid w:val="00B0532D"/>
    <w:rsid w:val="00B05E62"/>
    <w:rsid w:val="00B06438"/>
    <w:rsid w:val="00B06D12"/>
    <w:rsid w:val="00B10D1A"/>
    <w:rsid w:val="00B10E41"/>
    <w:rsid w:val="00B11775"/>
    <w:rsid w:val="00B143DB"/>
    <w:rsid w:val="00B14E14"/>
    <w:rsid w:val="00B21183"/>
    <w:rsid w:val="00B21B90"/>
    <w:rsid w:val="00B21BC5"/>
    <w:rsid w:val="00B228D9"/>
    <w:rsid w:val="00B237EF"/>
    <w:rsid w:val="00B24B82"/>
    <w:rsid w:val="00B24CA9"/>
    <w:rsid w:val="00B25BE0"/>
    <w:rsid w:val="00B30E6E"/>
    <w:rsid w:val="00B3563B"/>
    <w:rsid w:val="00B35EE4"/>
    <w:rsid w:val="00B40461"/>
    <w:rsid w:val="00B41366"/>
    <w:rsid w:val="00B4142E"/>
    <w:rsid w:val="00B41BD4"/>
    <w:rsid w:val="00B456C5"/>
    <w:rsid w:val="00B51658"/>
    <w:rsid w:val="00B53019"/>
    <w:rsid w:val="00B5478F"/>
    <w:rsid w:val="00B54FAC"/>
    <w:rsid w:val="00B56738"/>
    <w:rsid w:val="00B57979"/>
    <w:rsid w:val="00B62753"/>
    <w:rsid w:val="00B62925"/>
    <w:rsid w:val="00B636FA"/>
    <w:rsid w:val="00B643B0"/>
    <w:rsid w:val="00B65B7A"/>
    <w:rsid w:val="00B65F9B"/>
    <w:rsid w:val="00B66B5E"/>
    <w:rsid w:val="00B70FD6"/>
    <w:rsid w:val="00B749CD"/>
    <w:rsid w:val="00B761D5"/>
    <w:rsid w:val="00B76D76"/>
    <w:rsid w:val="00B775A4"/>
    <w:rsid w:val="00B807D8"/>
    <w:rsid w:val="00B809C4"/>
    <w:rsid w:val="00B819D9"/>
    <w:rsid w:val="00B83D7B"/>
    <w:rsid w:val="00B8733D"/>
    <w:rsid w:val="00B9097B"/>
    <w:rsid w:val="00B90E23"/>
    <w:rsid w:val="00B9272D"/>
    <w:rsid w:val="00B92878"/>
    <w:rsid w:val="00B92C19"/>
    <w:rsid w:val="00B94D9F"/>
    <w:rsid w:val="00B976FA"/>
    <w:rsid w:val="00B97D95"/>
    <w:rsid w:val="00BA5537"/>
    <w:rsid w:val="00BA7786"/>
    <w:rsid w:val="00BB064B"/>
    <w:rsid w:val="00BB0DA7"/>
    <w:rsid w:val="00BB691C"/>
    <w:rsid w:val="00BB6D2B"/>
    <w:rsid w:val="00BC0BD8"/>
    <w:rsid w:val="00BC1EF5"/>
    <w:rsid w:val="00BC391E"/>
    <w:rsid w:val="00BC4DBD"/>
    <w:rsid w:val="00BD0237"/>
    <w:rsid w:val="00BD20F1"/>
    <w:rsid w:val="00BD232F"/>
    <w:rsid w:val="00BD430F"/>
    <w:rsid w:val="00BD5116"/>
    <w:rsid w:val="00BE0CD8"/>
    <w:rsid w:val="00BE1105"/>
    <w:rsid w:val="00BE5C22"/>
    <w:rsid w:val="00BE617D"/>
    <w:rsid w:val="00BE6BA9"/>
    <w:rsid w:val="00BF6A64"/>
    <w:rsid w:val="00C018FA"/>
    <w:rsid w:val="00C031C9"/>
    <w:rsid w:val="00C035DF"/>
    <w:rsid w:val="00C04143"/>
    <w:rsid w:val="00C04881"/>
    <w:rsid w:val="00C05E74"/>
    <w:rsid w:val="00C07400"/>
    <w:rsid w:val="00C07437"/>
    <w:rsid w:val="00C10A03"/>
    <w:rsid w:val="00C14361"/>
    <w:rsid w:val="00C1499B"/>
    <w:rsid w:val="00C15DB4"/>
    <w:rsid w:val="00C16403"/>
    <w:rsid w:val="00C16F45"/>
    <w:rsid w:val="00C16FAE"/>
    <w:rsid w:val="00C17B2C"/>
    <w:rsid w:val="00C21287"/>
    <w:rsid w:val="00C218ED"/>
    <w:rsid w:val="00C219C2"/>
    <w:rsid w:val="00C22CA8"/>
    <w:rsid w:val="00C242C0"/>
    <w:rsid w:val="00C2483E"/>
    <w:rsid w:val="00C252B0"/>
    <w:rsid w:val="00C254D0"/>
    <w:rsid w:val="00C26894"/>
    <w:rsid w:val="00C271CD"/>
    <w:rsid w:val="00C277B9"/>
    <w:rsid w:val="00C3159B"/>
    <w:rsid w:val="00C31F91"/>
    <w:rsid w:val="00C3330B"/>
    <w:rsid w:val="00C36341"/>
    <w:rsid w:val="00C36511"/>
    <w:rsid w:val="00C3673B"/>
    <w:rsid w:val="00C36D23"/>
    <w:rsid w:val="00C40CF9"/>
    <w:rsid w:val="00C43D98"/>
    <w:rsid w:val="00C45D1F"/>
    <w:rsid w:val="00C4673A"/>
    <w:rsid w:val="00C4687C"/>
    <w:rsid w:val="00C522A1"/>
    <w:rsid w:val="00C5328F"/>
    <w:rsid w:val="00C55486"/>
    <w:rsid w:val="00C55B83"/>
    <w:rsid w:val="00C56601"/>
    <w:rsid w:val="00C56780"/>
    <w:rsid w:val="00C622B7"/>
    <w:rsid w:val="00C62A1E"/>
    <w:rsid w:val="00C65372"/>
    <w:rsid w:val="00C7200D"/>
    <w:rsid w:val="00C72B90"/>
    <w:rsid w:val="00C73F0E"/>
    <w:rsid w:val="00C75266"/>
    <w:rsid w:val="00C77513"/>
    <w:rsid w:val="00C81281"/>
    <w:rsid w:val="00C82BA2"/>
    <w:rsid w:val="00C84388"/>
    <w:rsid w:val="00C872B7"/>
    <w:rsid w:val="00C87FB1"/>
    <w:rsid w:val="00C90338"/>
    <w:rsid w:val="00C919BB"/>
    <w:rsid w:val="00C9252C"/>
    <w:rsid w:val="00C9263D"/>
    <w:rsid w:val="00C95244"/>
    <w:rsid w:val="00C9743D"/>
    <w:rsid w:val="00CA1C32"/>
    <w:rsid w:val="00CA4455"/>
    <w:rsid w:val="00CA6A5B"/>
    <w:rsid w:val="00CA70A3"/>
    <w:rsid w:val="00CB30C3"/>
    <w:rsid w:val="00CB5351"/>
    <w:rsid w:val="00CB53B5"/>
    <w:rsid w:val="00CB5A38"/>
    <w:rsid w:val="00CB5DEF"/>
    <w:rsid w:val="00CB5E17"/>
    <w:rsid w:val="00CB5E6F"/>
    <w:rsid w:val="00CB6CA4"/>
    <w:rsid w:val="00CC0E0A"/>
    <w:rsid w:val="00CC28DE"/>
    <w:rsid w:val="00CC3549"/>
    <w:rsid w:val="00CC366B"/>
    <w:rsid w:val="00CC6B34"/>
    <w:rsid w:val="00CC7125"/>
    <w:rsid w:val="00CD22BD"/>
    <w:rsid w:val="00CD38E4"/>
    <w:rsid w:val="00CD3E93"/>
    <w:rsid w:val="00CD3F2E"/>
    <w:rsid w:val="00CD4798"/>
    <w:rsid w:val="00CD70A8"/>
    <w:rsid w:val="00CD70B1"/>
    <w:rsid w:val="00CE3DED"/>
    <w:rsid w:val="00CE7BFC"/>
    <w:rsid w:val="00CF0B72"/>
    <w:rsid w:val="00CF1D42"/>
    <w:rsid w:val="00CF3DA4"/>
    <w:rsid w:val="00CF4D0A"/>
    <w:rsid w:val="00CF5834"/>
    <w:rsid w:val="00CF5920"/>
    <w:rsid w:val="00CF5986"/>
    <w:rsid w:val="00CF706B"/>
    <w:rsid w:val="00CF7EC6"/>
    <w:rsid w:val="00D004EF"/>
    <w:rsid w:val="00D0220D"/>
    <w:rsid w:val="00D02E12"/>
    <w:rsid w:val="00D02F37"/>
    <w:rsid w:val="00D04271"/>
    <w:rsid w:val="00D05CDF"/>
    <w:rsid w:val="00D10F1D"/>
    <w:rsid w:val="00D11325"/>
    <w:rsid w:val="00D11E15"/>
    <w:rsid w:val="00D13505"/>
    <w:rsid w:val="00D14B6A"/>
    <w:rsid w:val="00D14E7A"/>
    <w:rsid w:val="00D16206"/>
    <w:rsid w:val="00D16D3D"/>
    <w:rsid w:val="00D17D2B"/>
    <w:rsid w:val="00D21CBB"/>
    <w:rsid w:val="00D221E6"/>
    <w:rsid w:val="00D227C7"/>
    <w:rsid w:val="00D23C24"/>
    <w:rsid w:val="00D23C81"/>
    <w:rsid w:val="00D259D0"/>
    <w:rsid w:val="00D259F6"/>
    <w:rsid w:val="00D25ACA"/>
    <w:rsid w:val="00D264B8"/>
    <w:rsid w:val="00D30287"/>
    <w:rsid w:val="00D32A43"/>
    <w:rsid w:val="00D33539"/>
    <w:rsid w:val="00D34E92"/>
    <w:rsid w:val="00D35039"/>
    <w:rsid w:val="00D35D46"/>
    <w:rsid w:val="00D37F1F"/>
    <w:rsid w:val="00D40CBB"/>
    <w:rsid w:val="00D41C70"/>
    <w:rsid w:val="00D41ED3"/>
    <w:rsid w:val="00D43D4C"/>
    <w:rsid w:val="00D45A08"/>
    <w:rsid w:val="00D45B0D"/>
    <w:rsid w:val="00D4662F"/>
    <w:rsid w:val="00D4681E"/>
    <w:rsid w:val="00D511DE"/>
    <w:rsid w:val="00D518CC"/>
    <w:rsid w:val="00D534C9"/>
    <w:rsid w:val="00D53569"/>
    <w:rsid w:val="00D538F1"/>
    <w:rsid w:val="00D53CAC"/>
    <w:rsid w:val="00D53F72"/>
    <w:rsid w:val="00D547CB"/>
    <w:rsid w:val="00D55AB0"/>
    <w:rsid w:val="00D56180"/>
    <w:rsid w:val="00D60C7A"/>
    <w:rsid w:val="00D62861"/>
    <w:rsid w:val="00D64D2D"/>
    <w:rsid w:val="00D658CF"/>
    <w:rsid w:val="00D66960"/>
    <w:rsid w:val="00D67944"/>
    <w:rsid w:val="00D71472"/>
    <w:rsid w:val="00D7416F"/>
    <w:rsid w:val="00D757DA"/>
    <w:rsid w:val="00D80E3A"/>
    <w:rsid w:val="00D820D8"/>
    <w:rsid w:val="00D84F59"/>
    <w:rsid w:val="00D85976"/>
    <w:rsid w:val="00D87075"/>
    <w:rsid w:val="00D874F9"/>
    <w:rsid w:val="00D877AB"/>
    <w:rsid w:val="00D87ECE"/>
    <w:rsid w:val="00D91FFF"/>
    <w:rsid w:val="00D936F8"/>
    <w:rsid w:val="00D953A4"/>
    <w:rsid w:val="00D95425"/>
    <w:rsid w:val="00DA0982"/>
    <w:rsid w:val="00DA0BDE"/>
    <w:rsid w:val="00DA13FD"/>
    <w:rsid w:val="00DA152B"/>
    <w:rsid w:val="00DA1781"/>
    <w:rsid w:val="00DA2AF0"/>
    <w:rsid w:val="00DA3F4B"/>
    <w:rsid w:val="00DA4BA4"/>
    <w:rsid w:val="00DA5BC6"/>
    <w:rsid w:val="00DA5F93"/>
    <w:rsid w:val="00DA686B"/>
    <w:rsid w:val="00DA6BB3"/>
    <w:rsid w:val="00DB0397"/>
    <w:rsid w:val="00DB042F"/>
    <w:rsid w:val="00DB2B2B"/>
    <w:rsid w:val="00DB4021"/>
    <w:rsid w:val="00DB48D0"/>
    <w:rsid w:val="00DB7716"/>
    <w:rsid w:val="00DC0C44"/>
    <w:rsid w:val="00DC0FC8"/>
    <w:rsid w:val="00DC0FE6"/>
    <w:rsid w:val="00DC4CAF"/>
    <w:rsid w:val="00DC5DCA"/>
    <w:rsid w:val="00DC7679"/>
    <w:rsid w:val="00DC76AB"/>
    <w:rsid w:val="00DD10E3"/>
    <w:rsid w:val="00DD25E1"/>
    <w:rsid w:val="00DD2A78"/>
    <w:rsid w:val="00DD2DE2"/>
    <w:rsid w:val="00DD2E1C"/>
    <w:rsid w:val="00DD3EC8"/>
    <w:rsid w:val="00DD4243"/>
    <w:rsid w:val="00DD4806"/>
    <w:rsid w:val="00DD584C"/>
    <w:rsid w:val="00DD6EC5"/>
    <w:rsid w:val="00DE03A8"/>
    <w:rsid w:val="00DE08E5"/>
    <w:rsid w:val="00DE6626"/>
    <w:rsid w:val="00DF1358"/>
    <w:rsid w:val="00DF5C28"/>
    <w:rsid w:val="00DF5FC5"/>
    <w:rsid w:val="00DF62BB"/>
    <w:rsid w:val="00DF7639"/>
    <w:rsid w:val="00DF7AC1"/>
    <w:rsid w:val="00DF7D4C"/>
    <w:rsid w:val="00E0127C"/>
    <w:rsid w:val="00E018A8"/>
    <w:rsid w:val="00E02A1D"/>
    <w:rsid w:val="00E02D99"/>
    <w:rsid w:val="00E06614"/>
    <w:rsid w:val="00E10D1E"/>
    <w:rsid w:val="00E12EBC"/>
    <w:rsid w:val="00E159A2"/>
    <w:rsid w:val="00E15BD9"/>
    <w:rsid w:val="00E16734"/>
    <w:rsid w:val="00E1782E"/>
    <w:rsid w:val="00E2034B"/>
    <w:rsid w:val="00E24250"/>
    <w:rsid w:val="00E25695"/>
    <w:rsid w:val="00E25DE7"/>
    <w:rsid w:val="00E26E87"/>
    <w:rsid w:val="00E27C11"/>
    <w:rsid w:val="00E325BB"/>
    <w:rsid w:val="00E356CE"/>
    <w:rsid w:val="00E42492"/>
    <w:rsid w:val="00E428E6"/>
    <w:rsid w:val="00E429D0"/>
    <w:rsid w:val="00E4527C"/>
    <w:rsid w:val="00E466BC"/>
    <w:rsid w:val="00E47D0A"/>
    <w:rsid w:val="00E50C0E"/>
    <w:rsid w:val="00E521CF"/>
    <w:rsid w:val="00E564D4"/>
    <w:rsid w:val="00E5698D"/>
    <w:rsid w:val="00E6067A"/>
    <w:rsid w:val="00E6087B"/>
    <w:rsid w:val="00E6128E"/>
    <w:rsid w:val="00E61F58"/>
    <w:rsid w:val="00E62F98"/>
    <w:rsid w:val="00E66D50"/>
    <w:rsid w:val="00E678A6"/>
    <w:rsid w:val="00E67C50"/>
    <w:rsid w:val="00E71D4C"/>
    <w:rsid w:val="00E73EF9"/>
    <w:rsid w:val="00E74E1A"/>
    <w:rsid w:val="00E7573C"/>
    <w:rsid w:val="00E75D6D"/>
    <w:rsid w:val="00E771FB"/>
    <w:rsid w:val="00E814FB"/>
    <w:rsid w:val="00E8213D"/>
    <w:rsid w:val="00E831F0"/>
    <w:rsid w:val="00E855B3"/>
    <w:rsid w:val="00E85AE6"/>
    <w:rsid w:val="00E8635E"/>
    <w:rsid w:val="00E8762D"/>
    <w:rsid w:val="00E91153"/>
    <w:rsid w:val="00E91E9C"/>
    <w:rsid w:val="00E934C1"/>
    <w:rsid w:val="00E95EF1"/>
    <w:rsid w:val="00E96D6C"/>
    <w:rsid w:val="00E9752D"/>
    <w:rsid w:val="00EA06E1"/>
    <w:rsid w:val="00EA06EF"/>
    <w:rsid w:val="00EA0D28"/>
    <w:rsid w:val="00EA1B4E"/>
    <w:rsid w:val="00EA3485"/>
    <w:rsid w:val="00EA7113"/>
    <w:rsid w:val="00EB0230"/>
    <w:rsid w:val="00EB2510"/>
    <w:rsid w:val="00EB445A"/>
    <w:rsid w:val="00EB4F4D"/>
    <w:rsid w:val="00EB531B"/>
    <w:rsid w:val="00EB59B5"/>
    <w:rsid w:val="00EC3459"/>
    <w:rsid w:val="00EC507A"/>
    <w:rsid w:val="00EC5136"/>
    <w:rsid w:val="00EC580B"/>
    <w:rsid w:val="00EC6342"/>
    <w:rsid w:val="00ED3AB6"/>
    <w:rsid w:val="00ED700F"/>
    <w:rsid w:val="00EE12A1"/>
    <w:rsid w:val="00EE30B8"/>
    <w:rsid w:val="00EE3F8B"/>
    <w:rsid w:val="00EE4F10"/>
    <w:rsid w:val="00EE62B3"/>
    <w:rsid w:val="00EF0A5B"/>
    <w:rsid w:val="00EF2E22"/>
    <w:rsid w:val="00EF3097"/>
    <w:rsid w:val="00EF3BD8"/>
    <w:rsid w:val="00EF5BAF"/>
    <w:rsid w:val="00EF5DBC"/>
    <w:rsid w:val="00EF6421"/>
    <w:rsid w:val="00EF66B5"/>
    <w:rsid w:val="00EF76F0"/>
    <w:rsid w:val="00EF7C2C"/>
    <w:rsid w:val="00F00B0E"/>
    <w:rsid w:val="00F01075"/>
    <w:rsid w:val="00F01353"/>
    <w:rsid w:val="00F02B14"/>
    <w:rsid w:val="00F040E4"/>
    <w:rsid w:val="00F04C29"/>
    <w:rsid w:val="00F11B63"/>
    <w:rsid w:val="00F139E9"/>
    <w:rsid w:val="00F14B4B"/>
    <w:rsid w:val="00F14FCC"/>
    <w:rsid w:val="00F15C9D"/>
    <w:rsid w:val="00F162D3"/>
    <w:rsid w:val="00F16A56"/>
    <w:rsid w:val="00F20741"/>
    <w:rsid w:val="00F207D7"/>
    <w:rsid w:val="00F25C12"/>
    <w:rsid w:val="00F2687D"/>
    <w:rsid w:val="00F3110E"/>
    <w:rsid w:val="00F31188"/>
    <w:rsid w:val="00F31DDD"/>
    <w:rsid w:val="00F33B38"/>
    <w:rsid w:val="00F33F79"/>
    <w:rsid w:val="00F34BC3"/>
    <w:rsid w:val="00F34CCE"/>
    <w:rsid w:val="00F350B9"/>
    <w:rsid w:val="00F36395"/>
    <w:rsid w:val="00F41ADB"/>
    <w:rsid w:val="00F42691"/>
    <w:rsid w:val="00F456F7"/>
    <w:rsid w:val="00F500A5"/>
    <w:rsid w:val="00F50877"/>
    <w:rsid w:val="00F52B34"/>
    <w:rsid w:val="00F53847"/>
    <w:rsid w:val="00F5536D"/>
    <w:rsid w:val="00F56255"/>
    <w:rsid w:val="00F57A1F"/>
    <w:rsid w:val="00F60E62"/>
    <w:rsid w:val="00F60FAB"/>
    <w:rsid w:val="00F61672"/>
    <w:rsid w:val="00F6360F"/>
    <w:rsid w:val="00F64FD0"/>
    <w:rsid w:val="00F67637"/>
    <w:rsid w:val="00F70533"/>
    <w:rsid w:val="00F73415"/>
    <w:rsid w:val="00F7710B"/>
    <w:rsid w:val="00F81B38"/>
    <w:rsid w:val="00F822E0"/>
    <w:rsid w:val="00F8510D"/>
    <w:rsid w:val="00F856E7"/>
    <w:rsid w:val="00F85F27"/>
    <w:rsid w:val="00F87CA1"/>
    <w:rsid w:val="00F90BDF"/>
    <w:rsid w:val="00F91A3C"/>
    <w:rsid w:val="00F91B14"/>
    <w:rsid w:val="00F92239"/>
    <w:rsid w:val="00F92EB6"/>
    <w:rsid w:val="00F92F49"/>
    <w:rsid w:val="00F94115"/>
    <w:rsid w:val="00F94A67"/>
    <w:rsid w:val="00F97D49"/>
    <w:rsid w:val="00FA037B"/>
    <w:rsid w:val="00FA1A46"/>
    <w:rsid w:val="00FA1F3B"/>
    <w:rsid w:val="00FA1F83"/>
    <w:rsid w:val="00FA2705"/>
    <w:rsid w:val="00FA58C4"/>
    <w:rsid w:val="00FA5E5B"/>
    <w:rsid w:val="00FB15BD"/>
    <w:rsid w:val="00FB25E5"/>
    <w:rsid w:val="00FB2B03"/>
    <w:rsid w:val="00FB2B7C"/>
    <w:rsid w:val="00FB2F34"/>
    <w:rsid w:val="00FB3244"/>
    <w:rsid w:val="00FB40DF"/>
    <w:rsid w:val="00FB7AF0"/>
    <w:rsid w:val="00FC054F"/>
    <w:rsid w:val="00FC0A0D"/>
    <w:rsid w:val="00FC380B"/>
    <w:rsid w:val="00FD0C68"/>
    <w:rsid w:val="00FD30EB"/>
    <w:rsid w:val="00FD440C"/>
    <w:rsid w:val="00FE0269"/>
    <w:rsid w:val="00FE055B"/>
    <w:rsid w:val="00FE10DE"/>
    <w:rsid w:val="00FE17AE"/>
    <w:rsid w:val="00FE1DF4"/>
    <w:rsid w:val="00FE2BF0"/>
    <w:rsid w:val="00FE33A3"/>
    <w:rsid w:val="00FE3E9B"/>
    <w:rsid w:val="00FE4D86"/>
    <w:rsid w:val="00FE559B"/>
    <w:rsid w:val="00FE5DAB"/>
    <w:rsid w:val="00FE7439"/>
    <w:rsid w:val="00FE7E2A"/>
    <w:rsid w:val="00FF30BF"/>
    <w:rsid w:val="00FF36E7"/>
    <w:rsid w:val="00FF4217"/>
    <w:rsid w:val="00FF702B"/>
    <w:rsid w:val="00FF76C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7042">
      <o:colormru v:ext="edit" colors="#393,#00c"/>
      <o:colormenu v:ext="edit" fillcolor="none [1606]"/>
    </o:shapedefaults>
    <o:shapelayout v:ext="edit">
      <o:idmap v:ext="edit" data="1"/>
      <o:regrouptable v:ext="edit">
        <o:entry new="1" old="0"/>
        <o:entry new="2" old="1"/>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635E"/>
  </w:style>
  <w:style w:type="paragraph" w:styleId="Heading1">
    <w:name w:val="heading 1"/>
    <w:basedOn w:val="Normal"/>
    <w:next w:val="Normal"/>
    <w:link w:val="Heading1Char"/>
    <w:uiPriority w:val="9"/>
    <w:qFormat/>
    <w:rsid w:val="003C5FE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C5FE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F5D0D"/>
    <w:pPr>
      <w:keepNext/>
      <w:keepLines/>
      <w:spacing w:before="200" w:after="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uiPriority w:val="9"/>
    <w:semiHidden/>
    <w:unhideWhenUsed/>
    <w:qFormat/>
    <w:rsid w:val="00F92EB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92EB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92EB6"/>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5FE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C5FE7"/>
    <w:rPr>
      <w:rFonts w:asciiTheme="majorHAnsi" w:eastAsiaTheme="majorEastAsia" w:hAnsiTheme="majorHAnsi" w:cstheme="majorBidi"/>
      <w:b/>
      <w:bCs/>
      <w:color w:val="4F81BD" w:themeColor="accent1"/>
      <w:sz w:val="26"/>
      <w:szCs w:val="26"/>
    </w:rPr>
  </w:style>
  <w:style w:type="paragraph" w:styleId="Caption">
    <w:name w:val="caption"/>
    <w:basedOn w:val="Normal"/>
    <w:next w:val="Normal"/>
    <w:uiPriority w:val="35"/>
    <w:unhideWhenUsed/>
    <w:qFormat/>
    <w:rsid w:val="003C5FE7"/>
    <w:pPr>
      <w:spacing w:line="240" w:lineRule="auto"/>
    </w:pPr>
    <w:rPr>
      <w:b/>
      <w:bCs/>
      <w:color w:val="4F81BD" w:themeColor="accent1"/>
      <w:sz w:val="18"/>
      <w:szCs w:val="18"/>
    </w:rPr>
  </w:style>
  <w:style w:type="character" w:styleId="Hyperlink">
    <w:name w:val="Hyperlink"/>
    <w:basedOn w:val="DefaultParagraphFont"/>
    <w:uiPriority w:val="99"/>
    <w:unhideWhenUsed/>
    <w:rsid w:val="00AC6DEF"/>
    <w:rPr>
      <w:color w:val="0000FF"/>
      <w:u w:val="single"/>
    </w:rPr>
  </w:style>
  <w:style w:type="paragraph" w:styleId="BalloonText">
    <w:name w:val="Balloon Text"/>
    <w:basedOn w:val="Normal"/>
    <w:link w:val="BalloonTextChar"/>
    <w:uiPriority w:val="99"/>
    <w:semiHidden/>
    <w:unhideWhenUsed/>
    <w:rsid w:val="00B819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19D9"/>
    <w:rPr>
      <w:rFonts w:ascii="Tahoma" w:hAnsi="Tahoma" w:cs="Tahoma"/>
      <w:sz w:val="16"/>
      <w:szCs w:val="16"/>
    </w:rPr>
  </w:style>
  <w:style w:type="table" w:customStyle="1" w:styleId="Sombreadoclaro-nfasis11">
    <w:name w:val="Sombreado claro - Énfasis 11"/>
    <w:basedOn w:val="TableNormal"/>
    <w:uiPriority w:val="60"/>
    <w:rsid w:val="00EE4F10"/>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NoSpacing">
    <w:name w:val="No Spacing"/>
    <w:link w:val="NoSpacingChar"/>
    <w:uiPriority w:val="1"/>
    <w:qFormat/>
    <w:rsid w:val="00AF5D0D"/>
    <w:pPr>
      <w:spacing w:after="0" w:line="240" w:lineRule="auto"/>
    </w:pPr>
  </w:style>
  <w:style w:type="character" w:customStyle="1" w:styleId="apple-style-span">
    <w:name w:val="apple-style-span"/>
    <w:basedOn w:val="DefaultParagraphFont"/>
    <w:rsid w:val="00AF5D0D"/>
  </w:style>
  <w:style w:type="character" w:customStyle="1" w:styleId="Heading3Char">
    <w:name w:val="Heading 3 Char"/>
    <w:basedOn w:val="DefaultParagraphFont"/>
    <w:link w:val="Heading3"/>
    <w:uiPriority w:val="9"/>
    <w:rsid w:val="00AF5D0D"/>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CB5DEF"/>
    <w:pPr>
      <w:ind w:left="720"/>
      <w:contextualSpacing/>
    </w:pPr>
  </w:style>
  <w:style w:type="paragraph" w:styleId="TOCHeading">
    <w:name w:val="TOC Heading"/>
    <w:basedOn w:val="Heading1"/>
    <w:next w:val="Normal"/>
    <w:uiPriority w:val="39"/>
    <w:unhideWhenUsed/>
    <w:qFormat/>
    <w:rsid w:val="00583A0D"/>
    <w:pPr>
      <w:outlineLvl w:val="9"/>
    </w:pPr>
  </w:style>
  <w:style w:type="paragraph" w:styleId="TOC2">
    <w:name w:val="toc 2"/>
    <w:basedOn w:val="Normal"/>
    <w:next w:val="Normal"/>
    <w:autoRedefine/>
    <w:uiPriority w:val="39"/>
    <w:unhideWhenUsed/>
    <w:rsid w:val="00583A0D"/>
    <w:pPr>
      <w:spacing w:after="100"/>
      <w:ind w:left="220"/>
    </w:pPr>
  </w:style>
  <w:style w:type="paragraph" w:styleId="TOC1">
    <w:name w:val="toc 1"/>
    <w:basedOn w:val="Normal"/>
    <w:next w:val="Normal"/>
    <w:autoRedefine/>
    <w:uiPriority w:val="39"/>
    <w:unhideWhenUsed/>
    <w:rsid w:val="00583A0D"/>
    <w:pPr>
      <w:spacing w:after="100"/>
    </w:pPr>
  </w:style>
  <w:style w:type="paragraph" w:styleId="TOC3">
    <w:name w:val="toc 3"/>
    <w:basedOn w:val="Normal"/>
    <w:next w:val="Normal"/>
    <w:autoRedefine/>
    <w:uiPriority w:val="39"/>
    <w:unhideWhenUsed/>
    <w:rsid w:val="00583A0D"/>
    <w:pPr>
      <w:spacing w:after="100"/>
      <w:ind w:left="440"/>
    </w:pPr>
  </w:style>
  <w:style w:type="paragraph" w:styleId="FootnoteText">
    <w:name w:val="footnote text"/>
    <w:basedOn w:val="Normal"/>
    <w:link w:val="FootnoteTextChar"/>
    <w:unhideWhenUsed/>
    <w:rsid w:val="0004029A"/>
    <w:pPr>
      <w:spacing w:after="0" w:line="240" w:lineRule="auto"/>
    </w:pPr>
    <w:rPr>
      <w:sz w:val="20"/>
      <w:szCs w:val="20"/>
    </w:rPr>
  </w:style>
  <w:style w:type="character" w:customStyle="1" w:styleId="FootnoteTextChar">
    <w:name w:val="Footnote Text Char"/>
    <w:basedOn w:val="DefaultParagraphFont"/>
    <w:link w:val="FootnoteText"/>
    <w:rsid w:val="0004029A"/>
    <w:rPr>
      <w:sz w:val="20"/>
      <w:szCs w:val="20"/>
    </w:rPr>
  </w:style>
  <w:style w:type="character" w:styleId="FootnoteReference">
    <w:name w:val="footnote reference"/>
    <w:basedOn w:val="DefaultParagraphFont"/>
    <w:uiPriority w:val="99"/>
    <w:unhideWhenUsed/>
    <w:rsid w:val="0004029A"/>
    <w:rPr>
      <w:vertAlign w:val="superscript"/>
    </w:rPr>
  </w:style>
  <w:style w:type="paragraph" w:styleId="Header">
    <w:name w:val="header"/>
    <w:basedOn w:val="Normal"/>
    <w:link w:val="HeaderChar"/>
    <w:uiPriority w:val="99"/>
    <w:semiHidden/>
    <w:unhideWhenUsed/>
    <w:rsid w:val="003526B6"/>
    <w:pPr>
      <w:tabs>
        <w:tab w:val="center" w:pos="4252"/>
        <w:tab w:val="right" w:pos="8504"/>
      </w:tabs>
      <w:spacing w:after="0" w:line="240" w:lineRule="auto"/>
    </w:pPr>
  </w:style>
  <w:style w:type="character" w:customStyle="1" w:styleId="HeaderChar">
    <w:name w:val="Header Char"/>
    <w:basedOn w:val="DefaultParagraphFont"/>
    <w:link w:val="Header"/>
    <w:uiPriority w:val="99"/>
    <w:semiHidden/>
    <w:rsid w:val="003526B6"/>
  </w:style>
  <w:style w:type="paragraph" w:styleId="Footer">
    <w:name w:val="footer"/>
    <w:basedOn w:val="Normal"/>
    <w:link w:val="FooterChar"/>
    <w:uiPriority w:val="99"/>
    <w:unhideWhenUsed/>
    <w:rsid w:val="003526B6"/>
    <w:pPr>
      <w:tabs>
        <w:tab w:val="center" w:pos="4252"/>
        <w:tab w:val="right" w:pos="8504"/>
      </w:tabs>
      <w:spacing w:after="0" w:line="240" w:lineRule="auto"/>
    </w:pPr>
  </w:style>
  <w:style w:type="character" w:customStyle="1" w:styleId="FooterChar">
    <w:name w:val="Footer Char"/>
    <w:basedOn w:val="DefaultParagraphFont"/>
    <w:link w:val="Footer"/>
    <w:uiPriority w:val="99"/>
    <w:rsid w:val="003526B6"/>
  </w:style>
  <w:style w:type="character" w:customStyle="1" w:styleId="Heading6Char">
    <w:name w:val="Heading 6 Char"/>
    <w:basedOn w:val="DefaultParagraphFont"/>
    <w:link w:val="Heading6"/>
    <w:uiPriority w:val="9"/>
    <w:semiHidden/>
    <w:rsid w:val="00F92EB6"/>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92EB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92EB6"/>
    <w:rPr>
      <w:rFonts w:asciiTheme="majorHAnsi" w:eastAsiaTheme="majorEastAsia" w:hAnsiTheme="majorHAnsi" w:cstheme="majorBidi"/>
      <w:color w:val="404040" w:themeColor="text1" w:themeTint="BF"/>
      <w:sz w:val="20"/>
      <w:szCs w:val="20"/>
    </w:rPr>
  </w:style>
  <w:style w:type="table" w:styleId="LightShading-Accent2">
    <w:name w:val="Light Shading Accent 2"/>
    <w:basedOn w:val="TableNormal"/>
    <w:uiPriority w:val="60"/>
    <w:rsid w:val="008B5E67"/>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TableGrid">
    <w:name w:val="Table Grid"/>
    <w:basedOn w:val="TableNormal"/>
    <w:uiPriority w:val="59"/>
    <w:rsid w:val="00602F06"/>
    <w:pPr>
      <w:spacing w:after="0" w:line="240" w:lineRule="auto"/>
    </w:pPr>
    <w:rPr>
      <w:rFonts w:ascii="Times New Roman" w:eastAsia="Times New Roman" w:hAnsi="Times New Roman" w:cs="Times New Roman"/>
      <w:sz w:val="20"/>
      <w:szCs w:val="20"/>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SpacingChar">
    <w:name w:val="No Spacing Char"/>
    <w:basedOn w:val="DefaultParagraphFont"/>
    <w:link w:val="NoSpacing"/>
    <w:uiPriority w:val="1"/>
    <w:rsid w:val="00E06614"/>
  </w:style>
  <w:style w:type="paragraph" w:styleId="EndnoteText">
    <w:name w:val="endnote text"/>
    <w:basedOn w:val="Normal"/>
    <w:link w:val="EndnoteTextChar"/>
    <w:uiPriority w:val="99"/>
    <w:semiHidden/>
    <w:unhideWhenUsed/>
    <w:rsid w:val="00D45B0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45B0D"/>
    <w:rPr>
      <w:sz w:val="20"/>
      <w:szCs w:val="20"/>
    </w:rPr>
  </w:style>
  <w:style w:type="character" w:styleId="EndnoteReference">
    <w:name w:val="endnote reference"/>
    <w:basedOn w:val="DefaultParagraphFont"/>
    <w:uiPriority w:val="99"/>
    <w:semiHidden/>
    <w:unhideWhenUsed/>
    <w:rsid w:val="00D45B0D"/>
    <w:rPr>
      <w:vertAlign w:val="superscript"/>
    </w:rPr>
  </w:style>
  <w:style w:type="character" w:styleId="IntenseEmphasis">
    <w:name w:val="Intense Emphasis"/>
    <w:basedOn w:val="DefaultParagraphFont"/>
    <w:uiPriority w:val="21"/>
    <w:qFormat/>
    <w:rsid w:val="00A6739F"/>
    <w:rPr>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21250185">
      <w:bodyDiv w:val="1"/>
      <w:marLeft w:val="0"/>
      <w:marRight w:val="0"/>
      <w:marTop w:val="0"/>
      <w:marBottom w:val="0"/>
      <w:divBdr>
        <w:top w:val="none" w:sz="0" w:space="0" w:color="auto"/>
        <w:left w:val="none" w:sz="0" w:space="0" w:color="auto"/>
        <w:bottom w:val="none" w:sz="0" w:space="0" w:color="auto"/>
        <w:right w:val="none" w:sz="0" w:space="0" w:color="auto"/>
      </w:divBdr>
    </w:div>
    <w:div w:id="33625413">
      <w:bodyDiv w:val="1"/>
      <w:marLeft w:val="0"/>
      <w:marRight w:val="0"/>
      <w:marTop w:val="0"/>
      <w:marBottom w:val="0"/>
      <w:divBdr>
        <w:top w:val="none" w:sz="0" w:space="0" w:color="auto"/>
        <w:left w:val="none" w:sz="0" w:space="0" w:color="auto"/>
        <w:bottom w:val="none" w:sz="0" w:space="0" w:color="auto"/>
        <w:right w:val="none" w:sz="0" w:space="0" w:color="auto"/>
      </w:divBdr>
    </w:div>
    <w:div w:id="102504507">
      <w:bodyDiv w:val="1"/>
      <w:marLeft w:val="0"/>
      <w:marRight w:val="0"/>
      <w:marTop w:val="0"/>
      <w:marBottom w:val="0"/>
      <w:divBdr>
        <w:top w:val="none" w:sz="0" w:space="0" w:color="auto"/>
        <w:left w:val="none" w:sz="0" w:space="0" w:color="auto"/>
        <w:bottom w:val="none" w:sz="0" w:space="0" w:color="auto"/>
        <w:right w:val="none" w:sz="0" w:space="0" w:color="auto"/>
      </w:divBdr>
    </w:div>
    <w:div w:id="149686623">
      <w:bodyDiv w:val="1"/>
      <w:marLeft w:val="0"/>
      <w:marRight w:val="0"/>
      <w:marTop w:val="0"/>
      <w:marBottom w:val="0"/>
      <w:divBdr>
        <w:top w:val="none" w:sz="0" w:space="0" w:color="auto"/>
        <w:left w:val="none" w:sz="0" w:space="0" w:color="auto"/>
        <w:bottom w:val="none" w:sz="0" w:space="0" w:color="auto"/>
        <w:right w:val="none" w:sz="0" w:space="0" w:color="auto"/>
      </w:divBdr>
    </w:div>
    <w:div w:id="212153726">
      <w:bodyDiv w:val="1"/>
      <w:marLeft w:val="0"/>
      <w:marRight w:val="0"/>
      <w:marTop w:val="0"/>
      <w:marBottom w:val="0"/>
      <w:divBdr>
        <w:top w:val="none" w:sz="0" w:space="0" w:color="auto"/>
        <w:left w:val="none" w:sz="0" w:space="0" w:color="auto"/>
        <w:bottom w:val="none" w:sz="0" w:space="0" w:color="auto"/>
        <w:right w:val="none" w:sz="0" w:space="0" w:color="auto"/>
      </w:divBdr>
    </w:div>
    <w:div w:id="226112037">
      <w:bodyDiv w:val="1"/>
      <w:marLeft w:val="0"/>
      <w:marRight w:val="0"/>
      <w:marTop w:val="0"/>
      <w:marBottom w:val="0"/>
      <w:divBdr>
        <w:top w:val="none" w:sz="0" w:space="0" w:color="auto"/>
        <w:left w:val="none" w:sz="0" w:space="0" w:color="auto"/>
        <w:bottom w:val="none" w:sz="0" w:space="0" w:color="auto"/>
        <w:right w:val="none" w:sz="0" w:space="0" w:color="auto"/>
      </w:divBdr>
    </w:div>
    <w:div w:id="231234518">
      <w:bodyDiv w:val="1"/>
      <w:marLeft w:val="0"/>
      <w:marRight w:val="0"/>
      <w:marTop w:val="0"/>
      <w:marBottom w:val="0"/>
      <w:divBdr>
        <w:top w:val="none" w:sz="0" w:space="0" w:color="auto"/>
        <w:left w:val="none" w:sz="0" w:space="0" w:color="auto"/>
        <w:bottom w:val="none" w:sz="0" w:space="0" w:color="auto"/>
        <w:right w:val="none" w:sz="0" w:space="0" w:color="auto"/>
      </w:divBdr>
    </w:div>
    <w:div w:id="282159096">
      <w:bodyDiv w:val="1"/>
      <w:marLeft w:val="0"/>
      <w:marRight w:val="0"/>
      <w:marTop w:val="0"/>
      <w:marBottom w:val="0"/>
      <w:divBdr>
        <w:top w:val="none" w:sz="0" w:space="0" w:color="auto"/>
        <w:left w:val="none" w:sz="0" w:space="0" w:color="auto"/>
        <w:bottom w:val="none" w:sz="0" w:space="0" w:color="auto"/>
        <w:right w:val="none" w:sz="0" w:space="0" w:color="auto"/>
      </w:divBdr>
    </w:div>
    <w:div w:id="354699633">
      <w:bodyDiv w:val="1"/>
      <w:marLeft w:val="0"/>
      <w:marRight w:val="0"/>
      <w:marTop w:val="0"/>
      <w:marBottom w:val="0"/>
      <w:divBdr>
        <w:top w:val="none" w:sz="0" w:space="0" w:color="auto"/>
        <w:left w:val="none" w:sz="0" w:space="0" w:color="auto"/>
        <w:bottom w:val="none" w:sz="0" w:space="0" w:color="auto"/>
        <w:right w:val="none" w:sz="0" w:space="0" w:color="auto"/>
      </w:divBdr>
    </w:div>
    <w:div w:id="362680347">
      <w:bodyDiv w:val="1"/>
      <w:marLeft w:val="0"/>
      <w:marRight w:val="0"/>
      <w:marTop w:val="0"/>
      <w:marBottom w:val="0"/>
      <w:divBdr>
        <w:top w:val="none" w:sz="0" w:space="0" w:color="auto"/>
        <w:left w:val="none" w:sz="0" w:space="0" w:color="auto"/>
        <w:bottom w:val="none" w:sz="0" w:space="0" w:color="auto"/>
        <w:right w:val="none" w:sz="0" w:space="0" w:color="auto"/>
      </w:divBdr>
    </w:div>
    <w:div w:id="385178127">
      <w:bodyDiv w:val="1"/>
      <w:marLeft w:val="0"/>
      <w:marRight w:val="0"/>
      <w:marTop w:val="0"/>
      <w:marBottom w:val="0"/>
      <w:divBdr>
        <w:top w:val="none" w:sz="0" w:space="0" w:color="auto"/>
        <w:left w:val="none" w:sz="0" w:space="0" w:color="auto"/>
        <w:bottom w:val="none" w:sz="0" w:space="0" w:color="auto"/>
        <w:right w:val="none" w:sz="0" w:space="0" w:color="auto"/>
      </w:divBdr>
    </w:div>
    <w:div w:id="396826142">
      <w:bodyDiv w:val="1"/>
      <w:marLeft w:val="0"/>
      <w:marRight w:val="0"/>
      <w:marTop w:val="0"/>
      <w:marBottom w:val="0"/>
      <w:divBdr>
        <w:top w:val="none" w:sz="0" w:space="0" w:color="auto"/>
        <w:left w:val="none" w:sz="0" w:space="0" w:color="auto"/>
        <w:bottom w:val="none" w:sz="0" w:space="0" w:color="auto"/>
        <w:right w:val="none" w:sz="0" w:space="0" w:color="auto"/>
      </w:divBdr>
    </w:div>
    <w:div w:id="401417060">
      <w:bodyDiv w:val="1"/>
      <w:marLeft w:val="0"/>
      <w:marRight w:val="0"/>
      <w:marTop w:val="0"/>
      <w:marBottom w:val="0"/>
      <w:divBdr>
        <w:top w:val="none" w:sz="0" w:space="0" w:color="auto"/>
        <w:left w:val="none" w:sz="0" w:space="0" w:color="auto"/>
        <w:bottom w:val="none" w:sz="0" w:space="0" w:color="auto"/>
        <w:right w:val="none" w:sz="0" w:space="0" w:color="auto"/>
      </w:divBdr>
    </w:div>
    <w:div w:id="446003981">
      <w:bodyDiv w:val="1"/>
      <w:marLeft w:val="0"/>
      <w:marRight w:val="0"/>
      <w:marTop w:val="0"/>
      <w:marBottom w:val="0"/>
      <w:divBdr>
        <w:top w:val="none" w:sz="0" w:space="0" w:color="auto"/>
        <w:left w:val="none" w:sz="0" w:space="0" w:color="auto"/>
        <w:bottom w:val="none" w:sz="0" w:space="0" w:color="auto"/>
        <w:right w:val="none" w:sz="0" w:space="0" w:color="auto"/>
      </w:divBdr>
    </w:div>
    <w:div w:id="498236974">
      <w:bodyDiv w:val="1"/>
      <w:marLeft w:val="0"/>
      <w:marRight w:val="0"/>
      <w:marTop w:val="0"/>
      <w:marBottom w:val="0"/>
      <w:divBdr>
        <w:top w:val="none" w:sz="0" w:space="0" w:color="auto"/>
        <w:left w:val="none" w:sz="0" w:space="0" w:color="auto"/>
        <w:bottom w:val="none" w:sz="0" w:space="0" w:color="auto"/>
        <w:right w:val="none" w:sz="0" w:space="0" w:color="auto"/>
      </w:divBdr>
    </w:div>
    <w:div w:id="526020097">
      <w:bodyDiv w:val="1"/>
      <w:marLeft w:val="0"/>
      <w:marRight w:val="0"/>
      <w:marTop w:val="0"/>
      <w:marBottom w:val="0"/>
      <w:divBdr>
        <w:top w:val="none" w:sz="0" w:space="0" w:color="auto"/>
        <w:left w:val="none" w:sz="0" w:space="0" w:color="auto"/>
        <w:bottom w:val="none" w:sz="0" w:space="0" w:color="auto"/>
        <w:right w:val="none" w:sz="0" w:space="0" w:color="auto"/>
      </w:divBdr>
    </w:div>
    <w:div w:id="763381110">
      <w:bodyDiv w:val="1"/>
      <w:marLeft w:val="0"/>
      <w:marRight w:val="0"/>
      <w:marTop w:val="0"/>
      <w:marBottom w:val="0"/>
      <w:divBdr>
        <w:top w:val="none" w:sz="0" w:space="0" w:color="auto"/>
        <w:left w:val="none" w:sz="0" w:space="0" w:color="auto"/>
        <w:bottom w:val="none" w:sz="0" w:space="0" w:color="auto"/>
        <w:right w:val="none" w:sz="0" w:space="0" w:color="auto"/>
      </w:divBdr>
    </w:div>
    <w:div w:id="781455534">
      <w:bodyDiv w:val="1"/>
      <w:marLeft w:val="0"/>
      <w:marRight w:val="0"/>
      <w:marTop w:val="0"/>
      <w:marBottom w:val="0"/>
      <w:divBdr>
        <w:top w:val="none" w:sz="0" w:space="0" w:color="auto"/>
        <w:left w:val="none" w:sz="0" w:space="0" w:color="auto"/>
        <w:bottom w:val="none" w:sz="0" w:space="0" w:color="auto"/>
        <w:right w:val="none" w:sz="0" w:space="0" w:color="auto"/>
      </w:divBdr>
    </w:div>
    <w:div w:id="817845522">
      <w:bodyDiv w:val="1"/>
      <w:marLeft w:val="0"/>
      <w:marRight w:val="0"/>
      <w:marTop w:val="0"/>
      <w:marBottom w:val="0"/>
      <w:divBdr>
        <w:top w:val="none" w:sz="0" w:space="0" w:color="auto"/>
        <w:left w:val="none" w:sz="0" w:space="0" w:color="auto"/>
        <w:bottom w:val="none" w:sz="0" w:space="0" w:color="auto"/>
        <w:right w:val="none" w:sz="0" w:space="0" w:color="auto"/>
      </w:divBdr>
    </w:div>
    <w:div w:id="825244201">
      <w:bodyDiv w:val="1"/>
      <w:marLeft w:val="0"/>
      <w:marRight w:val="0"/>
      <w:marTop w:val="0"/>
      <w:marBottom w:val="0"/>
      <w:divBdr>
        <w:top w:val="none" w:sz="0" w:space="0" w:color="auto"/>
        <w:left w:val="none" w:sz="0" w:space="0" w:color="auto"/>
        <w:bottom w:val="none" w:sz="0" w:space="0" w:color="auto"/>
        <w:right w:val="none" w:sz="0" w:space="0" w:color="auto"/>
      </w:divBdr>
    </w:div>
    <w:div w:id="851725390">
      <w:bodyDiv w:val="1"/>
      <w:marLeft w:val="0"/>
      <w:marRight w:val="0"/>
      <w:marTop w:val="0"/>
      <w:marBottom w:val="0"/>
      <w:divBdr>
        <w:top w:val="none" w:sz="0" w:space="0" w:color="auto"/>
        <w:left w:val="none" w:sz="0" w:space="0" w:color="auto"/>
        <w:bottom w:val="none" w:sz="0" w:space="0" w:color="auto"/>
        <w:right w:val="none" w:sz="0" w:space="0" w:color="auto"/>
      </w:divBdr>
    </w:div>
    <w:div w:id="865755179">
      <w:bodyDiv w:val="1"/>
      <w:marLeft w:val="0"/>
      <w:marRight w:val="0"/>
      <w:marTop w:val="0"/>
      <w:marBottom w:val="0"/>
      <w:divBdr>
        <w:top w:val="none" w:sz="0" w:space="0" w:color="auto"/>
        <w:left w:val="none" w:sz="0" w:space="0" w:color="auto"/>
        <w:bottom w:val="none" w:sz="0" w:space="0" w:color="auto"/>
        <w:right w:val="none" w:sz="0" w:space="0" w:color="auto"/>
      </w:divBdr>
    </w:div>
    <w:div w:id="885022921">
      <w:bodyDiv w:val="1"/>
      <w:marLeft w:val="0"/>
      <w:marRight w:val="0"/>
      <w:marTop w:val="0"/>
      <w:marBottom w:val="0"/>
      <w:divBdr>
        <w:top w:val="none" w:sz="0" w:space="0" w:color="auto"/>
        <w:left w:val="none" w:sz="0" w:space="0" w:color="auto"/>
        <w:bottom w:val="none" w:sz="0" w:space="0" w:color="auto"/>
        <w:right w:val="none" w:sz="0" w:space="0" w:color="auto"/>
      </w:divBdr>
    </w:div>
    <w:div w:id="902103452">
      <w:bodyDiv w:val="1"/>
      <w:marLeft w:val="0"/>
      <w:marRight w:val="0"/>
      <w:marTop w:val="0"/>
      <w:marBottom w:val="0"/>
      <w:divBdr>
        <w:top w:val="none" w:sz="0" w:space="0" w:color="auto"/>
        <w:left w:val="none" w:sz="0" w:space="0" w:color="auto"/>
        <w:bottom w:val="none" w:sz="0" w:space="0" w:color="auto"/>
        <w:right w:val="none" w:sz="0" w:space="0" w:color="auto"/>
      </w:divBdr>
    </w:div>
    <w:div w:id="950435366">
      <w:bodyDiv w:val="1"/>
      <w:marLeft w:val="0"/>
      <w:marRight w:val="0"/>
      <w:marTop w:val="0"/>
      <w:marBottom w:val="0"/>
      <w:divBdr>
        <w:top w:val="none" w:sz="0" w:space="0" w:color="auto"/>
        <w:left w:val="none" w:sz="0" w:space="0" w:color="auto"/>
        <w:bottom w:val="none" w:sz="0" w:space="0" w:color="auto"/>
        <w:right w:val="none" w:sz="0" w:space="0" w:color="auto"/>
      </w:divBdr>
    </w:div>
    <w:div w:id="952597486">
      <w:bodyDiv w:val="1"/>
      <w:marLeft w:val="0"/>
      <w:marRight w:val="0"/>
      <w:marTop w:val="0"/>
      <w:marBottom w:val="0"/>
      <w:divBdr>
        <w:top w:val="none" w:sz="0" w:space="0" w:color="auto"/>
        <w:left w:val="none" w:sz="0" w:space="0" w:color="auto"/>
        <w:bottom w:val="none" w:sz="0" w:space="0" w:color="auto"/>
        <w:right w:val="none" w:sz="0" w:space="0" w:color="auto"/>
      </w:divBdr>
    </w:div>
    <w:div w:id="958730884">
      <w:bodyDiv w:val="1"/>
      <w:marLeft w:val="0"/>
      <w:marRight w:val="0"/>
      <w:marTop w:val="0"/>
      <w:marBottom w:val="0"/>
      <w:divBdr>
        <w:top w:val="none" w:sz="0" w:space="0" w:color="auto"/>
        <w:left w:val="none" w:sz="0" w:space="0" w:color="auto"/>
        <w:bottom w:val="none" w:sz="0" w:space="0" w:color="auto"/>
        <w:right w:val="none" w:sz="0" w:space="0" w:color="auto"/>
      </w:divBdr>
    </w:div>
    <w:div w:id="971059463">
      <w:bodyDiv w:val="1"/>
      <w:marLeft w:val="0"/>
      <w:marRight w:val="0"/>
      <w:marTop w:val="0"/>
      <w:marBottom w:val="0"/>
      <w:divBdr>
        <w:top w:val="none" w:sz="0" w:space="0" w:color="auto"/>
        <w:left w:val="none" w:sz="0" w:space="0" w:color="auto"/>
        <w:bottom w:val="none" w:sz="0" w:space="0" w:color="auto"/>
        <w:right w:val="none" w:sz="0" w:space="0" w:color="auto"/>
      </w:divBdr>
    </w:div>
    <w:div w:id="1068261097">
      <w:bodyDiv w:val="1"/>
      <w:marLeft w:val="0"/>
      <w:marRight w:val="0"/>
      <w:marTop w:val="0"/>
      <w:marBottom w:val="0"/>
      <w:divBdr>
        <w:top w:val="none" w:sz="0" w:space="0" w:color="auto"/>
        <w:left w:val="none" w:sz="0" w:space="0" w:color="auto"/>
        <w:bottom w:val="none" w:sz="0" w:space="0" w:color="auto"/>
        <w:right w:val="none" w:sz="0" w:space="0" w:color="auto"/>
      </w:divBdr>
    </w:div>
    <w:div w:id="1073502454">
      <w:bodyDiv w:val="1"/>
      <w:marLeft w:val="0"/>
      <w:marRight w:val="0"/>
      <w:marTop w:val="0"/>
      <w:marBottom w:val="0"/>
      <w:divBdr>
        <w:top w:val="none" w:sz="0" w:space="0" w:color="auto"/>
        <w:left w:val="none" w:sz="0" w:space="0" w:color="auto"/>
        <w:bottom w:val="none" w:sz="0" w:space="0" w:color="auto"/>
        <w:right w:val="none" w:sz="0" w:space="0" w:color="auto"/>
      </w:divBdr>
    </w:div>
    <w:div w:id="1133986733">
      <w:bodyDiv w:val="1"/>
      <w:marLeft w:val="0"/>
      <w:marRight w:val="0"/>
      <w:marTop w:val="0"/>
      <w:marBottom w:val="0"/>
      <w:divBdr>
        <w:top w:val="none" w:sz="0" w:space="0" w:color="auto"/>
        <w:left w:val="none" w:sz="0" w:space="0" w:color="auto"/>
        <w:bottom w:val="none" w:sz="0" w:space="0" w:color="auto"/>
        <w:right w:val="none" w:sz="0" w:space="0" w:color="auto"/>
      </w:divBdr>
    </w:div>
    <w:div w:id="1311978133">
      <w:bodyDiv w:val="1"/>
      <w:marLeft w:val="0"/>
      <w:marRight w:val="0"/>
      <w:marTop w:val="0"/>
      <w:marBottom w:val="0"/>
      <w:divBdr>
        <w:top w:val="none" w:sz="0" w:space="0" w:color="auto"/>
        <w:left w:val="none" w:sz="0" w:space="0" w:color="auto"/>
        <w:bottom w:val="none" w:sz="0" w:space="0" w:color="auto"/>
        <w:right w:val="none" w:sz="0" w:space="0" w:color="auto"/>
      </w:divBdr>
    </w:div>
    <w:div w:id="1316765266">
      <w:bodyDiv w:val="1"/>
      <w:marLeft w:val="0"/>
      <w:marRight w:val="0"/>
      <w:marTop w:val="0"/>
      <w:marBottom w:val="0"/>
      <w:divBdr>
        <w:top w:val="none" w:sz="0" w:space="0" w:color="auto"/>
        <w:left w:val="none" w:sz="0" w:space="0" w:color="auto"/>
        <w:bottom w:val="none" w:sz="0" w:space="0" w:color="auto"/>
        <w:right w:val="none" w:sz="0" w:space="0" w:color="auto"/>
      </w:divBdr>
    </w:div>
    <w:div w:id="1391032047">
      <w:bodyDiv w:val="1"/>
      <w:marLeft w:val="0"/>
      <w:marRight w:val="0"/>
      <w:marTop w:val="0"/>
      <w:marBottom w:val="0"/>
      <w:divBdr>
        <w:top w:val="none" w:sz="0" w:space="0" w:color="auto"/>
        <w:left w:val="none" w:sz="0" w:space="0" w:color="auto"/>
        <w:bottom w:val="none" w:sz="0" w:space="0" w:color="auto"/>
        <w:right w:val="none" w:sz="0" w:space="0" w:color="auto"/>
      </w:divBdr>
    </w:div>
    <w:div w:id="1489245010">
      <w:bodyDiv w:val="1"/>
      <w:marLeft w:val="0"/>
      <w:marRight w:val="0"/>
      <w:marTop w:val="0"/>
      <w:marBottom w:val="0"/>
      <w:divBdr>
        <w:top w:val="none" w:sz="0" w:space="0" w:color="auto"/>
        <w:left w:val="none" w:sz="0" w:space="0" w:color="auto"/>
        <w:bottom w:val="none" w:sz="0" w:space="0" w:color="auto"/>
        <w:right w:val="none" w:sz="0" w:space="0" w:color="auto"/>
      </w:divBdr>
    </w:div>
    <w:div w:id="1536774285">
      <w:bodyDiv w:val="1"/>
      <w:marLeft w:val="0"/>
      <w:marRight w:val="0"/>
      <w:marTop w:val="0"/>
      <w:marBottom w:val="0"/>
      <w:divBdr>
        <w:top w:val="none" w:sz="0" w:space="0" w:color="auto"/>
        <w:left w:val="none" w:sz="0" w:space="0" w:color="auto"/>
        <w:bottom w:val="none" w:sz="0" w:space="0" w:color="auto"/>
        <w:right w:val="none" w:sz="0" w:space="0" w:color="auto"/>
      </w:divBdr>
    </w:div>
    <w:div w:id="1552765223">
      <w:bodyDiv w:val="1"/>
      <w:marLeft w:val="0"/>
      <w:marRight w:val="0"/>
      <w:marTop w:val="0"/>
      <w:marBottom w:val="0"/>
      <w:divBdr>
        <w:top w:val="none" w:sz="0" w:space="0" w:color="auto"/>
        <w:left w:val="none" w:sz="0" w:space="0" w:color="auto"/>
        <w:bottom w:val="none" w:sz="0" w:space="0" w:color="auto"/>
        <w:right w:val="none" w:sz="0" w:space="0" w:color="auto"/>
      </w:divBdr>
    </w:div>
    <w:div w:id="1578975747">
      <w:bodyDiv w:val="1"/>
      <w:marLeft w:val="0"/>
      <w:marRight w:val="0"/>
      <w:marTop w:val="0"/>
      <w:marBottom w:val="0"/>
      <w:divBdr>
        <w:top w:val="none" w:sz="0" w:space="0" w:color="auto"/>
        <w:left w:val="none" w:sz="0" w:space="0" w:color="auto"/>
        <w:bottom w:val="none" w:sz="0" w:space="0" w:color="auto"/>
        <w:right w:val="none" w:sz="0" w:space="0" w:color="auto"/>
      </w:divBdr>
    </w:div>
    <w:div w:id="1641837715">
      <w:bodyDiv w:val="1"/>
      <w:marLeft w:val="0"/>
      <w:marRight w:val="0"/>
      <w:marTop w:val="0"/>
      <w:marBottom w:val="0"/>
      <w:divBdr>
        <w:top w:val="none" w:sz="0" w:space="0" w:color="auto"/>
        <w:left w:val="none" w:sz="0" w:space="0" w:color="auto"/>
        <w:bottom w:val="none" w:sz="0" w:space="0" w:color="auto"/>
        <w:right w:val="none" w:sz="0" w:space="0" w:color="auto"/>
      </w:divBdr>
    </w:div>
    <w:div w:id="1703706556">
      <w:bodyDiv w:val="1"/>
      <w:marLeft w:val="0"/>
      <w:marRight w:val="0"/>
      <w:marTop w:val="0"/>
      <w:marBottom w:val="0"/>
      <w:divBdr>
        <w:top w:val="none" w:sz="0" w:space="0" w:color="auto"/>
        <w:left w:val="none" w:sz="0" w:space="0" w:color="auto"/>
        <w:bottom w:val="none" w:sz="0" w:space="0" w:color="auto"/>
        <w:right w:val="none" w:sz="0" w:space="0" w:color="auto"/>
      </w:divBdr>
    </w:div>
    <w:div w:id="1736010667">
      <w:bodyDiv w:val="1"/>
      <w:marLeft w:val="0"/>
      <w:marRight w:val="0"/>
      <w:marTop w:val="0"/>
      <w:marBottom w:val="0"/>
      <w:divBdr>
        <w:top w:val="none" w:sz="0" w:space="0" w:color="auto"/>
        <w:left w:val="none" w:sz="0" w:space="0" w:color="auto"/>
        <w:bottom w:val="none" w:sz="0" w:space="0" w:color="auto"/>
        <w:right w:val="none" w:sz="0" w:space="0" w:color="auto"/>
      </w:divBdr>
    </w:div>
    <w:div w:id="1747149951">
      <w:bodyDiv w:val="1"/>
      <w:marLeft w:val="0"/>
      <w:marRight w:val="0"/>
      <w:marTop w:val="0"/>
      <w:marBottom w:val="0"/>
      <w:divBdr>
        <w:top w:val="none" w:sz="0" w:space="0" w:color="auto"/>
        <w:left w:val="none" w:sz="0" w:space="0" w:color="auto"/>
        <w:bottom w:val="none" w:sz="0" w:space="0" w:color="auto"/>
        <w:right w:val="none" w:sz="0" w:space="0" w:color="auto"/>
      </w:divBdr>
    </w:div>
    <w:div w:id="1751081967">
      <w:bodyDiv w:val="1"/>
      <w:marLeft w:val="0"/>
      <w:marRight w:val="0"/>
      <w:marTop w:val="0"/>
      <w:marBottom w:val="0"/>
      <w:divBdr>
        <w:top w:val="none" w:sz="0" w:space="0" w:color="auto"/>
        <w:left w:val="none" w:sz="0" w:space="0" w:color="auto"/>
        <w:bottom w:val="none" w:sz="0" w:space="0" w:color="auto"/>
        <w:right w:val="none" w:sz="0" w:space="0" w:color="auto"/>
      </w:divBdr>
    </w:div>
    <w:div w:id="1755514503">
      <w:bodyDiv w:val="1"/>
      <w:marLeft w:val="0"/>
      <w:marRight w:val="0"/>
      <w:marTop w:val="0"/>
      <w:marBottom w:val="0"/>
      <w:divBdr>
        <w:top w:val="none" w:sz="0" w:space="0" w:color="auto"/>
        <w:left w:val="none" w:sz="0" w:space="0" w:color="auto"/>
        <w:bottom w:val="none" w:sz="0" w:space="0" w:color="auto"/>
        <w:right w:val="none" w:sz="0" w:space="0" w:color="auto"/>
      </w:divBdr>
    </w:div>
    <w:div w:id="1808429666">
      <w:bodyDiv w:val="1"/>
      <w:marLeft w:val="0"/>
      <w:marRight w:val="0"/>
      <w:marTop w:val="0"/>
      <w:marBottom w:val="0"/>
      <w:divBdr>
        <w:top w:val="none" w:sz="0" w:space="0" w:color="auto"/>
        <w:left w:val="none" w:sz="0" w:space="0" w:color="auto"/>
        <w:bottom w:val="none" w:sz="0" w:space="0" w:color="auto"/>
        <w:right w:val="none" w:sz="0" w:space="0" w:color="auto"/>
      </w:divBdr>
    </w:div>
    <w:div w:id="1820263323">
      <w:bodyDiv w:val="1"/>
      <w:marLeft w:val="0"/>
      <w:marRight w:val="0"/>
      <w:marTop w:val="0"/>
      <w:marBottom w:val="0"/>
      <w:divBdr>
        <w:top w:val="none" w:sz="0" w:space="0" w:color="auto"/>
        <w:left w:val="none" w:sz="0" w:space="0" w:color="auto"/>
        <w:bottom w:val="none" w:sz="0" w:space="0" w:color="auto"/>
        <w:right w:val="none" w:sz="0" w:space="0" w:color="auto"/>
      </w:divBdr>
    </w:div>
    <w:div w:id="1863980455">
      <w:bodyDiv w:val="1"/>
      <w:marLeft w:val="0"/>
      <w:marRight w:val="0"/>
      <w:marTop w:val="0"/>
      <w:marBottom w:val="0"/>
      <w:divBdr>
        <w:top w:val="none" w:sz="0" w:space="0" w:color="auto"/>
        <w:left w:val="none" w:sz="0" w:space="0" w:color="auto"/>
        <w:bottom w:val="none" w:sz="0" w:space="0" w:color="auto"/>
        <w:right w:val="none" w:sz="0" w:space="0" w:color="auto"/>
      </w:divBdr>
    </w:div>
    <w:div w:id="1922761936">
      <w:bodyDiv w:val="1"/>
      <w:marLeft w:val="0"/>
      <w:marRight w:val="0"/>
      <w:marTop w:val="0"/>
      <w:marBottom w:val="0"/>
      <w:divBdr>
        <w:top w:val="none" w:sz="0" w:space="0" w:color="auto"/>
        <w:left w:val="none" w:sz="0" w:space="0" w:color="auto"/>
        <w:bottom w:val="none" w:sz="0" w:space="0" w:color="auto"/>
        <w:right w:val="none" w:sz="0" w:space="0" w:color="auto"/>
      </w:divBdr>
    </w:div>
    <w:div w:id="1985111743">
      <w:bodyDiv w:val="1"/>
      <w:marLeft w:val="0"/>
      <w:marRight w:val="0"/>
      <w:marTop w:val="0"/>
      <w:marBottom w:val="0"/>
      <w:divBdr>
        <w:top w:val="none" w:sz="0" w:space="0" w:color="auto"/>
        <w:left w:val="none" w:sz="0" w:space="0" w:color="auto"/>
        <w:bottom w:val="none" w:sz="0" w:space="0" w:color="auto"/>
        <w:right w:val="none" w:sz="0" w:space="0" w:color="auto"/>
      </w:divBdr>
    </w:div>
    <w:div w:id="2030912020">
      <w:bodyDiv w:val="1"/>
      <w:marLeft w:val="0"/>
      <w:marRight w:val="0"/>
      <w:marTop w:val="0"/>
      <w:marBottom w:val="0"/>
      <w:divBdr>
        <w:top w:val="none" w:sz="0" w:space="0" w:color="auto"/>
        <w:left w:val="none" w:sz="0" w:space="0" w:color="auto"/>
        <w:bottom w:val="none" w:sz="0" w:space="0" w:color="auto"/>
        <w:right w:val="none" w:sz="0" w:space="0" w:color="auto"/>
      </w:divBdr>
    </w:div>
    <w:div w:id="2031174159">
      <w:bodyDiv w:val="1"/>
      <w:marLeft w:val="0"/>
      <w:marRight w:val="0"/>
      <w:marTop w:val="0"/>
      <w:marBottom w:val="0"/>
      <w:divBdr>
        <w:top w:val="none" w:sz="0" w:space="0" w:color="auto"/>
        <w:left w:val="none" w:sz="0" w:space="0" w:color="auto"/>
        <w:bottom w:val="none" w:sz="0" w:space="0" w:color="auto"/>
        <w:right w:val="none" w:sz="0" w:space="0" w:color="auto"/>
      </w:divBdr>
    </w:div>
    <w:div w:id="2089840511">
      <w:bodyDiv w:val="1"/>
      <w:marLeft w:val="0"/>
      <w:marRight w:val="0"/>
      <w:marTop w:val="0"/>
      <w:marBottom w:val="0"/>
      <w:divBdr>
        <w:top w:val="none" w:sz="0" w:space="0" w:color="auto"/>
        <w:left w:val="none" w:sz="0" w:space="0" w:color="auto"/>
        <w:bottom w:val="none" w:sz="0" w:space="0" w:color="auto"/>
        <w:right w:val="none" w:sz="0" w:space="0" w:color="auto"/>
      </w:divBdr>
    </w:div>
    <w:div w:id="2127389766">
      <w:bodyDiv w:val="1"/>
      <w:marLeft w:val="0"/>
      <w:marRight w:val="0"/>
      <w:marTop w:val="0"/>
      <w:marBottom w:val="0"/>
      <w:divBdr>
        <w:top w:val="none" w:sz="0" w:space="0" w:color="auto"/>
        <w:left w:val="none" w:sz="0" w:space="0" w:color="auto"/>
        <w:bottom w:val="none" w:sz="0" w:space="0" w:color="auto"/>
        <w:right w:val="none" w:sz="0" w:space="0" w:color="auto"/>
      </w:divBdr>
    </w:div>
    <w:div w:id="2140679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chart" Target="charts/chart15.xml"/><Relationship Id="rId39" Type="http://schemas.openxmlformats.org/officeDocument/2006/relationships/chart" Target="charts/chart28.xml"/><Relationship Id="rId3" Type="http://schemas.openxmlformats.org/officeDocument/2006/relationships/numbering" Target="numbering.xml"/><Relationship Id="rId21" Type="http://schemas.openxmlformats.org/officeDocument/2006/relationships/hyperlink" Target="http://www.inei.gob.pe/" TargetMode="External"/><Relationship Id="rId34" Type="http://schemas.openxmlformats.org/officeDocument/2006/relationships/chart" Target="charts/chart23.xml"/><Relationship Id="rId42" Type="http://schemas.openxmlformats.org/officeDocument/2006/relationships/chart" Target="charts/chart31.xml"/><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chart" Target="charts/chart14.xml"/><Relationship Id="rId33" Type="http://schemas.openxmlformats.org/officeDocument/2006/relationships/chart" Target="charts/chart22.xml"/><Relationship Id="rId38" Type="http://schemas.openxmlformats.org/officeDocument/2006/relationships/chart" Target="charts/chart27.xml"/><Relationship Id="rId46"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hart" Target="charts/chart8.xml"/><Relationship Id="rId20" Type="http://schemas.openxmlformats.org/officeDocument/2006/relationships/hyperlink" Target="http://www.minedu.gob.pe/" TargetMode="External"/><Relationship Id="rId29" Type="http://schemas.openxmlformats.org/officeDocument/2006/relationships/chart" Target="charts/chart18.xml"/><Relationship Id="rId41" Type="http://schemas.openxmlformats.org/officeDocument/2006/relationships/chart" Target="charts/chart3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24" Type="http://schemas.openxmlformats.org/officeDocument/2006/relationships/chart" Target="charts/chart13.xml"/><Relationship Id="rId32" Type="http://schemas.openxmlformats.org/officeDocument/2006/relationships/chart" Target="charts/chart21.xml"/><Relationship Id="rId37" Type="http://schemas.openxmlformats.org/officeDocument/2006/relationships/chart" Target="charts/chart26.xml"/><Relationship Id="rId40" Type="http://schemas.openxmlformats.org/officeDocument/2006/relationships/chart" Target="charts/chart29.xml"/><Relationship Id="rId45" Type="http://schemas.openxmlformats.org/officeDocument/2006/relationships/chart" Target="charts/chart34.xml"/><Relationship Id="rId5" Type="http://schemas.openxmlformats.org/officeDocument/2006/relationships/settings" Target="settings.xml"/><Relationship Id="rId15" Type="http://schemas.openxmlformats.org/officeDocument/2006/relationships/chart" Target="charts/chart7.xml"/><Relationship Id="rId23" Type="http://schemas.openxmlformats.org/officeDocument/2006/relationships/chart" Target="charts/chart12.xml"/><Relationship Id="rId28" Type="http://schemas.openxmlformats.org/officeDocument/2006/relationships/chart" Target="charts/chart17.xml"/><Relationship Id="rId36" Type="http://schemas.openxmlformats.org/officeDocument/2006/relationships/chart" Target="charts/chart25.xml"/><Relationship Id="rId10" Type="http://schemas.openxmlformats.org/officeDocument/2006/relationships/chart" Target="charts/chart2.xml"/><Relationship Id="rId19" Type="http://schemas.openxmlformats.org/officeDocument/2006/relationships/hyperlink" Target="http://transparencia-economica.mef.gob.pe/" TargetMode="External"/><Relationship Id="rId31" Type="http://schemas.openxmlformats.org/officeDocument/2006/relationships/chart" Target="charts/chart20.xml"/><Relationship Id="rId44" Type="http://schemas.openxmlformats.org/officeDocument/2006/relationships/chart" Target="charts/chart33.xm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chart" Target="charts/chart11.xml"/><Relationship Id="rId27" Type="http://schemas.openxmlformats.org/officeDocument/2006/relationships/chart" Target="charts/chart16.xml"/><Relationship Id="rId30" Type="http://schemas.openxmlformats.org/officeDocument/2006/relationships/chart" Target="charts/chart19.xml"/><Relationship Id="rId35" Type="http://schemas.openxmlformats.org/officeDocument/2006/relationships/chart" Target="charts/chart24.xml"/><Relationship Id="rId43" Type="http://schemas.openxmlformats.org/officeDocument/2006/relationships/chart" Target="charts/chart32.xml"/><Relationship Id="rId48"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Documents%20and%20Settings\Administrador\Escritorio\Graciela\CIUP\Otros\graficos_capIII_edicion.xls"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Documents%20and%20Settings\Administrador\Escritorio\Graciela\CIUP\GDN_EDUC\Diego%20Macera\tablas_5regiones_v2.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Documents%20and%20Settings\Administrador\Escritorio\Graciela\CIUP\GDN_EDUC\DATA_SIAF_MINEDU\Cobertura.xls"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Documents%20and%20Settings\Administrador\Escritorio\Graciela\CIUP\GDN_EDUC\DATA_SIAF_MINEDU\Cobertura.xls"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Documents%20and%20Settings\Administrador\Escritorio\Graciela\CIUP\GDN_EDUC\DATA_SIAF_MINEDU\MATRIZ.xls"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Documents%20and%20Settings\Administrador\Escritorio\Graciela\CIUP\GDN_EDUC\DATA_SIAF_MINEDU\Cobertura.xls"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C:\Documents%20and%20Settings\Administrador\Escritorio\Graciela\CIUP\GDN_EDUC\DATA_SIAF_MINEDU\Cobertura.xls"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C:\Documents%20and%20Settings\Administrador\Escritorio\Graciela\CIUP\GDN_EDUC\DATA_SIAF_MINEDU\Cobertura.xls"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C:\Documents%20and%20Settings\Administrador\Escritorio\Graciela\CIUP\GDN_EDUC\DATA_SIAF_MINEDU\Cobertura.xls"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C:\Documents%20and%20Settings\Administrador\Escritorio\Graciela\CIUP\GDN_EDUC\DATA_SIAF_MINEDU\Cobertura.xls"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file:///C:\Documents%20and%20Settings\Administrador\Escritorio\Graciela\CIUP\GDN_EDUC\DATA_SIAF_MINEDU\Cobertura.xls"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Documents%20and%20Settings\Administrador\Escritorio\Graciela\CIUP\Otros\graficos_capIII_edicion.xls"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file:///C:\Documents%20and%20Settings\Administrador\Escritorio\Graciela\CIUP\GDN_EDUC\DATA_SIAF_MINEDU\Cobertura.xls"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file:///C:\Documents%20and%20Settings\Administrador\Escritorio\Graciela\CIUP\GDN_EDUC\DATA_SIAF_MINEDU\Cobertura.xls"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file:///C:\Documents%20and%20Settings\Administrador\Escritorio\Graciela\CIUP\GDN_EDUC\DATA_SIAF_MINEDU\Cobertura.xls"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file:///C:\Documents%20and%20Settings\Administrador\Escritorio\Graciela\CIUP\GDN_EDUC\DATA_SIAF_MINEDU\Cobertura.xls"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file:///C:\Documents%20and%20Settings\Administrador\Escritorio\Graciela\CIUP\GDN_EDUC\DATA_SIAF_MINEDU\Cobertura.xls" TargetMode="External"/></Relationships>
</file>

<file path=word/charts/_rels/chart25.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C:\Documents%20and%20Settings\Administrador\Escritorio\Graciela\UP\Paper\PeerEffects\RESULTADOS%20ECE.xlsx" TargetMode="External"/></Relationships>
</file>

<file path=word/charts/_rels/chart26.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oleObject" Target="file:///C:\Documents%20and%20Settings\Administrador\Escritorio\Graciela\UP\Paper\PeerEffects\RESULTADOS%20ECE.xlsx" TargetMode="External"/></Relationships>
</file>

<file path=word/charts/_rels/chart27.xml.rels><?xml version="1.0" encoding="UTF-8" standalone="yes"?>
<Relationships xmlns="http://schemas.openxmlformats.org/package/2006/relationships"><Relationship Id="rId1" Type="http://schemas.openxmlformats.org/officeDocument/2006/relationships/oleObject" Target="file:///C:\Documents%20and%20Settings\Administrador\Escritorio\Graciela\CIUP\GDN_EDUC\DATA_SIAF_MINEDU\Cobertura.xls" TargetMode="External"/></Relationships>
</file>

<file path=word/charts/_rels/chart28.xml.rels><?xml version="1.0" encoding="UTF-8" standalone="yes"?>
<Relationships xmlns="http://schemas.openxmlformats.org/package/2006/relationships"><Relationship Id="rId1" Type="http://schemas.openxmlformats.org/officeDocument/2006/relationships/oleObject" Target="file:///C:\Documents%20and%20Settings\Administrador\Escritorio\Graciela\CIUP\GDN_EDUC\DATA_SIAF_MINEDU\Cobertura.xls" TargetMode="External"/></Relationships>
</file>

<file path=word/charts/_rels/chart29.xml.rels><?xml version="1.0" encoding="UTF-8" standalone="yes"?>
<Relationships xmlns="http://schemas.openxmlformats.org/package/2006/relationships"><Relationship Id="rId1" Type="http://schemas.openxmlformats.org/officeDocument/2006/relationships/oleObject" Target="file:///C:\Documents%20and%20Settings\Administrador\Escritorio\Graciela\CIUP\GDN_EDUC\DATA_SIAF_MINEDU\Cobertura.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Documents%20and%20Settings\Administrador\Escritorio\Graciela\CIUP\GDN_EDUC\DATA_SIAF_MINEDU\Cobertura.xls" TargetMode="External"/></Relationships>
</file>

<file path=word/charts/_rels/chart30.xml.rels><?xml version="1.0" encoding="UTF-8" standalone="yes"?>
<Relationships xmlns="http://schemas.openxmlformats.org/package/2006/relationships"><Relationship Id="rId1" Type="http://schemas.openxmlformats.org/officeDocument/2006/relationships/oleObject" Target="file:///C:\Documents%20and%20Settings\Administrador\Escritorio\Graciela\CIUP\GDN_EDUC\DATA_SIAF_MINEDU\Cobertura.xls" TargetMode="External"/></Relationships>
</file>

<file path=word/charts/_rels/chart31.xml.rels><?xml version="1.0" encoding="UTF-8" standalone="yes"?>
<Relationships xmlns="http://schemas.openxmlformats.org/package/2006/relationships"><Relationship Id="rId1" Type="http://schemas.openxmlformats.org/officeDocument/2006/relationships/oleObject" Target="file:///C:\Documents%20and%20Settings\Administrador\Escritorio\Graciela\CIUP\GDN_EDUC\DATA_SIAF_MINEDU\Cobertura.xls" TargetMode="External"/></Relationships>
</file>

<file path=word/charts/_rels/chart32.xml.rels><?xml version="1.0" encoding="UTF-8" standalone="yes"?>
<Relationships xmlns="http://schemas.openxmlformats.org/package/2006/relationships"><Relationship Id="rId1" Type="http://schemas.openxmlformats.org/officeDocument/2006/relationships/oleObject" Target="file:///C:\Documents%20and%20Settings\Administrador\Escritorio\Graciela\CIUP\GDN_EDUC\DATA_SIAF_MINEDU\MATRIZ.xls" TargetMode="External"/></Relationships>
</file>

<file path=word/charts/_rels/chart33.xml.rels><?xml version="1.0" encoding="UTF-8" standalone="yes"?>
<Relationships xmlns="http://schemas.openxmlformats.org/package/2006/relationships"><Relationship Id="rId1" Type="http://schemas.openxmlformats.org/officeDocument/2006/relationships/oleObject" Target="file:///C:\Documents%20and%20Settings\Administrador\Escritorio\Graciela\CIUP\GDN_EDUC\DATA_SIAF_MINEDU\MATRIZ.xls" TargetMode="External"/></Relationships>
</file>

<file path=word/charts/_rels/chart34.xml.rels><?xml version="1.0" encoding="UTF-8" standalone="yes"?>
<Relationships xmlns="http://schemas.openxmlformats.org/package/2006/relationships"><Relationship Id="rId1" Type="http://schemas.openxmlformats.org/officeDocument/2006/relationships/oleObject" Target="file:///C:\Documents%20and%20Settings\Administrador\Escritorio\Graciela\CIUP\GDN_EDUC\DATA_SIAF_MINEDU\MATRIZ.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Documents%20and%20Settings\Administrador\Escritorio\Graciela\UP\Paper\PeerEffects\resultados%20PISA.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Documents%20and%20Settings\Administrador\Escritorio\Graciela\UP\Paper\PeerEffects\resultados%20PISA.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Documents%20and%20Settings\Administrador\Escritorio\Graciela\CIUP\GDN_EDUC\DATA_SIAF_MINEDU\MATRIZ.xls"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Documents%20and%20Settings\Administrador\Escritorio\Graciela\CIUP\GDN_EDUC\Budgeting%20Analysis\siaf_programas_educ__7.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Documents%20and%20Settings\Administrador\Escritorio\Graciela\CIUP\GDN_EDUC\Budgeting%20Analysis\siaf_programas_educ__7.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Documents%20and%20Settings\Administrador\Escritorio\Graciela\CIUP\GDN_EDUC\DATA_SIAF_MINEDU\Cobertura.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style val="38"/>
  <c:chart>
    <c:plotArea>
      <c:layout>
        <c:manualLayout>
          <c:layoutTarget val="inner"/>
          <c:xMode val="edge"/>
          <c:yMode val="edge"/>
          <c:x val="0.16933304685229861"/>
          <c:y val="5.1369948914324892E-2"/>
          <c:w val="0.80519069947719513"/>
          <c:h val="0.73440683949594021"/>
        </c:manualLayout>
      </c:layout>
      <c:barChart>
        <c:barDir val="col"/>
        <c:grouping val="stacked"/>
        <c:ser>
          <c:idx val="0"/>
          <c:order val="0"/>
          <c:tx>
            <c:strRef>
              <c:f>'graf 3.4'!$C$112</c:f>
              <c:strCache>
                <c:ptCount val="1"/>
                <c:pt idx="0">
                  <c:v>Administration and Planning </c:v>
                </c:pt>
              </c:strCache>
            </c:strRef>
          </c:tx>
          <c:cat>
            <c:numRef>
              <c:f>'graf 3.4'!$D$111:$J$111</c:f>
              <c:numCache>
                <c:formatCode>General</c:formatCode>
                <c:ptCount val="7"/>
                <c:pt idx="0">
                  <c:v>2002</c:v>
                </c:pt>
                <c:pt idx="1">
                  <c:v>2003</c:v>
                </c:pt>
                <c:pt idx="2">
                  <c:v>2004</c:v>
                </c:pt>
                <c:pt idx="3">
                  <c:v>2005</c:v>
                </c:pt>
                <c:pt idx="4">
                  <c:v>2006</c:v>
                </c:pt>
                <c:pt idx="5">
                  <c:v>2007</c:v>
                </c:pt>
                <c:pt idx="6">
                  <c:v>2008</c:v>
                </c:pt>
              </c:numCache>
            </c:numRef>
          </c:cat>
          <c:val>
            <c:numRef>
              <c:f>'graf 3.4'!$D$112:$J$112</c:f>
              <c:numCache>
                <c:formatCode>#,##0</c:formatCode>
                <c:ptCount val="7"/>
                <c:pt idx="0">
                  <c:v>8701.2195237399992</c:v>
                </c:pt>
                <c:pt idx="1">
                  <c:v>10809.055426689827</c:v>
                </c:pt>
                <c:pt idx="2">
                  <c:v>11484.936499770001</c:v>
                </c:pt>
                <c:pt idx="3">
                  <c:v>11535.64583139</c:v>
                </c:pt>
                <c:pt idx="4">
                  <c:v>13631.259139350001</c:v>
                </c:pt>
                <c:pt idx="5">
                  <c:v>12875.293745000172</c:v>
                </c:pt>
                <c:pt idx="6" formatCode="General">
                  <c:v>17274.783116000021</c:v>
                </c:pt>
              </c:numCache>
            </c:numRef>
          </c:val>
        </c:ser>
        <c:ser>
          <c:idx val="1"/>
          <c:order val="1"/>
          <c:tx>
            <c:strRef>
              <c:f>'graf 3.4'!$C$113</c:f>
              <c:strCache>
                <c:ptCount val="1"/>
                <c:pt idx="0">
                  <c:v>Social Welfare Services</c:v>
                </c:pt>
              </c:strCache>
            </c:strRef>
          </c:tx>
          <c:cat>
            <c:numRef>
              <c:f>'graf 3.4'!$D$111:$J$111</c:f>
              <c:numCache>
                <c:formatCode>General</c:formatCode>
                <c:ptCount val="7"/>
                <c:pt idx="0">
                  <c:v>2002</c:v>
                </c:pt>
                <c:pt idx="1">
                  <c:v>2003</c:v>
                </c:pt>
                <c:pt idx="2">
                  <c:v>2004</c:v>
                </c:pt>
                <c:pt idx="3">
                  <c:v>2005</c:v>
                </c:pt>
                <c:pt idx="4">
                  <c:v>2006</c:v>
                </c:pt>
                <c:pt idx="5">
                  <c:v>2007</c:v>
                </c:pt>
                <c:pt idx="6">
                  <c:v>2008</c:v>
                </c:pt>
              </c:numCache>
            </c:numRef>
          </c:cat>
          <c:val>
            <c:numRef>
              <c:f>'graf 3.4'!$D$113:$J$113</c:f>
              <c:numCache>
                <c:formatCode>#,##0</c:formatCode>
                <c:ptCount val="7"/>
                <c:pt idx="0">
                  <c:v>8626.6179122900012</c:v>
                </c:pt>
                <c:pt idx="1">
                  <c:v>11138.57115077</c:v>
                </c:pt>
                <c:pt idx="2">
                  <c:v>9589.8635727000001</c:v>
                </c:pt>
                <c:pt idx="3">
                  <c:v>10733.518450220006</c:v>
                </c:pt>
                <c:pt idx="4">
                  <c:v>10881.806322500001</c:v>
                </c:pt>
                <c:pt idx="5">
                  <c:v>11248.6675</c:v>
                </c:pt>
                <c:pt idx="6" formatCode="General">
                  <c:v>11582.92898499986</c:v>
                </c:pt>
              </c:numCache>
            </c:numRef>
          </c:val>
        </c:ser>
        <c:ser>
          <c:idx val="2"/>
          <c:order val="2"/>
          <c:tx>
            <c:strRef>
              <c:f>'graf 3.4'!$C$115</c:f>
              <c:strCache>
                <c:ptCount val="1"/>
                <c:pt idx="0">
                  <c:v>National Defence</c:v>
                </c:pt>
              </c:strCache>
            </c:strRef>
          </c:tx>
          <c:cat>
            <c:numRef>
              <c:f>'graf 3.4'!$D$111:$J$111</c:f>
              <c:numCache>
                <c:formatCode>General</c:formatCode>
                <c:ptCount val="7"/>
                <c:pt idx="0">
                  <c:v>2002</c:v>
                </c:pt>
                <c:pt idx="1">
                  <c:v>2003</c:v>
                </c:pt>
                <c:pt idx="2">
                  <c:v>2004</c:v>
                </c:pt>
                <c:pt idx="3">
                  <c:v>2005</c:v>
                </c:pt>
                <c:pt idx="4">
                  <c:v>2006</c:v>
                </c:pt>
                <c:pt idx="5">
                  <c:v>2007</c:v>
                </c:pt>
                <c:pt idx="6">
                  <c:v>2008</c:v>
                </c:pt>
              </c:numCache>
            </c:numRef>
          </c:cat>
          <c:val>
            <c:numRef>
              <c:f>'graf 3.4'!$D$115:$J$115</c:f>
              <c:numCache>
                <c:formatCode>#,##0</c:formatCode>
                <c:ptCount val="7"/>
                <c:pt idx="0">
                  <c:v>4487.6389276100008</c:v>
                </c:pt>
                <c:pt idx="1">
                  <c:v>4789.1857751100006</c:v>
                </c:pt>
                <c:pt idx="2">
                  <c:v>4818.8641091700765</c:v>
                </c:pt>
                <c:pt idx="3">
                  <c:v>5311.5483305000007</c:v>
                </c:pt>
                <c:pt idx="4">
                  <c:v>5818.2433126399965</c:v>
                </c:pt>
                <c:pt idx="5">
                  <c:v>5713.8090120000006</c:v>
                </c:pt>
                <c:pt idx="6" formatCode="General">
                  <c:v>6748.4104729999999</c:v>
                </c:pt>
              </c:numCache>
            </c:numRef>
          </c:val>
        </c:ser>
        <c:ser>
          <c:idx val="3"/>
          <c:order val="3"/>
          <c:tx>
            <c:strRef>
              <c:f>'graf 3.4'!$C$117</c:f>
              <c:strCache>
                <c:ptCount val="1"/>
                <c:pt idx="0">
                  <c:v>Other sectors</c:v>
                </c:pt>
              </c:strCache>
            </c:strRef>
          </c:tx>
          <c:cat>
            <c:numRef>
              <c:f>'graf 3.4'!$D$111:$J$111</c:f>
              <c:numCache>
                <c:formatCode>General</c:formatCode>
                <c:ptCount val="7"/>
                <c:pt idx="0">
                  <c:v>2002</c:v>
                </c:pt>
                <c:pt idx="1">
                  <c:v>2003</c:v>
                </c:pt>
                <c:pt idx="2">
                  <c:v>2004</c:v>
                </c:pt>
                <c:pt idx="3">
                  <c:v>2005</c:v>
                </c:pt>
                <c:pt idx="4">
                  <c:v>2006</c:v>
                </c:pt>
                <c:pt idx="5">
                  <c:v>2007</c:v>
                </c:pt>
                <c:pt idx="6">
                  <c:v>2008</c:v>
                </c:pt>
              </c:numCache>
            </c:numRef>
          </c:cat>
          <c:val>
            <c:numRef>
              <c:f>'graf 3.4'!$D$117:$J$117</c:f>
              <c:numCache>
                <c:formatCode>#,##0</c:formatCode>
                <c:ptCount val="7"/>
                <c:pt idx="0">
                  <c:v>4302.1804770400004</c:v>
                </c:pt>
                <c:pt idx="1">
                  <c:v>4890.89842623</c:v>
                </c:pt>
                <c:pt idx="2">
                  <c:v>5119.6151334001097</c:v>
                </c:pt>
                <c:pt idx="3">
                  <c:v>5500.3193513000006</c:v>
                </c:pt>
                <c:pt idx="4">
                  <c:v>6364.0256937200002</c:v>
                </c:pt>
                <c:pt idx="5">
                  <c:v>7436.0211550000013</c:v>
                </c:pt>
                <c:pt idx="6">
                  <c:v>15206.456131999779</c:v>
                </c:pt>
              </c:numCache>
            </c:numRef>
          </c:val>
        </c:ser>
        <c:ser>
          <c:idx val="4"/>
          <c:order val="4"/>
          <c:tx>
            <c:strRef>
              <c:f>'graf 3.4'!$C$114</c:f>
              <c:strCache>
                <c:ptCount val="1"/>
                <c:pt idx="0">
                  <c:v>Education and Culture</c:v>
                </c:pt>
              </c:strCache>
            </c:strRef>
          </c:tx>
          <c:cat>
            <c:numRef>
              <c:f>'graf 3.4'!$D$111:$J$111</c:f>
              <c:numCache>
                <c:formatCode>General</c:formatCode>
                <c:ptCount val="7"/>
                <c:pt idx="0">
                  <c:v>2002</c:v>
                </c:pt>
                <c:pt idx="1">
                  <c:v>2003</c:v>
                </c:pt>
                <c:pt idx="2">
                  <c:v>2004</c:v>
                </c:pt>
                <c:pt idx="3">
                  <c:v>2005</c:v>
                </c:pt>
                <c:pt idx="4">
                  <c:v>2006</c:v>
                </c:pt>
                <c:pt idx="5">
                  <c:v>2007</c:v>
                </c:pt>
                <c:pt idx="6">
                  <c:v>2008</c:v>
                </c:pt>
              </c:numCache>
            </c:numRef>
          </c:cat>
          <c:val>
            <c:numRef>
              <c:f>'graf 3.4'!$D$114:$J$114</c:f>
              <c:numCache>
                <c:formatCode>#,##0</c:formatCode>
                <c:ptCount val="7"/>
                <c:pt idx="0">
                  <c:v>5993.3160883800001</c:v>
                </c:pt>
                <c:pt idx="1">
                  <c:v>6580.4740115399991</c:v>
                </c:pt>
                <c:pt idx="2">
                  <c:v>7487.6026696001281</c:v>
                </c:pt>
                <c:pt idx="3">
                  <c:v>8001.19441044</c:v>
                </c:pt>
                <c:pt idx="4">
                  <c:v>8596.0677263500002</c:v>
                </c:pt>
                <c:pt idx="5">
                  <c:v>9269.5646180000003</c:v>
                </c:pt>
                <c:pt idx="6" formatCode="General">
                  <c:v>11796.156150999985</c:v>
                </c:pt>
              </c:numCache>
            </c:numRef>
          </c:val>
        </c:ser>
        <c:ser>
          <c:idx val="5"/>
          <c:order val="5"/>
          <c:tx>
            <c:strRef>
              <c:f>'graf 3.4'!$C$116</c:f>
              <c:strCache>
                <c:ptCount val="1"/>
                <c:pt idx="0">
                  <c:v>Wealth and Sanitation</c:v>
                </c:pt>
              </c:strCache>
            </c:strRef>
          </c:tx>
          <c:cat>
            <c:numRef>
              <c:f>'graf 3.4'!$D$111:$J$111</c:f>
              <c:numCache>
                <c:formatCode>General</c:formatCode>
                <c:ptCount val="7"/>
                <c:pt idx="0">
                  <c:v>2002</c:v>
                </c:pt>
                <c:pt idx="1">
                  <c:v>2003</c:v>
                </c:pt>
                <c:pt idx="2">
                  <c:v>2004</c:v>
                </c:pt>
                <c:pt idx="3">
                  <c:v>2005</c:v>
                </c:pt>
                <c:pt idx="4">
                  <c:v>2006</c:v>
                </c:pt>
                <c:pt idx="5">
                  <c:v>2007</c:v>
                </c:pt>
                <c:pt idx="6">
                  <c:v>2008</c:v>
                </c:pt>
              </c:numCache>
            </c:numRef>
          </c:cat>
          <c:val>
            <c:numRef>
              <c:f>'graf 3.4'!$D$116:$J$116</c:f>
              <c:numCache>
                <c:formatCode>#,##0</c:formatCode>
                <c:ptCount val="7"/>
                <c:pt idx="0">
                  <c:v>3196.8415441100001</c:v>
                </c:pt>
                <c:pt idx="1">
                  <c:v>3260.16885684</c:v>
                </c:pt>
                <c:pt idx="2">
                  <c:v>3773.7830203799999</c:v>
                </c:pt>
                <c:pt idx="3">
                  <c:v>3979.786929919936</c:v>
                </c:pt>
                <c:pt idx="4">
                  <c:v>4641.3501728000001</c:v>
                </c:pt>
                <c:pt idx="5">
                  <c:v>4779.2585630000003</c:v>
                </c:pt>
                <c:pt idx="6" formatCode="General">
                  <c:v>8920.0388289999992</c:v>
                </c:pt>
              </c:numCache>
            </c:numRef>
          </c:val>
        </c:ser>
        <c:overlap val="100"/>
        <c:axId val="87960960"/>
        <c:axId val="93313280"/>
      </c:barChart>
      <c:catAx>
        <c:axId val="87960960"/>
        <c:scaling>
          <c:orientation val="minMax"/>
        </c:scaling>
        <c:axPos val="b"/>
        <c:numFmt formatCode="General" sourceLinked="1"/>
        <c:tickLblPos val="nextTo"/>
        <c:txPr>
          <a:bodyPr rot="0" vert="horz"/>
          <a:lstStyle/>
          <a:p>
            <a:pPr>
              <a:defRPr lang="en-US"/>
            </a:pPr>
            <a:endParaRPr lang="en-US"/>
          </a:p>
        </c:txPr>
        <c:crossAx val="93313280"/>
        <c:crosses val="autoZero"/>
        <c:auto val="1"/>
        <c:lblAlgn val="ctr"/>
        <c:lblOffset val="100"/>
        <c:tickLblSkip val="1"/>
        <c:tickMarkSkip val="1"/>
      </c:catAx>
      <c:valAx>
        <c:axId val="93313280"/>
        <c:scaling>
          <c:orientation val="minMax"/>
        </c:scaling>
        <c:axPos val="l"/>
        <c:majorGridlines/>
        <c:title>
          <c:tx>
            <c:rich>
              <a:bodyPr rot="-5400000" vert="horz"/>
              <a:lstStyle/>
              <a:p>
                <a:pPr>
                  <a:defRPr lang="en-US"/>
                </a:pPr>
                <a:r>
                  <a:rPr lang="es-ES"/>
                  <a:t>State Budget</a:t>
                </a:r>
              </a:p>
              <a:p>
                <a:pPr>
                  <a:defRPr lang="en-US"/>
                </a:pPr>
                <a:r>
                  <a:rPr lang="es-ES"/>
                  <a:t>Millions</a:t>
                </a:r>
                <a:r>
                  <a:rPr lang="es-ES" baseline="0"/>
                  <a:t> of</a:t>
                </a:r>
                <a:r>
                  <a:rPr lang="es-ES"/>
                  <a:t> Nuevos</a:t>
                </a:r>
                <a:r>
                  <a:rPr lang="es-ES" baseline="0"/>
                  <a:t> Soles</a:t>
                </a:r>
                <a:endParaRPr lang="es-ES"/>
              </a:p>
            </c:rich>
          </c:tx>
          <c:layout>
            <c:manualLayout>
              <c:xMode val="edge"/>
              <c:yMode val="edge"/>
              <c:x val="6.4206274314540504E-3"/>
              <c:y val="0.16009838335510812"/>
            </c:manualLayout>
          </c:layout>
        </c:title>
        <c:numFmt formatCode="#,##0" sourceLinked="1"/>
        <c:tickLblPos val="nextTo"/>
        <c:txPr>
          <a:bodyPr rot="0" vert="horz"/>
          <a:lstStyle/>
          <a:p>
            <a:pPr>
              <a:defRPr lang="en-US"/>
            </a:pPr>
            <a:endParaRPr lang="en-US"/>
          </a:p>
        </c:txPr>
        <c:crossAx val="87960960"/>
        <c:crosses val="autoZero"/>
        <c:crossBetween val="between"/>
      </c:valAx>
    </c:plotArea>
    <c:legend>
      <c:legendPos val="r"/>
      <c:layout>
        <c:manualLayout>
          <c:xMode val="edge"/>
          <c:yMode val="edge"/>
          <c:x val="6.5868473027699131E-2"/>
          <c:y val="0.87328910940926896"/>
          <c:w val="0.89221724529942659"/>
          <c:h val="0.11643871570848177"/>
        </c:manualLayout>
      </c:layout>
      <c:txPr>
        <a:bodyPr/>
        <a:lstStyle/>
        <a:p>
          <a:pPr>
            <a:defRPr lang="en-US" sz="900"/>
          </a:pPr>
          <a:endParaRPr lang="en-US"/>
        </a:p>
      </c:txPr>
    </c:legend>
    <c:plotVisOnly val="1"/>
    <c:dispBlanksAs val="gap"/>
  </c:chart>
  <c:externalData r:id="rId1"/>
  <c:userShapes r:id="rId2"/>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en-US"/>
  <c:style val="26"/>
  <c:chart>
    <c:plotArea>
      <c:layout>
        <c:manualLayout>
          <c:layoutTarget val="inner"/>
          <c:xMode val="edge"/>
          <c:yMode val="edge"/>
          <c:x val="8.877858395351873E-2"/>
          <c:y val="4.5132193841624091E-2"/>
          <c:w val="0.88083991607414702"/>
          <c:h val="0.70784008706228863"/>
        </c:manualLayout>
      </c:layout>
      <c:bubbleChart>
        <c:ser>
          <c:idx val="0"/>
          <c:order val="0"/>
          <c:tx>
            <c:v>Preschool</c:v>
          </c:tx>
          <c:xVal>
            <c:numRef>
              <c:f>BIA!$F$74:$F$78</c:f>
              <c:numCache>
                <c:formatCode>General</c:formatCode>
                <c:ptCount val="5"/>
                <c:pt idx="0">
                  <c:v>1</c:v>
                </c:pt>
                <c:pt idx="1">
                  <c:v>2</c:v>
                </c:pt>
                <c:pt idx="2">
                  <c:v>3</c:v>
                </c:pt>
                <c:pt idx="3">
                  <c:v>4</c:v>
                </c:pt>
                <c:pt idx="4">
                  <c:v>5</c:v>
                </c:pt>
              </c:numCache>
            </c:numRef>
          </c:xVal>
          <c:yVal>
            <c:numRef>
              <c:f>BIA!$G$74:$G$78</c:f>
              <c:numCache>
                <c:formatCode>General</c:formatCode>
                <c:ptCount val="5"/>
                <c:pt idx="0">
                  <c:v>1</c:v>
                </c:pt>
                <c:pt idx="1">
                  <c:v>1</c:v>
                </c:pt>
                <c:pt idx="2">
                  <c:v>1</c:v>
                </c:pt>
                <c:pt idx="3">
                  <c:v>1</c:v>
                </c:pt>
                <c:pt idx="4">
                  <c:v>1</c:v>
                </c:pt>
              </c:numCache>
            </c:numRef>
          </c:yVal>
          <c:bubbleSize>
            <c:numRef>
              <c:f>BIA!$H$74:$H$78</c:f>
              <c:numCache>
                <c:formatCode>General</c:formatCode>
                <c:ptCount val="5"/>
                <c:pt idx="0">
                  <c:v>176001981.60232908</c:v>
                </c:pt>
                <c:pt idx="1">
                  <c:v>167047058.58231401</c:v>
                </c:pt>
                <c:pt idx="2">
                  <c:v>149339035.61121798</c:v>
                </c:pt>
                <c:pt idx="3">
                  <c:v>145225636.15650073</c:v>
                </c:pt>
                <c:pt idx="4">
                  <c:v>122536709.04763818</c:v>
                </c:pt>
              </c:numCache>
            </c:numRef>
          </c:bubbleSize>
        </c:ser>
        <c:ser>
          <c:idx val="1"/>
          <c:order val="1"/>
          <c:tx>
            <c:v>Primary</c:v>
          </c:tx>
          <c:xVal>
            <c:numRef>
              <c:f>BIA!$F$79:$F$83</c:f>
              <c:numCache>
                <c:formatCode>General</c:formatCode>
                <c:ptCount val="5"/>
                <c:pt idx="0">
                  <c:v>1</c:v>
                </c:pt>
                <c:pt idx="1">
                  <c:v>2</c:v>
                </c:pt>
                <c:pt idx="2">
                  <c:v>3</c:v>
                </c:pt>
                <c:pt idx="3">
                  <c:v>4</c:v>
                </c:pt>
                <c:pt idx="4">
                  <c:v>5</c:v>
                </c:pt>
              </c:numCache>
            </c:numRef>
          </c:xVal>
          <c:yVal>
            <c:numRef>
              <c:f>BIA!$G$79:$G$83</c:f>
              <c:numCache>
                <c:formatCode>General</c:formatCode>
                <c:ptCount val="5"/>
                <c:pt idx="0">
                  <c:v>2</c:v>
                </c:pt>
                <c:pt idx="1">
                  <c:v>2</c:v>
                </c:pt>
                <c:pt idx="2">
                  <c:v>2</c:v>
                </c:pt>
                <c:pt idx="3">
                  <c:v>2</c:v>
                </c:pt>
                <c:pt idx="4">
                  <c:v>2</c:v>
                </c:pt>
              </c:numCache>
            </c:numRef>
          </c:yVal>
          <c:bubbleSize>
            <c:numRef>
              <c:f>BIA!$H$79:$H$83</c:f>
              <c:numCache>
                <c:formatCode>General</c:formatCode>
                <c:ptCount val="5"/>
                <c:pt idx="0">
                  <c:v>962711527.36136281</c:v>
                </c:pt>
                <c:pt idx="1">
                  <c:v>893743314.14513195</c:v>
                </c:pt>
                <c:pt idx="2">
                  <c:v>807104044.24953139</c:v>
                </c:pt>
                <c:pt idx="3">
                  <c:v>750966331.98109543</c:v>
                </c:pt>
                <c:pt idx="4">
                  <c:v>580396142.91041577</c:v>
                </c:pt>
              </c:numCache>
            </c:numRef>
          </c:bubbleSize>
        </c:ser>
        <c:ser>
          <c:idx val="2"/>
          <c:order val="2"/>
          <c:tx>
            <c:v>Secondary</c:v>
          </c:tx>
          <c:xVal>
            <c:numRef>
              <c:f>BIA!$F$84:$F$88</c:f>
              <c:numCache>
                <c:formatCode>General</c:formatCode>
                <c:ptCount val="5"/>
                <c:pt idx="0">
                  <c:v>1</c:v>
                </c:pt>
                <c:pt idx="1">
                  <c:v>2</c:v>
                </c:pt>
                <c:pt idx="2">
                  <c:v>3</c:v>
                </c:pt>
                <c:pt idx="3">
                  <c:v>4</c:v>
                </c:pt>
                <c:pt idx="4">
                  <c:v>5</c:v>
                </c:pt>
              </c:numCache>
            </c:numRef>
          </c:xVal>
          <c:yVal>
            <c:numRef>
              <c:f>BIA!$G$84:$G$88</c:f>
              <c:numCache>
                <c:formatCode>General</c:formatCode>
                <c:ptCount val="5"/>
                <c:pt idx="0">
                  <c:v>3</c:v>
                </c:pt>
                <c:pt idx="1">
                  <c:v>3</c:v>
                </c:pt>
                <c:pt idx="2">
                  <c:v>3</c:v>
                </c:pt>
                <c:pt idx="3">
                  <c:v>3</c:v>
                </c:pt>
                <c:pt idx="4">
                  <c:v>3</c:v>
                </c:pt>
              </c:numCache>
            </c:numRef>
          </c:yVal>
          <c:bubbleSize>
            <c:numRef>
              <c:f>BIA!$H$84:$H$88</c:f>
              <c:numCache>
                <c:formatCode>General</c:formatCode>
                <c:ptCount val="5"/>
                <c:pt idx="0">
                  <c:v>451848354.0160231</c:v>
                </c:pt>
                <c:pt idx="1">
                  <c:v>550427462.40707457</c:v>
                </c:pt>
                <c:pt idx="2">
                  <c:v>635969149.32715237</c:v>
                </c:pt>
                <c:pt idx="3">
                  <c:v>652861847.64347637</c:v>
                </c:pt>
                <c:pt idx="4">
                  <c:v>598828233.9587363</c:v>
                </c:pt>
              </c:numCache>
            </c:numRef>
          </c:bubbleSize>
        </c:ser>
        <c:ser>
          <c:idx val="3"/>
          <c:order val="3"/>
          <c:tx>
            <c:v>Tertiary</c:v>
          </c:tx>
          <c:xVal>
            <c:numRef>
              <c:f>BIA!$F$89:$F$93</c:f>
              <c:numCache>
                <c:formatCode>General</c:formatCode>
                <c:ptCount val="5"/>
                <c:pt idx="0">
                  <c:v>1</c:v>
                </c:pt>
                <c:pt idx="1">
                  <c:v>2</c:v>
                </c:pt>
                <c:pt idx="2">
                  <c:v>3</c:v>
                </c:pt>
                <c:pt idx="3">
                  <c:v>4</c:v>
                </c:pt>
                <c:pt idx="4">
                  <c:v>5</c:v>
                </c:pt>
              </c:numCache>
            </c:numRef>
          </c:xVal>
          <c:yVal>
            <c:numRef>
              <c:f>BIA!$G$89:$G$93</c:f>
              <c:numCache>
                <c:formatCode>General</c:formatCode>
                <c:ptCount val="5"/>
                <c:pt idx="0">
                  <c:v>4</c:v>
                </c:pt>
                <c:pt idx="1">
                  <c:v>4</c:v>
                </c:pt>
                <c:pt idx="2">
                  <c:v>4</c:v>
                </c:pt>
                <c:pt idx="3">
                  <c:v>4</c:v>
                </c:pt>
                <c:pt idx="4">
                  <c:v>4</c:v>
                </c:pt>
              </c:numCache>
            </c:numRef>
          </c:yVal>
          <c:bubbleSize>
            <c:numRef>
              <c:f>BIA!$H$89:$H$93</c:f>
              <c:numCache>
                <c:formatCode>General</c:formatCode>
                <c:ptCount val="5"/>
                <c:pt idx="0">
                  <c:v>97445858.530056402</c:v>
                </c:pt>
                <c:pt idx="1">
                  <c:v>172846789.51770625</c:v>
                </c:pt>
                <c:pt idx="2">
                  <c:v>238147373.43992549</c:v>
                </c:pt>
                <c:pt idx="3">
                  <c:v>494185037.73461294</c:v>
                </c:pt>
                <c:pt idx="4">
                  <c:v>973178662.77769804</c:v>
                </c:pt>
              </c:numCache>
            </c:numRef>
          </c:bubbleSize>
        </c:ser>
        <c:bubbleScale val="100"/>
        <c:axId val="102739328"/>
        <c:axId val="102745600"/>
      </c:bubbleChart>
      <c:valAx>
        <c:axId val="102739328"/>
        <c:scaling>
          <c:orientation val="minMax"/>
        </c:scaling>
        <c:axPos val="b"/>
        <c:title>
          <c:tx>
            <c:rich>
              <a:bodyPr/>
              <a:lstStyle/>
              <a:p>
                <a:pPr>
                  <a:defRPr/>
                </a:pPr>
                <a:r>
                  <a:rPr lang="es-ES"/>
                  <a:t>Expenditure Quintile</a:t>
                </a:r>
              </a:p>
            </c:rich>
          </c:tx>
        </c:title>
        <c:numFmt formatCode="General" sourceLinked="1"/>
        <c:tickLblPos val="nextTo"/>
        <c:crossAx val="102745600"/>
        <c:crosses val="autoZero"/>
        <c:crossBetween val="midCat"/>
      </c:valAx>
      <c:valAx>
        <c:axId val="102745600"/>
        <c:scaling>
          <c:orientation val="minMax"/>
        </c:scaling>
        <c:axPos val="l"/>
        <c:majorGridlines/>
        <c:title>
          <c:tx>
            <c:rich>
              <a:bodyPr rot="-5400000" vert="horz"/>
              <a:lstStyle/>
              <a:p>
                <a:pPr>
                  <a:defRPr/>
                </a:pPr>
                <a:r>
                  <a:rPr lang="es-ES"/>
                  <a:t>Facility Level</a:t>
                </a:r>
              </a:p>
            </c:rich>
          </c:tx>
        </c:title>
        <c:numFmt formatCode="General" sourceLinked="1"/>
        <c:tickLblPos val="nextTo"/>
        <c:crossAx val="102739328"/>
        <c:crosses val="autoZero"/>
        <c:crossBetween val="midCat"/>
        <c:majorUnit val="1"/>
      </c:valAx>
    </c:plotArea>
    <c:legend>
      <c:legendPos val="b"/>
      <c:layout>
        <c:manualLayout>
          <c:xMode val="edge"/>
          <c:yMode val="edge"/>
          <c:x val="0.24226300763311021"/>
          <c:y val="0.91288791563776417"/>
          <c:w val="0.51098447095902666"/>
          <c:h val="7.1332991660066514E-2"/>
        </c:manualLayout>
      </c:layout>
    </c:legend>
    <c:plotVisOnly val="1"/>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en-US"/>
  <c:style val="34"/>
  <c:chart>
    <c:plotArea>
      <c:layout/>
      <c:lineChart>
        <c:grouping val="standard"/>
        <c:ser>
          <c:idx val="0"/>
          <c:order val="0"/>
          <c:tx>
            <c:strRef>
              <c:f>graficos1!$A$32</c:f>
              <c:strCache>
                <c:ptCount val="1"/>
                <c:pt idx="0">
                  <c:v>3-5 years old</c:v>
                </c:pt>
              </c:strCache>
            </c:strRef>
          </c:tx>
          <c:marker>
            <c:symbol val="none"/>
          </c:marker>
          <c:cat>
            <c:numRef>
              <c:f>graficos1!$C$31:$N$31</c:f>
              <c:numCache>
                <c:formatCode>General</c:formatCode>
                <c:ptCount val="12"/>
                <c:pt idx="0">
                  <c:v>1985</c:v>
                </c:pt>
                <c:pt idx="1">
                  <c:v>1994</c:v>
                </c:pt>
                <c:pt idx="2">
                  <c:v>1998</c:v>
                </c:pt>
                <c:pt idx="3">
                  <c:v>1999</c:v>
                </c:pt>
                <c:pt idx="4">
                  <c:v>2000</c:v>
                </c:pt>
                <c:pt idx="5">
                  <c:v>2001</c:v>
                </c:pt>
                <c:pt idx="6">
                  <c:v>2002</c:v>
                </c:pt>
                <c:pt idx="7">
                  <c:v>2003</c:v>
                </c:pt>
                <c:pt idx="8">
                  <c:v>2004</c:v>
                </c:pt>
                <c:pt idx="9">
                  <c:v>2005</c:v>
                </c:pt>
                <c:pt idx="10">
                  <c:v>2006</c:v>
                </c:pt>
                <c:pt idx="11">
                  <c:v>2007</c:v>
                </c:pt>
              </c:numCache>
            </c:numRef>
          </c:cat>
          <c:val>
            <c:numRef>
              <c:f>graficos1!$C$32:$N$32</c:f>
              <c:numCache>
                <c:formatCode>General</c:formatCode>
                <c:ptCount val="12"/>
                <c:pt idx="0">
                  <c:v>31</c:v>
                </c:pt>
                <c:pt idx="1">
                  <c:v>57.4</c:v>
                </c:pt>
                <c:pt idx="2">
                  <c:v>50</c:v>
                </c:pt>
                <c:pt idx="3">
                  <c:v>65.3</c:v>
                </c:pt>
                <c:pt idx="4">
                  <c:v>63.2</c:v>
                </c:pt>
                <c:pt idx="5">
                  <c:v>62.5</c:v>
                </c:pt>
                <c:pt idx="6">
                  <c:v>60.8</c:v>
                </c:pt>
                <c:pt idx="7">
                  <c:v>62.1</c:v>
                </c:pt>
                <c:pt idx="8">
                  <c:v>65.900000000000006</c:v>
                </c:pt>
                <c:pt idx="9">
                  <c:v>65.599999999999994</c:v>
                </c:pt>
                <c:pt idx="10">
                  <c:v>66.400000000000006</c:v>
                </c:pt>
                <c:pt idx="11">
                  <c:v>70.5</c:v>
                </c:pt>
              </c:numCache>
            </c:numRef>
          </c:val>
        </c:ser>
        <c:ser>
          <c:idx val="1"/>
          <c:order val="1"/>
          <c:tx>
            <c:strRef>
              <c:f>graficos1!$A$35</c:f>
              <c:strCache>
                <c:ptCount val="1"/>
                <c:pt idx="0">
                  <c:v>6-11 years old</c:v>
                </c:pt>
              </c:strCache>
            </c:strRef>
          </c:tx>
          <c:marker>
            <c:symbol val="none"/>
          </c:marker>
          <c:cat>
            <c:numRef>
              <c:f>graficos1!$C$31:$N$31</c:f>
              <c:numCache>
                <c:formatCode>General</c:formatCode>
                <c:ptCount val="12"/>
                <c:pt idx="0">
                  <c:v>1985</c:v>
                </c:pt>
                <c:pt idx="1">
                  <c:v>1994</c:v>
                </c:pt>
                <c:pt idx="2">
                  <c:v>1998</c:v>
                </c:pt>
                <c:pt idx="3">
                  <c:v>1999</c:v>
                </c:pt>
                <c:pt idx="4">
                  <c:v>2000</c:v>
                </c:pt>
                <c:pt idx="5">
                  <c:v>2001</c:v>
                </c:pt>
                <c:pt idx="6">
                  <c:v>2002</c:v>
                </c:pt>
                <c:pt idx="7">
                  <c:v>2003</c:v>
                </c:pt>
                <c:pt idx="8">
                  <c:v>2004</c:v>
                </c:pt>
                <c:pt idx="9">
                  <c:v>2005</c:v>
                </c:pt>
                <c:pt idx="10">
                  <c:v>2006</c:v>
                </c:pt>
                <c:pt idx="11">
                  <c:v>2007</c:v>
                </c:pt>
              </c:numCache>
            </c:numRef>
          </c:cat>
          <c:val>
            <c:numRef>
              <c:f>graficos1!$C$35:$N$35</c:f>
              <c:numCache>
                <c:formatCode>General</c:formatCode>
                <c:ptCount val="12"/>
                <c:pt idx="0">
                  <c:v>81.400000000000006</c:v>
                </c:pt>
                <c:pt idx="1">
                  <c:v>96.6</c:v>
                </c:pt>
                <c:pt idx="2">
                  <c:v>94.9</c:v>
                </c:pt>
                <c:pt idx="3">
                  <c:v>97</c:v>
                </c:pt>
                <c:pt idx="4">
                  <c:v>98.7</c:v>
                </c:pt>
                <c:pt idx="5">
                  <c:v>97.5</c:v>
                </c:pt>
                <c:pt idx="6">
                  <c:v>97.2</c:v>
                </c:pt>
                <c:pt idx="7">
                  <c:v>96.1</c:v>
                </c:pt>
                <c:pt idx="8">
                  <c:v>95.2</c:v>
                </c:pt>
                <c:pt idx="9">
                  <c:v>95.9</c:v>
                </c:pt>
                <c:pt idx="10">
                  <c:v>96.8</c:v>
                </c:pt>
                <c:pt idx="11">
                  <c:v>97.8</c:v>
                </c:pt>
              </c:numCache>
            </c:numRef>
          </c:val>
        </c:ser>
        <c:ser>
          <c:idx val="2"/>
          <c:order val="2"/>
          <c:tx>
            <c:strRef>
              <c:f>graficos1!$A$38</c:f>
              <c:strCache>
                <c:ptCount val="1"/>
                <c:pt idx="0">
                  <c:v>12-16 years old</c:v>
                </c:pt>
              </c:strCache>
            </c:strRef>
          </c:tx>
          <c:marker>
            <c:symbol val="none"/>
          </c:marker>
          <c:cat>
            <c:numRef>
              <c:f>graficos1!$C$31:$N$31</c:f>
              <c:numCache>
                <c:formatCode>General</c:formatCode>
                <c:ptCount val="12"/>
                <c:pt idx="0">
                  <c:v>1985</c:v>
                </c:pt>
                <c:pt idx="1">
                  <c:v>1994</c:v>
                </c:pt>
                <c:pt idx="2">
                  <c:v>1998</c:v>
                </c:pt>
                <c:pt idx="3">
                  <c:v>1999</c:v>
                </c:pt>
                <c:pt idx="4">
                  <c:v>2000</c:v>
                </c:pt>
                <c:pt idx="5">
                  <c:v>2001</c:v>
                </c:pt>
                <c:pt idx="6">
                  <c:v>2002</c:v>
                </c:pt>
                <c:pt idx="7">
                  <c:v>2003</c:v>
                </c:pt>
                <c:pt idx="8">
                  <c:v>2004</c:v>
                </c:pt>
                <c:pt idx="9">
                  <c:v>2005</c:v>
                </c:pt>
                <c:pt idx="10">
                  <c:v>2006</c:v>
                </c:pt>
                <c:pt idx="11">
                  <c:v>2007</c:v>
                </c:pt>
              </c:numCache>
            </c:numRef>
          </c:cat>
          <c:val>
            <c:numRef>
              <c:f>graficos1!$C$38:$N$38</c:f>
              <c:numCache>
                <c:formatCode>General</c:formatCode>
                <c:ptCount val="12"/>
                <c:pt idx="0">
                  <c:v>80.8</c:v>
                </c:pt>
                <c:pt idx="1">
                  <c:v>90.5</c:v>
                </c:pt>
                <c:pt idx="2">
                  <c:v>85.2</c:v>
                </c:pt>
                <c:pt idx="3">
                  <c:v>82.9</c:v>
                </c:pt>
                <c:pt idx="4">
                  <c:v>84.1</c:v>
                </c:pt>
                <c:pt idx="5">
                  <c:v>85.3</c:v>
                </c:pt>
                <c:pt idx="6">
                  <c:v>86.6</c:v>
                </c:pt>
                <c:pt idx="7">
                  <c:v>85.8</c:v>
                </c:pt>
                <c:pt idx="8">
                  <c:v>85</c:v>
                </c:pt>
                <c:pt idx="9">
                  <c:v>85.1</c:v>
                </c:pt>
                <c:pt idx="10">
                  <c:v>87.4</c:v>
                </c:pt>
                <c:pt idx="11">
                  <c:v>88</c:v>
                </c:pt>
              </c:numCache>
            </c:numRef>
          </c:val>
        </c:ser>
        <c:marker val="1"/>
        <c:axId val="102969344"/>
        <c:axId val="102970880"/>
      </c:lineChart>
      <c:catAx>
        <c:axId val="102969344"/>
        <c:scaling>
          <c:orientation val="minMax"/>
        </c:scaling>
        <c:axPos val="b"/>
        <c:numFmt formatCode="General" sourceLinked="1"/>
        <c:tickLblPos val="nextTo"/>
        <c:txPr>
          <a:bodyPr/>
          <a:lstStyle/>
          <a:p>
            <a:pPr>
              <a:defRPr lang="en-US"/>
            </a:pPr>
            <a:endParaRPr lang="en-US"/>
          </a:p>
        </c:txPr>
        <c:crossAx val="102970880"/>
        <c:crosses val="autoZero"/>
        <c:auto val="1"/>
        <c:lblAlgn val="ctr"/>
        <c:lblOffset val="100"/>
      </c:catAx>
      <c:valAx>
        <c:axId val="102970880"/>
        <c:scaling>
          <c:orientation val="minMax"/>
        </c:scaling>
        <c:axPos val="l"/>
        <c:majorGridlines/>
        <c:numFmt formatCode="General" sourceLinked="1"/>
        <c:tickLblPos val="nextTo"/>
        <c:txPr>
          <a:bodyPr/>
          <a:lstStyle/>
          <a:p>
            <a:pPr>
              <a:defRPr lang="en-US"/>
            </a:pPr>
            <a:endParaRPr lang="en-US"/>
          </a:p>
        </c:txPr>
        <c:crossAx val="102969344"/>
        <c:crosses val="autoZero"/>
        <c:crossBetween val="between"/>
      </c:valAx>
    </c:plotArea>
    <c:legend>
      <c:legendPos val="r"/>
      <c:txPr>
        <a:bodyPr/>
        <a:lstStyle/>
        <a:p>
          <a:pPr>
            <a:defRPr lang="en-US"/>
          </a:pPr>
          <a:endParaRPr lang="en-US"/>
        </a:p>
      </c:txPr>
    </c:legend>
    <c:plotVisOnly val="1"/>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en-US"/>
  <c:style val="34"/>
  <c:chart>
    <c:plotArea>
      <c:layout/>
      <c:barChart>
        <c:barDir val="col"/>
        <c:grouping val="clustered"/>
        <c:ser>
          <c:idx val="0"/>
          <c:order val="0"/>
          <c:tx>
            <c:strRef>
              <c:f>graficos1!$J$3</c:f>
              <c:strCache>
                <c:ptCount val="1"/>
                <c:pt idx="0">
                  <c:v>3-5 years old</c:v>
                </c:pt>
              </c:strCache>
            </c:strRef>
          </c:tx>
          <c:cat>
            <c:strRef>
              <c:f>graficos1!$I$4:$I$28</c:f>
              <c:strCache>
                <c:ptCount val="25"/>
                <c:pt idx="0">
                  <c:v>Huancavelica</c:v>
                </c:pt>
                <c:pt idx="1">
                  <c:v>Cajamarca</c:v>
                </c:pt>
                <c:pt idx="2">
                  <c:v>Huánuco</c:v>
                </c:pt>
                <c:pt idx="3">
                  <c:v>Amazonas</c:v>
                </c:pt>
                <c:pt idx="4">
                  <c:v>Apurímac</c:v>
                </c:pt>
                <c:pt idx="5">
                  <c:v>Puno</c:v>
                </c:pt>
                <c:pt idx="6">
                  <c:v>Cusco</c:v>
                </c:pt>
                <c:pt idx="7">
                  <c:v>Ayacucho</c:v>
                </c:pt>
                <c:pt idx="8">
                  <c:v>Pasco</c:v>
                </c:pt>
                <c:pt idx="9">
                  <c:v>Ancash</c:v>
                </c:pt>
                <c:pt idx="10">
                  <c:v>San Martín</c:v>
                </c:pt>
                <c:pt idx="11">
                  <c:v>Loreto</c:v>
                </c:pt>
                <c:pt idx="12">
                  <c:v>Junín</c:v>
                </c:pt>
                <c:pt idx="13">
                  <c:v>Madre de Dios</c:v>
                </c:pt>
                <c:pt idx="14">
                  <c:v>Piura</c:v>
                </c:pt>
                <c:pt idx="15">
                  <c:v>Ucayali</c:v>
                </c:pt>
                <c:pt idx="16">
                  <c:v>La Libertad</c:v>
                </c:pt>
                <c:pt idx="17">
                  <c:v>Lambayeque</c:v>
                </c:pt>
                <c:pt idx="18">
                  <c:v>Moquegua</c:v>
                </c:pt>
                <c:pt idx="19">
                  <c:v>Ica</c:v>
                </c:pt>
                <c:pt idx="20">
                  <c:v>Arequipa</c:v>
                </c:pt>
                <c:pt idx="21">
                  <c:v>Tumbes</c:v>
                </c:pt>
                <c:pt idx="22">
                  <c:v>Tacna</c:v>
                </c:pt>
                <c:pt idx="23">
                  <c:v>Lima</c:v>
                </c:pt>
                <c:pt idx="24">
                  <c:v>Callao</c:v>
                </c:pt>
              </c:strCache>
            </c:strRef>
          </c:cat>
          <c:val>
            <c:numRef>
              <c:f>graficos1!$J$4:$J$28</c:f>
              <c:numCache>
                <c:formatCode>General</c:formatCode>
                <c:ptCount val="25"/>
                <c:pt idx="0">
                  <c:v>66.400000000000006</c:v>
                </c:pt>
                <c:pt idx="1">
                  <c:v>67.7</c:v>
                </c:pt>
                <c:pt idx="2">
                  <c:v>56.8</c:v>
                </c:pt>
                <c:pt idx="3">
                  <c:v>55.9</c:v>
                </c:pt>
                <c:pt idx="4">
                  <c:v>80.7</c:v>
                </c:pt>
                <c:pt idx="5">
                  <c:v>57.5</c:v>
                </c:pt>
                <c:pt idx="6">
                  <c:v>69.599999999999994</c:v>
                </c:pt>
                <c:pt idx="7">
                  <c:v>56.7</c:v>
                </c:pt>
                <c:pt idx="8">
                  <c:v>61.4</c:v>
                </c:pt>
                <c:pt idx="9">
                  <c:v>77.3</c:v>
                </c:pt>
                <c:pt idx="10">
                  <c:v>58.5</c:v>
                </c:pt>
                <c:pt idx="11">
                  <c:v>65.3</c:v>
                </c:pt>
                <c:pt idx="12">
                  <c:v>54.1</c:v>
                </c:pt>
                <c:pt idx="13">
                  <c:v>66.8</c:v>
                </c:pt>
                <c:pt idx="14">
                  <c:v>61.3</c:v>
                </c:pt>
                <c:pt idx="15">
                  <c:v>56.4</c:v>
                </c:pt>
                <c:pt idx="16">
                  <c:v>64.7</c:v>
                </c:pt>
                <c:pt idx="17">
                  <c:v>70.5</c:v>
                </c:pt>
                <c:pt idx="18">
                  <c:v>85.6</c:v>
                </c:pt>
                <c:pt idx="19">
                  <c:v>79.7</c:v>
                </c:pt>
                <c:pt idx="20">
                  <c:v>77.900000000000006</c:v>
                </c:pt>
                <c:pt idx="21">
                  <c:v>82.7</c:v>
                </c:pt>
                <c:pt idx="22">
                  <c:v>85.9</c:v>
                </c:pt>
                <c:pt idx="23">
                  <c:v>85.1</c:v>
                </c:pt>
                <c:pt idx="24">
                  <c:v>83.1</c:v>
                </c:pt>
              </c:numCache>
            </c:numRef>
          </c:val>
        </c:ser>
        <c:ser>
          <c:idx val="1"/>
          <c:order val="1"/>
          <c:tx>
            <c:strRef>
              <c:f>graficos1!$K$3</c:f>
              <c:strCache>
                <c:ptCount val="1"/>
                <c:pt idx="0">
                  <c:v>6-11 years old</c:v>
                </c:pt>
              </c:strCache>
            </c:strRef>
          </c:tx>
          <c:cat>
            <c:strRef>
              <c:f>graficos1!$I$4:$I$28</c:f>
              <c:strCache>
                <c:ptCount val="25"/>
                <c:pt idx="0">
                  <c:v>Huancavelica</c:v>
                </c:pt>
                <c:pt idx="1">
                  <c:v>Cajamarca</c:v>
                </c:pt>
                <c:pt idx="2">
                  <c:v>Huánuco</c:v>
                </c:pt>
                <c:pt idx="3">
                  <c:v>Amazonas</c:v>
                </c:pt>
                <c:pt idx="4">
                  <c:v>Apurímac</c:v>
                </c:pt>
                <c:pt idx="5">
                  <c:v>Puno</c:v>
                </c:pt>
                <c:pt idx="6">
                  <c:v>Cusco</c:v>
                </c:pt>
                <c:pt idx="7">
                  <c:v>Ayacucho</c:v>
                </c:pt>
                <c:pt idx="8">
                  <c:v>Pasco</c:v>
                </c:pt>
                <c:pt idx="9">
                  <c:v>Ancash</c:v>
                </c:pt>
                <c:pt idx="10">
                  <c:v>San Martín</c:v>
                </c:pt>
                <c:pt idx="11">
                  <c:v>Loreto</c:v>
                </c:pt>
                <c:pt idx="12">
                  <c:v>Junín</c:v>
                </c:pt>
                <c:pt idx="13">
                  <c:v>Madre de Dios</c:v>
                </c:pt>
                <c:pt idx="14">
                  <c:v>Piura</c:v>
                </c:pt>
                <c:pt idx="15">
                  <c:v>Ucayali</c:v>
                </c:pt>
                <c:pt idx="16">
                  <c:v>La Libertad</c:v>
                </c:pt>
                <c:pt idx="17">
                  <c:v>Lambayeque</c:v>
                </c:pt>
                <c:pt idx="18">
                  <c:v>Moquegua</c:v>
                </c:pt>
                <c:pt idx="19">
                  <c:v>Ica</c:v>
                </c:pt>
                <c:pt idx="20">
                  <c:v>Arequipa</c:v>
                </c:pt>
                <c:pt idx="21">
                  <c:v>Tumbes</c:v>
                </c:pt>
                <c:pt idx="22">
                  <c:v>Tacna</c:v>
                </c:pt>
                <c:pt idx="23">
                  <c:v>Lima</c:v>
                </c:pt>
                <c:pt idx="24">
                  <c:v>Callao</c:v>
                </c:pt>
              </c:strCache>
            </c:strRef>
          </c:cat>
          <c:val>
            <c:numRef>
              <c:f>graficos1!$K$4:$K$28</c:f>
              <c:numCache>
                <c:formatCode>General</c:formatCode>
                <c:ptCount val="25"/>
                <c:pt idx="0">
                  <c:v>98.8</c:v>
                </c:pt>
                <c:pt idx="1">
                  <c:v>97.3</c:v>
                </c:pt>
                <c:pt idx="2">
                  <c:v>98.9</c:v>
                </c:pt>
                <c:pt idx="3">
                  <c:v>95.7</c:v>
                </c:pt>
                <c:pt idx="4">
                  <c:v>0</c:v>
                </c:pt>
                <c:pt idx="5">
                  <c:v>98</c:v>
                </c:pt>
                <c:pt idx="6">
                  <c:v>97.9</c:v>
                </c:pt>
                <c:pt idx="7">
                  <c:v>97.9</c:v>
                </c:pt>
                <c:pt idx="8">
                  <c:v>97.8</c:v>
                </c:pt>
                <c:pt idx="9">
                  <c:v>98.7</c:v>
                </c:pt>
                <c:pt idx="10">
                  <c:v>96.7</c:v>
                </c:pt>
                <c:pt idx="11">
                  <c:v>94</c:v>
                </c:pt>
                <c:pt idx="12">
                  <c:v>97.2</c:v>
                </c:pt>
                <c:pt idx="13">
                  <c:v>97.9</c:v>
                </c:pt>
                <c:pt idx="14">
                  <c:v>97.5</c:v>
                </c:pt>
                <c:pt idx="15">
                  <c:v>96.4</c:v>
                </c:pt>
                <c:pt idx="16">
                  <c:v>95.9</c:v>
                </c:pt>
                <c:pt idx="17">
                  <c:v>97.4</c:v>
                </c:pt>
                <c:pt idx="18">
                  <c:v>98.8</c:v>
                </c:pt>
                <c:pt idx="19">
                  <c:v>98.4</c:v>
                </c:pt>
                <c:pt idx="20">
                  <c:v>99.7</c:v>
                </c:pt>
                <c:pt idx="21">
                  <c:v>98.2</c:v>
                </c:pt>
                <c:pt idx="22">
                  <c:v>98.3</c:v>
                </c:pt>
                <c:pt idx="23">
                  <c:v>98.5</c:v>
                </c:pt>
                <c:pt idx="24">
                  <c:v>98.1</c:v>
                </c:pt>
              </c:numCache>
            </c:numRef>
          </c:val>
        </c:ser>
        <c:ser>
          <c:idx val="2"/>
          <c:order val="2"/>
          <c:tx>
            <c:strRef>
              <c:f>graficos1!$L$3</c:f>
              <c:strCache>
                <c:ptCount val="1"/>
                <c:pt idx="0">
                  <c:v>12-16 years old</c:v>
                </c:pt>
              </c:strCache>
            </c:strRef>
          </c:tx>
          <c:cat>
            <c:strRef>
              <c:f>graficos1!$I$4:$I$28</c:f>
              <c:strCache>
                <c:ptCount val="25"/>
                <c:pt idx="0">
                  <c:v>Huancavelica</c:v>
                </c:pt>
                <c:pt idx="1">
                  <c:v>Cajamarca</c:v>
                </c:pt>
                <c:pt idx="2">
                  <c:v>Huánuco</c:v>
                </c:pt>
                <c:pt idx="3">
                  <c:v>Amazonas</c:v>
                </c:pt>
                <c:pt idx="4">
                  <c:v>Apurímac</c:v>
                </c:pt>
                <c:pt idx="5">
                  <c:v>Puno</c:v>
                </c:pt>
                <c:pt idx="6">
                  <c:v>Cusco</c:v>
                </c:pt>
                <c:pt idx="7">
                  <c:v>Ayacucho</c:v>
                </c:pt>
                <c:pt idx="8">
                  <c:v>Pasco</c:v>
                </c:pt>
                <c:pt idx="9">
                  <c:v>Ancash</c:v>
                </c:pt>
                <c:pt idx="10">
                  <c:v>San Martín</c:v>
                </c:pt>
                <c:pt idx="11">
                  <c:v>Loreto</c:v>
                </c:pt>
                <c:pt idx="12">
                  <c:v>Junín</c:v>
                </c:pt>
                <c:pt idx="13">
                  <c:v>Madre de Dios</c:v>
                </c:pt>
                <c:pt idx="14">
                  <c:v>Piura</c:v>
                </c:pt>
                <c:pt idx="15">
                  <c:v>Ucayali</c:v>
                </c:pt>
                <c:pt idx="16">
                  <c:v>La Libertad</c:v>
                </c:pt>
                <c:pt idx="17">
                  <c:v>Lambayeque</c:v>
                </c:pt>
                <c:pt idx="18">
                  <c:v>Moquegua</c:v>
                </c:pt>
                <c:pt idx="19">
                  <c:v>Ica</c:v>
                </c:pt>
                <c:pt idx="20">
                  <c:v>Arequipa</c:v>
                </c:pt>
                <c:pt idx="21">
                  <c:v>Tumbes</c:v>
                </c:pt>
                <c:pt idx="22">
                  <c:v>Tacna</c:v>
                </c:pt>
                <c:pt idx="23">
                  <c:v>Lima</c:v>
                </c:pt>
                <c:pt idx="24">
                  <c:v>Callao</c:v>
                </c:pt>
              </c:strCache>
            </c:strRef>
          </c:cat>
          <c:val>
            <c:numRef>
              <c:f>graficos1!$L$4:$L$28</c:f>
              <c:numCache>
                <c:formatCode>General</c:formatCode>
                <c:ptCount val="25"/>
                <c:pt idx="0">
                  <c:v>92.1</c:v>
                </c:pt>
                <c:pt idx="1">
                  <c:v>76.099999999999994</c:v>
                </c:pt>
                <c:pt idx="2">
                  <c:v>89.2</c:v>
                </c:pt>
                <c:pt idx="3">
                  <c:v>77.400000000000006</c:v>
                </c:pt>
                <c:pt idx="4">
                  <c:v>96.9</c:v>
                </c:pt>
                <c:pt idx="5">
                  <c:v>91.9</c:v>
                </c:pt>
                <c:pt idx="6">
                  <c:v>94.8</c:v>
                </c:pt>
                <c:pt idx="7">
                  <c:v>91.2</c:v>
                </c:pt>
                <c:pt idx="8">
                  <c:v>88.8</c:v>
                </c:pt>
                <c:pt idx="9">
                  <c:v>92.3</c:v>
                </c:pt>
                <c:pt idx="10">
                  <c:v>78.400000000000006</c:v>
                </c:pt>
                <c:pt idx="11">
                  <c:v>81.599999999999994</c:v>
                </c:pt>
                <c:pt idx="12">
                  <c:v>92.6</c:v>
                </c:pt>
                <c:pt idx="13">
                  <c:v>90.8</c:v>
                </c:pt>
                <c:pt idx="14">
                  <c:v>81.400000000000006</c:v>
                </c:pt>
                <c:pt idx="15">
                  <c:v>83.8</c:v>
                </c:pt>
                <c:pt idx="16">
                  <c:v>79.599999999999994</c:v>
                </c:pt>
                <c:pt idx="17">
                  <c:v>84.6</c:v>
                </c:pt>
                <c:pt idx="18">
                  <c:v>93.8</c:v>
                </c:pt>
                <c:pt idx="19">
                  <c:v>91.8</c:v>
                </c:pt>
                <c:pt idx="20">
                  <c:v>94.9</c:v>
                </c:pt>
                <c:pt idx="21">
                  <c:v>88.1</c:v>
                </c:pt>
                <c:pt idx="22">
                  <c:v>94.9</c:v>
                </c:pt>
                <c:pt idx="23">
                  <c:v>91.3</c:v>
                </c:pt>
                <c:pt idx="24">
                  <c:v>89</c:v>
                </c:pt>
              </c:numCache>
            </c:numRef>
          </c:val>
        </c:ser>
        <c:axId val="103004416"/>
        <c:axId val="103010304"/>
      </c:barChart>
      <c:catAx>
        <c:axId val="103004416"/>
        <c:scaling>
          <c:orientation val="minMax"/>
        </c:scaling>
        <c:axPos val="b"/>
        <c:numFmt formatCode="General" sourceLinked="1"/>
        <c:tickLblPos val="nextTo"/>
        <c:txPr>
          <a:bodyPr/>
          <a:lstStyle/>
          <a:p>
            <a:pPr>
              <a:defRPr lang="en-US"/>
            </a:pPr>
            <a:endParaRPr lang="en-US"/>
          </a:p>
        </c:txPr>
        <c:crossAx val="103010304"/>
        <c:crosses val="autoZero"/>
        <c:auto val="1"/>
        <c:lblAlgn val="ctr"/>
        <c:lblOffset val="100"/>
      </c:catAx>
      <c:valAx>
        <c:axId val="103010304"/>
        <c:scaling>
          <c:orientation val="minMax"/>
        </c:scaling>
        <c:axPos val="l"/>
        <c:majorGridlines/>
        <c:numFmt formatCode="General" sourceLinked="1"/>
        <c:tickLblPos val="nextTo"/>
        <c:txPr>
          <a:bodyPr/>
          <a:lstStyle/>
          <a:p>
            <a:pPr>
              <a:defRPr lang="en-US"/>
            </a:pPr>
            <a:endParaRPr lang="en-US"/>
          </a:p>
        </c:txPr>
        <c:crossAx val="103004416"/>
        <c:crosses val="autoZero"/>
        <c:crossBetween val="between"/>
      </c:valAx>
    </c:plotArea>
    <c:legend>
      <c:legendPos val="b"/>
      <c:txPr>
        <a:bodyPr/>
        <a:lstStyle/>
        <a:p>
          <a:pPr>
            <a:defRPr lang="en-US"/>
          </a:pPr>
          <a:endParaRPr lang="en-US"/>
        </a:p>
      </c:txPr>
    </c:legend>
    <c:plotVisOnly val="1"/>
    <c:dispBlanksAs val="gap"/>
  </c:chart>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en-US"/>
  <c:style val="34"/>
  <c:chart>
    <c:plotArea>
      <c:layout>
        <c:manualLayout>
          <c:layoutTarget val="inner"/>
          <c:xMode val="edge"/>
          <c:yMode val="edge"/>
          <c:x val="0.10797546012269962"/>
          <c:y val="6.2953995157384993E-2"/>
          <c:w val="0.86339468302660005"/>
          <c:h val="0.53268765133171914"/>
        </c:manualLayout>
      </c:layout>
      <c:barChart>
        <c:barDir val="col"/>
        <c:grouping val="clustered"/>
        <c:ser>
          <c:idx val="0"/>
          <c:order val="0"/>
          <c:tx>
            <c:strRef>
              <c:f>Matriculados!$M$62</c:f>
              <c:strCache>
                <c:ptCount val="1"/>
                <c:pt idx="0">
                  <c:v>Preschool</c:v>
                </c:pt>
              </c:strCache>
            </c:strRef>
          </c:tx>
          <c:cat>
            <c:strRef>
              <c:f>Matriculados!$Q$63:$Q$87</c:f>
              <c:strCache>
                <c:ptCount val="25"/>
                <c:pt idx="0">
                  <c:v>Huancavelica</c:v>
                </c:pt>
                <c:pt idx="1">
                  <c:v>Cajamarca</c:v>
                </c:pt>
                <c:pt idx="2">
                  <c:v>Huánuco</c:v>
                </c:pt>
                <c:pt idx="3">
                  <c:v>Amazonas</c:v>
                </c:pt>
                <c:pt idx="4">
                  <c:v>Apurímac</c:v>
                </c:pt>
                <c:pt idx="5">
                  <c:v>Puno</c:v>
                </c:pt>
                <c:pt idx="6">
                  <c:v>Cusco</c:v>
                </c:pt>
                <c:pt idx="7">
                  <c:v>Ayacucho</c:v>
                </c:pt>
                <c:pt idx="8">
                  <c:v>Pasco</c:v>
                </c:pt>
                <c:pt idx="9">
                  <c:v>Áncash</c:v>
                </c:pt>
                <c:pt idx="10">
                  <c:v>SanMartín</c:v>
                </c:pt>
                <c:pt idx="11">
                  <c:v>Loreto</c:v>
                </c:pt>
                <c:pt idx="12">
                  <c:v>Junín</c:v>
                </c:pt>
                <c:pt idx="13">
                  <c:v>MadredeDios</c:v>
                </c:pt>
                <c:pt idx="14">
                  <c:v>Piura</c:v>
                </c:pt>
                <c:pt idx="15">
                  <c:v>Ucayali</c:v>
                </c:pt>
                <c:pt idx="16">
                  <c:v>LaLibertad</c:v>
                </c:pt>
                <c:pt idx="17">
                  <c:v>Lambayeque</c:v>
                </c:pt>
                <c:pt idx="18">
                  <c:v>Moquegua</c:v>
                </c:pt>
                <c:pt idx="19">
                  <c:v>Ica</c:v>
                </c:pt>
                <c:pt idx="20">
                  <c:v>Arequipa</c:v>
                </c:pt>
                <c:pt idx="21">
                  <c:v>Tumbes</c:v>
                </c:pt>
                <c:pt idx="22">
                  <c:v>Tacna</c:v>
                </c:pt>
                <c:pt idx="23">
                  <c:v>Lima</c:v>
                </c:pt>
                <c:pt idx="24">
                  <c:v>Prov.Const.delCallao</c:v>
                </c:pt>
              </c:strCache>
            </c:strRef>
          </c:cat>
          <c:val>
            <c:numRef>
              <c:f>Matriculados!$M$63:$M$87</c:f>
              <c:numCache>
                <c:formatCode>General</c:formatCode>
                <c:ptCount val="25"/>
                <c:pt idx="0">
                  <c:v>0.9771251698625999</c:v>
                </c:pt>
                <c:pt idx="1">
                  <c:v>0.92522375423319403</c:v>
                </c:pt>
                <c:pt idx="2">
                  <c:v>0.90733043338166586</c:v>
                </c:pt>
                <c:pt idx="3">
                  <c:v>0.98415525970373152</c:v>
                </c:pt>
                <c:pt idx="4">
                  <c:v>0.97419485517520765</c:v>
                </c:pt>
                <c:pt idx="5">
                  <c:v>0.95406685285087844</c:v>
                </c:pt>
                <c:pt idx="6">
                  <c:v>0.89230718228381045</c:v>
                </c:pt>
                <c:pt idx="7">
                  <c:v>0.89495225102319265</c:v>
                </c:pt>
                <c:pt idx="8">
                  <c:v>0.95958853783982367</c:v>
                </c:pt>
                <c:pt idx="9">
                  <c:v>0.86755824808062332</c:v>
                </c:pt>
                <c:pt idx="10">
                  <c:v>0.95227639651275431</c:v>
                </c:pt>
                <c:pt idx="11">
                  <c:v>0.96734615852492922</c:v>
                </c:pt>
                <c:pt idx="12">
                  <c:v>0.80259014608045076</c:v>
                </c:pt>
                <c:pt idx="13">
                  <c:v>0.92135425850820063</c:v>
                </c:pt>
                <c:pt idx="14">
                  <c:v>0.82416632914810317</c:v>
                </c:pt>
                <c:pt idx="15">
                  <c:v>0.97601285435556062</c:v>
                </c:pt>
                <c:pt idx="16">
                  <c:v>0.69915299100052941</c:v>
                </c:pt>
                <c:pt idx="17">
                  <c:v>0.70123240228489758</c:v>
                </c:pt>
                <c:pt idx="18">
                  <c:v>0.86899717514124297</c:v>
                </c:pt>
                <c:pt idx="19">
                  <c:v>0.74465488626380127</c:v>
                </c:pt>
                <c:pt idx="20">
                  <c:v>0.57625824087473876</c:v>
                </c:pt>
                <c:pt idx="21">
                  <c:v>0.91888262154176736</c:v>
                </c:pt>
                <c:pt idx="22">
                  <c:v>0.81374853113984125</c:v>
                </c:pt>
                <c:pt idx="23">
                  <c:v>0.5751082188656097</c:v>
                </c:pt>
                <c:pt idx="24">
                  <c:v>0.59938722601932559</c:v>
                </c:pt>
              </c:numCache>
            </c:numRef>
          </c:val>
        </c:ser>
        <c:ser>
          <c:idx val="1"/>
          <c:order val="1"/>
          <c:tx>
            <c:strRef>
              <c:f>Matriculados!$N$62</c:f>
              <c:strCache>
                <c:ptCount val="1"/>
                <c:pt idx="0">
                  <c:v>Primary</c:v>
                </c:pt>
              </c:strCache>
            </c:strRef>
          </c:tx>
          <c:cat>
            <c:strRef>
              <c:f>Matriculados!$Q$63:$Q$87</c:f>
              <c:strCache>
                <c:ptCount val="25"/>
                <c:pt idx="0">
                  <c:v>Huancavelica</c:v>
                </c:pt>
                <c:pt idx="1">
                  <c:v>Cajamarca</c:v>
                </c:pt>
                <c:pt idx="2">
                  <c:v>Huánuco</c:v>
                </c:pt>
                <c:pt idx="3">
                  <c:v>Amazonas</c:v>
                </c:pt>
                <c:pt idx="4">
                  <c:v>Apurímac</c:v>
                </c:pt>
                <c:pt idx="5">
                  <c:v>Puno</c:v>
                </c:pt>
                <c:pt idx="6">
                  <c:v>Cusco</c:v>
                </c:pt>
                <c:pt idx="7">
                  <c:v>Ayacucho</c:v>
                </c:pt>
                <c:pt idx="8">
                  <c:v>Pasco</c:v>
                </c:pt>
                <c:pt idx="9">
                  <c:v>Áncash</c:v>
                </c:pt>
                <c:pt idx="10">
                  <c:v>SanMartín</c:v>
                </c:pt>
                <c:pt idx="11">
                  <c:v>Loreto</c:v>
                </c:pt>
                <c:pt idx="12">
                  <c:v>Junín</c:v>
                </c:pt>
                <c:pt idx="13">
                  <c:v>MadredeDios</c:v>
                </c:pt>
                <c:pt idx="14">
                  <c:v>Piura</c:v>
                </c:pt>
                <c:pt idx="15">
                  <c:v>Ucayali</c:v>
                </c:pt>
                <c:pt idx="16">
                  <c:v>LaLibertad</c:v>
                </c:pt>
                <c:pt idx="17">
                  <c:v>Lambayeque</c:v>
                </c:pt>
                <c:pt idx="18">
                  <c:v>Moquegua</c:v>
                </c:pt>
                <c:pt idx="19">
                  <c:v>Ica</c:v>
                </c:pt>
                <c:pt idx="20">
                  <c:v>Arequipa</c:v>
                </c:pt>
                <c:pt idx="21">
                  <c:v>Tumbes</c:v>
                </c:pt>
                <c:pt idx="22">
                  <c:v>Tacna</c:v>
                </c:pt>
                <c:pt idx="23">
                  <c:v>Lima</c:v>
                </c:pt>
                <c:pt idx="24">
                  <c:v>Prov.Const.delCallao</c:v>
                </c:pt>
              </c:strCache>
            </c:strRef>
          </c:cat>
          <c:val>
            <c:numRef>
              <c:f>Matriculados!$N$63:$N$87</c:f>
              <c:numCache>
                <c:formatCode>General</c:formatCode>
                <c:ptCount val="25"/>
                <c:pt idx="0">
                  <c:v>0.98473214976191137</c:v>
                </c:pt>
                <c:pt idx="1">
                  <c:v>0.95422452437116478</c:v>
                </c:pt>
                <c:pt idx="2">
                  <c:v>0.9448891147531786</c:v>
                </c:pt>
                <c:pt idx="3">
                  <c:v>0.98488465665236069</c:v>
                </c:pt>
                <c:pt idx="4">
                  <c:v>0.97256604470718189</c:v>
                </c:pt>
                <c:pt idx="5">
                  <c:v>0.91354323125078862</c:v>
                </c:pt>
                <c:pt idx="6">
                  <c:v>0.89976989880495828</c:v>
                </c:pt>
                <c:pt idx="7">
                  <c:v>0.94459741489678883</c:v>
                </c:pt>
                <c:pt idx="8">
                  <c:v>0.93556762485097356</c:v>
                </c:pt>
                <c:pt idx="9">
                  <c:v>0.88507397657051146</c:v>
                </c:pt>
                <c:pt idx="10">
                  <c:v>0.96559822698554465</c:v>
                </c:pt>
                <c:pt idx="11">
                  <c:v>0.94605488129607362</c:v>
                </c:pt>
                <c:pt idx="12">
                  <c:v>0.86763274874494056</c:v>
                </c:pt>
                <c:pt idx="13">
                  <c:v>0.93976053878772758</c:v>
                </c:pt>
                <c:pt idx="14">
                  <c:v>0.85936691967637002</c:v>
                </c:pt>
                <c:pt idx="15">
                  <c:v>0.97333609464392035</c:v>
                </c:pt>
                <c:pt idx="16">
                  <c:v>0.81615870238573762</c:v>
                </c:pt>
                <c:pt idx="17">
                  <c:v>0.81971214832794392</c:v>
                </c:pt>
                <c:pt idx="18">
                  <c:v>0.83442278178820517</c:v>
                </c:pt>
                <c:pt idx="19">
                  <c:v>0.76722312560686001</c:v>
                </c:pt>
                <c:pt idx="20">
                  <c:v>0.65936279112025897</c:v>
                </c:pt>
                <c:pt idx="21">
                  <c:v>0.88173682732051861</c:v>
                </c:pt>
                <c:pt idx="22">
                  <c:v>0.77093549603923728</c:v>
                </c:pt>
                <c:pt idx="23">
                  <c:v>0.60680281256372026</c:v>
                </c:pt>
                <c:pt idx="24">
                  <c:v>0.64686263942978095</c:v>
                </c:pt>
              </c:numCache>
            </c:numRef>
          </c:val>
        </c:ser>
        <c:ser>
          <c:idx val="2"/>
          <c:order val="2"/>
          <c:tx>
            <c:strRef>
              <c:f>Matriculados!$O$62</c:f>
              <c:strCache>
                <c:ptCount val="1"/>
                <c:pt idx="0">
                  <c:v>Secondary</c:v>
                </c:pt>
              </c:strCache>
            </c:strRef>
          </c:tx>
          <c:cat>
            <c:strRef>
              <c:f>Matriculados!$Q$63:$Q$87</c:f>
              <c:strCache>
                <c:ptCount val="25"/>
                <c:pt idx="0">
                  <c:v>Huancavelica</c:v>
                </c:pt>
                <c:pt idx="1">
                  <c:v>Cajamarca</c:v>
                </c:pt>
                <c:pt idx="2">
                  <c:v>Huánuco</c:v>
                </c:pt>
                <c:pt idx="3">
                  <c:v>Amazonas</c:v>
                </c:pt>
                <c:pt idx="4">
                  <c:v>Apurímac</c:v>
                </c:pt>
                <c:pt idx="5">
                  <c:v>Puno</c:v>
                </c:pt>
                <c:pt idx="6">
                  <c:v>Cusco</c:v>
                </c:pt>
                <c:pt idx="7">
                  <c:v>Ayacucho</c:v>
                </c:pt>
                <c:pt idx="8">
                  <c:v>Pasco</c:v>
                </c:pt>
                <c:pt idx="9">
                  <c:v>Áncash</c:v>
                </c:pt>
                <c:pt idx="10">
                  <c:v>SanMartín</c:v>
                </c:pt>
                <c:pt idx="11">
                  <c:v>Loreto</c:v>
                </c:pt>
                <c:pt idx="12">
                  <c:v>Junín</c:v>
                </c:pt>
                <c:pt idx="13">
                  <c:v>MadredeDios</c:v>
                </c:pt>
                <c:pt idx="14">
                  <c:v>Piura</c:v>
                </c:pt>
                <c:pt idx="15">
                  <c:v>Ucayali</c:v>
                </c:pt>
                <c:pt idx="16">
                  <c:v>LaLibertad</c:v>
                </c:pt>
                <c:pt idx="17">
                  <c:v>Lambayeque</c:v>
                </c:pt>
                <c:pt idx="18">
                  <c:v>Moquegua</c:v>
                </c:pt>
                <c:pt idx="19">
                  <c:v>Ica</c:v>
                </c:pt>
                <c:pt idx="20">
                  <c:v>Arequipa</c:v>
                </c:pt>
                <c:pt idx="21">
                  <c:v>Tumbes</c:v>
                </c:pt>
                <c:pt idx="22">
                  <c:v>Tacna</c:v>
                </c:pt>
                <c:pt idx="23">
                  <c:v>Lima</c:v>
                </c:pt>
                <c:pt idx="24">
                  <c:v>Prov.Const.delCallao</c:v>
                </c:pt>
              </c:strCache>
            </c:strRef>
          </c:cat>
          <c:val>
            <c:numRef>
              <c:f>Matriculados!$O$63:$O$87</c:f>
              <c:numCache>
                <c:formatCode>General</c:formatCode>
                <c:ptCount val="25"/>
                <c:pt idx="0">
                  <c:v>0.94365857093990002</c:v>
                </c:pt>
                <c:pt idx="1">
                  <c:v>0.8805965420834615</c:v>
                </c:pt>
                <c:pt idx="2">
                  <c:v>0.909119412344357</c:v>
                </c:pt>
                <c:pt idx="3">
                  <c:v>0.98800667552965749</c:v>
                </c:pt>
                <c:pt idx="4">
                  <c:v>0.95940439174182557</c:v>
                </c:pt>
                <c:pt idx="5">
                  <c:v>0.89567679992631744</c:v>
                </c:pt>
                <c:pt idx="6">
                  <c:v>0.86728605874075237</c:v>
                </c:pt>
                <c:pt idx="7">
                  <c:v>0.90819278251110469</c:v>
                </c:pt>
                <c:pt idx="8">
                  <c:v>0.88273257306295383</c:v>
                </c:pt>
                <c:pt idx="9">
                  <c:v>0.87787573387390494</c:v>
                </c:pt>
                <c:pt idx="10">
                  <c:v>0.97297049240513156</c:v>
                </c:pt>
                <c:pt idx="11">
                  <c:v>0.90610006055806591</c:v>
                </c:pt>
                <c:pt idx="12">
                  <c:v>0.81431252494543183</c:v>
                </c:pt>
                <c:pt idx="13">
                  <c:v>0.9517626990144048</c:v>
                </c:pt>
                <c:pt idx="14">
                  <c:v>0.86119598733135261</c:v>
                </c:pt>
                <c:pt idx="15">
                  <c:v>0.9662590628719836</c:v>
                </c:pt>
                <c:pt idx="16">
                  <c:v>0.79877078588587669</c:v>
                </c:pt>
                <c:pt idx="17">
                  <c:v>0.76543368481386687</c:v>
                </c:pt>
                <c:pt idx="18">
                  <c:v>0.86617499641988704</c:v>
                </c:pt>
                <c:pt idx="19">
                  <c:v>0.80625185625186191</c:v>
                </c:pt>
                <c:pt idx="20">
                  <c:v>0.69054482979528842</c:v>
                </c:pt>
                <c:pt idx="21">
                  <c:v>0.87958202023552823</c:v>
                </c:pt>
                <c:pt idx="22">
                  <c:v>0.78150645347717262</c:v>
                </c:pt>
                <c:pt idx="23">
                  <c:v>0.66494641276195665</c:v>
                </c:pt>
                <c:pt idx="24">
                  <c:v>0.70027665927082472</c:v>
                </c:pt>
              </c:numCache>
            </c:numRef>
          </c:val>
        </c:ser>
        <c:axId val="103273216"/>
        <c:axId val="103274752"/>
      </c:barChart>
      <c:catAx>
        <c:axId val="103273216"/>
        <c:scaling>
          <c:orientation val="minMax"/>
        </c:scaling>
        <c:axPos val="b"/>
        <c:numFmt formatCode="#,##0" sourceLinked="1"/>
        <c:tickLblPos val="nextTo"/>
        <c:txPr>
          <a:bodyPr rot="-2700000" vert="horz"/>
          <a:lstStyle/>
          <a:p>
            <a:pPr>
              <a:defRPr lang="en-US"/>
            </a:pPr>
            <a:endParaRPr lang="en-US"/>
          </a:p>
        </c:txPr>
        <c:crossAx val="103274752"/>
        <c:crosses val="autoZero"/>
        <c:auto val="1"/>
        <c:lblAlgn val="ctr"/>
        <c:lblOffset val="100"/>
        <c:tickLblSkip val="1"/>
        <c:tickMarkSkip val="1"/>
      </c:catAx>
      <c:valAx>
        <c:axId val="103274752"/>
        <c:scaling>
          <c:orientation val="minMax"/>
        </c:scaling>
        <c:axPos val="l"/>
        <c:majorGridlines/>
        <c:numFmt formatCode="General" sourceLinked="1"/>
        <c:tickLblPos val="nextTo"/>
        <c:txPr>
          <a:bodyPr rot="0" vert="horz"/>
          <a:lstStyle/>
          <a:p>
            <a:pPr>
              <a:defRPr lang="en-US"/>
            </a:pPr>
            <a:endParaRPr lang="en-US"/>
          </a:p>
        </c:txPr>
        <c:crossAx val="103273216"/>
        <c:crosses val="autoZero"/>
        <c:crossBetween val="between"/>
      </c:valAx>
    </c:plotArea>
    <c:legend>
      <c:legendPos val="b"/>
      <c:txPr>
        <a:bodyPr/>
        <a:lstStyle/>
        <a:p>
          <a:pPr>
            <a:defRPr lang="en-US"/>
          </a:pPr>
          <a:endParaRPr lang="en-US"/>
        </a:p>
      </c:txPr>
    </c:legend>
    <c:plotVisOnly val="1"/>
    <c:dispBlanksAs val="gap"/>
  </c:chart>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en-US"/>
  <c:style val="34"/>
  <c:chart>
    <c:plotArea>
      <c:layout/>
      <c:barChart>
        <c:barDir val="col"/>
        <c:grouping val="clustered"/>
        <c:ser>
          <c:idx val="0"/>
          <c:order val="0"/>
          <c:tx>
            <c:strRef>
              <c:f>graficos1!$I$62</c:f>
              <c:strCache>
                <c:ptCount val="1"/>
                <c:pt idx="0">
                  <c:v>Not poor</c:v>
                </c:pt>
              </c:strCache>
            </c:strRef>
          </c:tx>
          <c:cat>
            <c:strRef>
              <c:f>graficos1!$H$63:$H$65</c:f>
              <c:strCache>
                <c:ptCount val="3"/>
                <c:pt idx="0">
                  <c:v>3-5 años</c:v>
                </c:pt>
                <c:pt idx="1">
                  <c:v>6-11 años</c:v>
                </c:pt>
                <c:pt idx="2">
                  <c:v>12-16 años</c:v>
                </c:pt>
              </c:strCache>
            </c:strRef>
          </c:cat>
          <c:val>
            <c:numRef>
              <c:f>graficos1!$I$63:$I$65</c:f>
              <c:numCache>
                <c:formatCode>General</c:formatCode>
                <c:ptCount val="3"/>
                <c:pt idx="0">
                  <c:v>81.599999999999994</c:v>
                </c:pt>
                <c:pt idx="1">
                  <c:v>99</c:v>
                </c:pt>
                <c:pt idx="2">
                  <c:v>91.4</c:v>
                </c:pt>
              </c:numCache>
            </c:numRef>
          </c:val>
        </c:ser>
        <c:ser>
          <c:idx val="1"/>
          <c:order val="1"/>
          <c:tx>
            <c:strRef>
              <c:f>graficos1!$J$62</c:f>
              <c:strCache>
                <c:ptCount val="1"/>
                <c:pt idx="0">
                  <c:v>Poor</c:v>
                </c:pt>
              </c:strCache>
            </c:strRef>
          </c:tx>
          <c:cat>
            <c:strRef>
              <c:f>graficos1!$H$63:$H$65</c:f>
              <c:strCache>
                <c:ptCount val="3"/>
                <c:pt idx="0">
                  <c:v>3-5 años</c:v>
                </c:pt>
                <c:pt idx="1">
                  <c:v>6-11 años</c:v>
                </c:pt>
                <c:pt idx="2">
                  <c:v>12-16 años</c:v>
                </c:pt>
              </c:strCache>
            </c:strRef>
          </c:cat>
          <c:val>
            <c:numRef>
              <c:f>graficos1!$J$63:$J$65</c:f>
              <c:numCache>
                <c:formatCode>General</c:formatCode>
                <c:ptCount val="3"/>
                <c:pt idx="0">
                  <c:v>66.2</c:v>
                </c:pt>
                <c:pt idx="1">
                  <c:v>97.4</c:v>
                </c:pt>
                <c:pt idx="2">
                  <c:v>85.5</c:v>
                </c:pt>
              </c:numCache>
            </c:numRef>
          </c:val>
        </c:ser>
        <c:ser>
          <c:idx val="2"/>
          <c:order val="2"/>
          <c:tx>
            <c:strRef>
              <c:f>graficos1!$K$62</c:f>
              <c:strCache>
                <c:ptCount val="1"/>
                <c:pt idx="0">
                  <c:v>Extreme Poor</c:v>
                </c:pt>
              </c:strCache>
            </c:strRef>
          </c:tx>
          <c:cat>
            <c:strRef>
              <c:f>graficos1!$H$63:$H$65</c:f>
              <c:strCache>
                <c:ptCount val="3"/>
                <c:pt idx="0">
                  <c:v>3-5 años</c:v>
                </c:pt>
                <c:pt idx="1">
                  <c:v>6-11 años</c:v>
                </c:pt>
                <c:pt idx="2">
                  <c:v>12-16 años</c:v>
                </c:pt>
              </c:strCache>
            </c:strRef>
          </c:cat>
          <c:val>
            <c:numRef>
              <c:f>graficos1!$K$63:$K$65</c:f>
              <c:numCache>
                <c:formatCode>General</c:formatCode>
                <c:ptCount val="3"/>
                <c:pt idx="0">
                  <c:v>53.3</c:v>
                </c:pt>
                <c:pt idx="1">
                  <c:v>95.8</c:v>
                </c:pt>
                <c:pt idx="2">
                  <c:v>81.099999999999994</c:v>
                </c:pt>
              </c:numCache>
            </c:numRef>
          </c:val>
        </c:ser>
        <c:axId val="103443456"/>
        <c:axId val="103453440"/>
      </c:barChart>
      <c:catAx>
        <c:axId val="103443456"/>
        <c:scaling>
          <c:orientation val="minMax"/>
        </c:scaling>
        <c:axPos val="b"/>
        <c:tickLblPos val="nextTo"/>
        <c:txPr>
          <a:bodyPr/>
          <a:lstStyle/>
          <a:p>
            <a:pPr>
              <a:defRPr lang="en-US"/>
            </a:pPr>
            <a:endParaRPr lang="en-US"/>
          </a:p>
        </c:txPr>
        <c:crossAx val="103453440"/>
        <c:crosses val="autoZero"/>
        <c:auto val="1"/>
        <c:lblAlgn val="ctr"/>
        <c:lblOffset val="100"/>
      </c:catAx>
      <c:valAx>
        <c:axId val="103453440"/>
        <c:scaling>
          <c:orientation val="minMax"/>
        </c:scaling>
        <c:axPos val="l"/>
        <c:majorGridlines/>
        <c:numFmt formatCode="General" sourceLinked="1"/>
        <c:tickLblPos val="nextTo"/>
        <c:txPr>
          <a:bodyPr/>
          <a:lstStyle/>
          <a:p>
            <a:pPr>
              <a:defRPr lang="en-US"/>
            </a:pPr>
            <a:endParaRPr lang="en-US"/>
          </a:p>
        </c:txPr>
        <c:crossAx val="103443456"/>
        <c:crosses val="autoZero"/>
        <c:crossBetween val="between"/>
      </c:valAx>
    </c:plotArea>
    <c:legend>
      <c:legendPos val="r"/>
      <c:txPr>
        <a:bodyPr/>
        <a:lstStyle/>
        <a:p>
          <a:pPr>
            <a:defRPr lang="en-US"/>
          </a:pPr>
          <a:endParaRPr lang="en-US"/>
        </a:p>
      </c:txPr>
    </c:legend>
    <c:plotVisOnly val="1"/>
  </c:chart>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tx>
            <c:strRef>
              <c:f>gráficos4!$A$98</c:f>
              <c:strCache>
                <c:ptCount val="1"/>
                <c:pt idx="0">
                  <c:v>Female</c:v>
                </c:pt>
              </c:strCache>
            </c:strRef>
          </c:tx>
          <c:cat>
            <c:strRef>
              <c:f>gráficos4!$B$97:$C$97</c:f>
              <c:strCache>
                <c:ptCount val="2"/>
                <c:pt idx="0">
                  <c:v>Primary</c:v>
                </c:pt>
                <c:pt idx="1">
                  <c:v>Secondary</c:v>
                </c:pt>
              </c:strCache>
            </c:strRef>
          </c:cat>
          <c:val>
            <c:numRef>
              <c:f>gráficos4!$B$98:$C$98</c:f>
              <c:numCache>
                <c:formatCode>0.0</c:formatCode>
                <c:ptCount val="2"/>
                <c:pt idx="0">
                  <c:v>8.7734247221345409</c:v>
                </c:pt>
                <c:pt idx="1">
                  <c:v>4.5826686649438564</c:v>
                </c:pt>
              </c:numCache>
            </c:numRef>
          </c:val>
        </c:ser>
        <c:ser>
          <c:idx val="1"/>
          <c:order val="1"/>
          <c:tx>
            <c:strRef>
              <c:f>gráficos4!$A$99</c:f>
              <c:strCache>
                <c:ptCount val="1"/>
                <c:pt idx="0">
                  <c:v>Male</c:v>
                </c:pt>
              </c:strCache>
            </c:strRef>
          </c:tx>
          <c:cat>
            <c:strRef>
              <c:f>gráficos4!$B$97:$C$97</c:f>
              <c:strCache>
                <c:ptCount val="2"/>
                <c:pt idx="0">
                  <c:v>Primary</c:v>
                </c:pt>
                <c:pt idx="1">
                  <c:v>Secondary</c:v>
                </c:pt>
              </c:strCache>
            </c:strRef>
          </c:cat>
          <c:val>
            <c:numRef>
              <c:f>gráficos4!$B$99:$C$99</c:f>
              <c:numCache>
                <c:formatCode>0.0</c:formatCode>
                <c:ptCount val="2"/>
                <c:pt idx="0">
                  <c:v>9.495201708733191</c:v>
                </c:pt>
                <c:pt idx="1">
                  <c:v>6.9646484621210174</c:v>
                </c:pt>
              </c:numCache>
            </c:numRef>
          </c:val>
        </c:ser>
        <c:axId val="106676992"/>
        <c:axId val="106678528"/>
      </c:barChart>
      <c:catAx>
        <c:axId val="106676992"/>
        <c:scaling>
          <c:orientation val="minMax"/>
        </c:scaling>
        <c:axPos val="b"/>
        <c:tickLblPos val="nextTo"/>
        <c:txPr>
          <a:bodyPr/>
          <a:lstStyle/>
          <a:p>
            <a:pPr>
              <a:defRPr lang="en-US"/>
            </a:pPr>
            <a:endParaRPr lang="en-US"/>
          </a:p>
        </c:txPr>
        <c:crossAx val="106678528"/>
        <c:crosses val="autoZero"/>
        <c:auto val="1"/>
        <c:lblAlgn val="ctr"/>
        <c:lblOffset val="100"/>
      </c:catAx>
      <c:valAx>
        <c:axId val="106678528"/>
        <c:scaling>
          <c:orientation val="minMax"/>
        </c:scaling>
        <c:axPos val="l"/>
        <c:majorGridlines/>
        <c:numFmt formatCode="0.0" sourceLinked="1"/>
        <c:tickLblPos val="nextTo"/>
        <c:txPr>
          <a:bodyPr/>
          <a:lstStyle/>
          <a:p>
            <a:pPr>
              <a:defRPr lang="en-US"/>
            </a:pPr>
            <a:endParaRPr lang="en-US"/>
          </a:p>
        </c:txPr>
        <c:crossAx val="106676992"/>
        <c:crosses val="autoZero"/>
        <c:crossBetween val="between"/>
      </c:valAx>
    </c:plotArea>
    <c:legend>
      <c:legendPos val="b"/>
      <c:txPr>
        <a:bodyPr/>
        <a:lstStyle/>
        <a:p>
          <a:pPr>
            <a:defRPr lang="en-US"/>
          </a:pPr>
          <a:endParaRPr lang="en-US"/>
        </a:p>
      </c:txPr>
    </c:legend>
    <c:plotVisOnly val="1"/>
  </c:chart>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tx>
            <c:strRef>
              <c:f>gráficos4!$A$102</c:f>
              <c:strCache>
                <c:ptCount val="1"/>
                <c:pt idx="0">
                  <c:v>Urban</c:v>
                </c:pt>
              </c:strCache>
            </c:strRef>
          </c:tx>
          <c:cat>
            <c:strRef>
              <c:f>gráficos4!$B$101:$C$101</c:f>
              <c:strCache>
                <c:ptCount val="2"/>
                <c:pt idx="0">
                  <c:v>Primary</c:v>
                </c:pt>
                <c:pt idx="1">
                  <c:v>Secondary</c:v>
                </c:pt>
              </c:strCache>
            </c:strRef>
          </c:cat>
          <c:val>
            <c:numRef>
              <c:f>gráficos4!$B$102:$C$102</c:f>
              <c:numCache>
                <c:formatCode>0.0</c:formatCode>
                <c:ptCount val="2"/>
                <c:pt idx="0">
                  <c:v>6.3432491479061834</c:v>
                </c:pt>
                <c:pt idx="1">
                  <c:v>5.5846858444859526</c:v>
                </c:pt>
              </c:numCache>
            </c:numRef>
          </c:val>
        </c:ser>
        <c:ser>
          <c:idx val="1"/>
          <c:order val="1"/>
          <c:tx>
            <c:strRef>
              <c:f>gráficos4!$A$103</c:f>
              <c:strCache>
                <c:ptCount val="1"/>
                <c:pt idx="0">
                  <c:v>Rural</c:v>
                </c:pt>
              </c:strCache>
            </c:strRef>
          </c:tx>
          <c:cat>
            <c:strRef>
              <c:f>gráficos4!$B$101:$C$101</c:f>
              <c:strCache>
                <c:ptCount val="2"/>
                <c:pt idx="0">
                  <c:v>Primary</c:v>
                </c:pt>
                <c:pt idx="1">
                  <c:v>Secondary</c:v>
                </c:pt>
              </c:strCache>
            </c:strRef>
          </c:cat>
          <c:val>
            <c:numRef>
              <c:f>gráficos4!$B$103:$C$103</c:f>
              <c:numCache>
                <c:formatCode>0.0</c:formatCode>
                <c:ptCount val="2"/>
                <c:pt idx="0">
                  <c:v>13.349245562459206</c:v>
                </c:pt>
                <c:pt idx="1">
                  <c:v>6.7557793790683354</c:v>
                </c:pt>
              </c:numCache>
            </c:numRef>
          </c:val>
        </c:ser>
        <c:axId val="106920192"/>
        <c:axId val="106926080"/>
      </c:barChart>
      <c:catAx>
        <c:axId val="106920192"/>
        <c:scaling>
          <c:orientation val="minMax"/>
        </c:scaling>
        <c:axPos val="b"/>
        <c:tickLblPos val="nextTo"/>
        <c:txPr>
          <a:bodyPr/>
          <a:lstStyle/>
          <a:p>
            <a:pPr>
              <a:defRPr lang="en-US"/>
            </a:pPr>
            <a:endParaRPr lang="en-US"/>
          </a:p>
        </c:txPr>
        <c:crossAx val="106926080"/>
        <c:crosses val="autoZero"/>
        <c:auto val="1"/>
        <c:lblAlgn val="ctr"/>
        <c:lblOffset val="100"/>
      </c:catAx>
      <c:valAx>
        <c:axId val="106926080"/>
        <c:scaling>
          <c:orientation val="minMax"/>
        </c:scaling>
        <c:axPos val="l"/>
        <c:majorGridlines/>
        <c:numFmt formatCode="0.0" sourceLinked="1"/>
        <c:tickLblPos val="nextTo"/>
        <c:txPr>
          <a:bodyPr/>
          <a:lstStyle/>
          <a:p>
            <a:pPr>
              <a:defRPr lang="en-US"/>
            </a:pPr>
            <a:endParaRPr lang="en-US"/>
          </a:p>
        </c:txPr>
        <c:crossAx val="106920192"/>
        <c:crosses val="autoZero"/>
        <c:crossBetween val="between"/>
      </c:valAx>
    </c:plotArea>
    <c:legend>
      <c:legendPos val="b"/>
      <c:txPr>
        <a:bodyPr/>
        <a:lstStyle/>
        <a:p>
          <a:pPr>
            <a:defRPr lang="en-US"/>
          </a:pPr>
          <a:endParaRPr lang="en-US"/>
        </a:p>
      </c:txPr>
    </c:legend>
    <c:plotVisOnly val="1"/>
  </c:chart>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tx>
            <c:strRef>
              <c:f>gráficos4!$A$91</c:f>
              <c:strCache>
                <c:ptCount val="1"/>
                <c:pt idx="0">
                  <c:v>Not-poor</c:v>
                </c:pt>
              </c:strCache>
            </c:strRef>
          </c:tx>
          <c:cat>
            <c:strRef>
              <c:f>gráficos4!$B$90:$C$90</c:f>
              <c:strCache>
                <c:ptCount val="2"/>
                <c:pt idx="0">
                  <c:v>Primary</c:v>
                </c:pt>
                <c:pt idx="1">
                  <c:v>Secondary</c:v>
                </c:pt>
              </c:strCache>
            </c:strRef>
          </c:cat>
          <c:val>
            <c:numRef>
              <c:f>gráficos4!$B$91:$C$91</c:f>
              <c:numCache>
                <c:formatCode>0.0</c:formatCode>
                <c:ptCount val="2"/>
                <c:pt idx="0">
                  <c:v>6.5386528654850382</c:v>
                </c:pt>
                <c:pt idx="1">
                  <c:v>5.6326367854398534</c:v>
                </c:pt>
              </c:numCache>
            </c:numRef>
          </c:val>
        </c:ser>
        <c:ser>
          <c:idx val="1"/>
          <c:order val="1"/>
          <c:tx>
            <c:strRef>
              <c:f>gráficos4!$A$92</c:f>
              <c:strCache>
                <c:ptCount val="1"/>
                <c:pt idx="0">
                  <c:v>Poor</c:v>
                </c:pt>
              </c:strCache>
            </c:strRef>
          </c:tx>
          <c:cat>
            <c:strRef>
              <c:f>gráficos4!$B$90:$C$90</c:f>
              <c:strCache>
                <c:ptCount val="2"/>
                <c:pt idx="0">
                  <c:v>Primary</c:v>
                </c:pt>
                <c:pt idx="1">
                  <c:v>Secondary</c:v>
                </c:pt>
              </c:strCache>
            </c:strRef>
          </c:cat>
          <c:val>
            <c:numRef>
              <c:f>gráficos4!$B$92:$C$92</c:f>
              <c:numCache>
                <c:formatCode>0.0</c:formatCode>
                <c:ptCount val="2"/>
                <c:pt idx="0">
                  <c:v>12.41611337932777</c:v>
                </c:pt>
                <c:pt idx="1">
                  <c:v>6.1008195398381933</c:v>
                </c:pt>
              </c:numCache>
            </c:numRef>
          </c:val>
        </c:ser>
        <c:ser>
          <c:idx val="2"/>
          <c:order val="2"/>
          <c:tx>
            <c:strRef>
              <c:f>gráficos4!$A$93</c:f>
              <c:strCache>
                <c:ptCount val="1"/>
                <c:pt idx="0">
                  <c:v>Extreme poor</c:v>
                </c:pt>
              </c:strCache>
            </c:strRef>
          </c:tx>
          <c:cat>
            <c:strRef>
              <c:f>gráficos4!$B$90:$C$90</c:f>
              <c:strCache>
                <c:ptCount val="2"/>
                <c:pt idx="0">
                  <c:v>Primary</c:v>
                </c:pt>
                <c:pt idx="1">
                  <c:v>Secondary</c:v>
                </c:pt>
              </c:strCache>
            </c:strRef>
          </c:cat>
          <c:val>
            <c:numRef>
              <c:f>gráficos4!$B$93:$C$93</c:f>
              <c:numCache>
                <c:formatCode>0.0</c:formatCode>
                <c:ptCount val="2"/>
                <c:pt idx="0">
                  <c:v>15.784338656190448</c:v>
                </c:pt>
                <c:pt idx="1">
                  <c:v>7.4184827134196434</c:v>
                </c:pt>
              </c:numCache>
            </c:numRef>
          </c:val>
        </c:ser>
        <c:axId val="106939136"/>
        <c:axId val="106940672"/>
      </c:barChart>
      <c:catAx>
        <c:axId val="106939136"/>
        <c:scaling>
          <c:orientation val="minMax"/>
        </c:scaling>
        <c:axPos val="b"/>
        <c:tickLblPos val="nextTo"/>
        <c:txPr>
          <a:bodyPr/>
          <a:lstStyle/>
          <a:p>
            <a:pPr>
              <a:defRPr lang="en-US"/>
            </a:pPr>
            <a:endParaRPr lang="en-US"/>
          </a:p>
        </c:txPr>
        <c:crossAx val="106940672"/>
        <c:crosses val="autoZero"/>
        <c:auto val="1"/>
        <c:lblAlgn val="ctr"/>
        <c:lblOffset val="100"/>
      </c:catAx>
      <c:valAx>
        <c:axId val="106940672"/>
        <c:scaling>
          <c:orientation val="minMax"/>
        </c:scaling>
        <c:axPos val="l"/>
        <c:majorGridlines/>
        <c:numFmt formatCode="0.0" sourceLinked="1"/>
        <c:tickLblPos val="nextTo"/>
        <c:txPr>
          <a:bodyPr/>
          <a:lstStyle/>
          <a:p>
            <a:pPr>
              <a:defRPr lang="en-US"/>
            </a:pPr>
            <a:endParaRPr lang="en-US"/>
          </a:p>
        </c:txPr>
        <c:crossAx val="106939136"/>
        <c:crosses val="autoZero"/>
        <c:crossBetween val="between"/>
      </c:valAx>
    </c:plotArea>
    <c:legend>
      <c:legendPos val="r"/>
      <c:txPr>
        <a:bodyPr/>
        <a:lstStyle/>
        <a:p>
          <a:pPr>
            <a:defRPr lang="en-US"/>
          </a:pPr>
          <a:endParaRPr lang="en-US"/>
        </a:p>
      </c:txPr>
    </c:legend>
    <c:plotVisOnly val="1"/>
  </c:chart>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tx>
            <c:strRef>
              <c:f>gráficos4!$F$3</c:f>
              <c:strCache>
                <c:ptCount val="1"/>
                <c:pt idx="0">
                  <c:v>Public schools</c:v>
                </c:pt>
              </c:strCache>
            </c:strRef>
          </c:tx>
          <c:cat>
            <c:strRef>
              <c:f>gráficos4!$E$4:$E$28</c:f>
              <c:strCache>
                <c:ptCount val="25"/>
                <c:pt idx="0">
                  <c:v>Huancavelica</c:v>
                </c:pt>
                <c:pt idx="1">
                  <c:v>Cajamarca</c:v>
                </c:pt>
                <c:pt idx="2">
                  <c:v>Huánuco</c:v>
                </c:pt>
                <c:pt idx="3">
                  <c:v>Amazonas</c:v>
                </c:pt>
                <c:pt idx="4">
                  <c:v>Apurímac</c:v>
                </c:pt>
                <c:pt idx="5">
                  <c:v>Puno</c:v>
                </c:pt>
                <c:pt idx="6">
                  <c:v>Cusco</c:v>
                </c:pt>
                <c:pt idx="7">
                  <c:v>Ayacucho</c:v>
                </c:pt>
                <c:pt idx="8">
                  <c:v>Pasco</c:v>
                </c:pt>
                <c:pt idx="9">
                  <c:v>Ancash</c:v>
                </c:pt>
                <c:pt idx="10">
                  <c:v>San Martín</c:v>
                </c:pt>
                <c:pt idx="11">
                  <c:v>Loreto</c:v>
                </c:pt>
                <c:pt idx="12">
                  <c:v>Junín</c:v>
                </c:pt>
                <c:pt idx="13">
                  <c:v>Madre de Dios</c:v>
                </c:pt>
                <c:pt idx="14">
                  <c:v>Piura</c:v>
                </c:pt>
                <c:pt idx="15">
                  <c:v>Ucayali</c:v>
                </c:pt>
                <c:pt idx="16">
                  <c:v>La Libertad</c:v>
                </c:pt>
                <c:pt idx="17">
                  <c:v>Lambayeque</c:v>
                </c:pt>
                <c:pt idx="18">
                  <c:v>Moquegua</c:v>
                </c:pt>
                <c:pt idx="19">
                  <c:v>Ica</c:v>
                </c:pt>
                <c:pt idx="20">
                  <c:v>Arequipa</c:v>
                </c:pt>
                <c:pt idx="21">
                  <c:v>Tumbes</c:v>
                </c:pt>
                <c:pt idx="22">
                  <c:v>Tacna</c:v>
                </c:pt>
                <c:pt idx="23">
                  <c:v>Lima</c:v>
                </c:pt>
                <c:pt idx="24">
                  <c:v>Callao</c:v>
                </c:pt>
              </c:strCache>
            </c:strRef>
          </c:cat>
          <c:val>
            <c:numRef>
              <c:f>gráficos4!$F$4:$F$28</c:f>
              <c:numCache>
                <c:formatCode>General</c:formatCode>
                <c:ptCount val="25"/>
                <c:pt idx="0">
                  <c:v>12.116448827544676</c:v>
                </c:pt>
                <c:pt idx="1">
                  <c:v>11.980761177585064</c:v>
                </c:pt>
                <c:pt idx="2">
                  <c:v>14.890230672604774</c:v>
                </c:pt>
                <c:pt idx="3">
                  <c:v>12.462820940313438</c:v>
                </c:pt>
                <c:pt idx="4">
                  <c:v>11.181947611787979</c:v>
                </c:pt>
                <c:pt idx="5">
                  <c:v>6.6163022819369575</c:v>
                </c:pt>
                <c:pt idx="6">
                  <c:v>10.370441264828127</c:v>
                </c:pt>
                <c:pt idx="7">
                  <c:v>12.972522897585481</c:v>
                </c:pt>
                <c:pt idx="8">
                  <c:v>7.6104725083681455</c:v>
                </c:pt>
                <c:pt idx="9">
                  <c:v>12.737314690470432</c:v>
                </c:pt>
                <c:pt idx="10">
                  <c:v>9.4198150375316221</c:v>
                </c:pt>
                <c:pt idx="11">
                  <c:v>12.237057493791731</c:v>
                </c:pt>
                <c:pt idx="12">
                  <c:v>7.5048092142109235</c:v>
                </c:pt>
                <c:pt idx="13">
                  <c:v>6.1023753763800084</c:v>
                </c:pt>
                <c:pt idx="14">
                  <c:v>10.06541088995341</c:v>
                </c:pt>
                <c:pt idx="15">
                  <c:v>9.724552062820603</c:v>
                </c:pt>
                <c:pt idx="16">
                  <c:v>9.9373468878036348</c:v>
                </c:pt>
                <c:pt idx="17">
                  <c:v>8.8990099649530823</c:v>
                </c:pt>
                <c:pt idx="18">
                  <c:v>4.496630862632597</c:v>
                </c:pt>
                <c:pt idx="19">
                  <c:v>7.5811663115714021</c:v>
                </c:pt>
                <c:pt idx="20">
                  <c:v>4.3530808244307755</c:v>
                </c:pt>
                <c:pt idx="21">
                  <c:v>2.9858051884483587</c:v>
                </c:pt>
                <c:pt idx="22">
                  <c:v>3.8782885788676018</c:v>
                </c:pt>
                <c:pt idx="23">
                  <c:v>4.9559218554301294</c:v>
                </c:pt>
                <c:pt idx="24">
                  <c:v>4.4010144711323314</c:v>
                </c:pt>
              </c:numCache>
            </c:numRef>
          </c:val>
        </c:ser>
        <c:ser>
          <c:idx val="1"/>
          <c:order val="1"/>
          <c:tx>
            <c:strRef>
              <c:f>gráficos4!$G$3</c:f>
              <c:strCache>
                <c:ptCount val="1"/>
                <c:pt idx="0">
                  <c:v>Private schools</c:v>
                </c:pt>
              </c:strCache>
            </c:strRef>
          </c:tx>
          <c:cat>
            <c:strRef>
              <c:f>gráficos4!$E$4:$E$28</c:f>
              <c:strCache>
                <c:ptCount val="25"/>
                <c:pt idx="0">
                  <c:v>Huancavelica</c:v>
                </c:pt>
                <c:pt idx="1">
                  <c:v>Cajamarca</c:v>
                </c:pt>
                <c:pt idx="2">
                  <c:v>Huánuco</c:v>
                </c:pt>
                <c:pt idx="3">
                  <c:v>Amazonas</c:v>
                </c:pt>
                <c:pt idx="4">
                  <c:v>Apurímac</c:v>
                </c:pt>
                <c:pt idx="5">
                  <c:v>Puno</c:v>
                </c:pt>
                <c:pt idx="6">
                  <c:v>Cusco</c:v>
                </c:pt>
                <c:pt idx="7">
                  <c:v>Ayacucho</c:v>
                </c:pt>
                <c:pt idx="8">
                  <c:v>Pasco</c:v>
                </c:pt>
                <c:pt idx="9">
                  <c:v>Ancash</c:v>
                </c:pt>
                <c:pt idx="10">
                  <c:v>San Martín</c:v>
                </c:pt>
                <c:pt idx="11">
                  <c:v>Loreto</c:v>
                </c:pt>
                <c:pt idx="12">
                  <c:v>Junín</c:v>
                </c:pt>
                <c:pt idx="13">
                  <c:v>Madre de Dios</c:v>
                </c:pt>
                <c:pt idx="14">
                  <c:v>Piura</c:v>
                </c:pt>
                <c:pt idx="15">
                  <c:v>Ucayali</c:v>
                </c:pt>
                <c:pt idx="16">
                  <c:v>La Libertad</c:v>
                </c:pt>
                <c:pt idx="17">
                  <c:v>Lambayeque</c:v>
                </c:pt>
                <c:pt idx="18">
                  <c:v>Moquegua</c:v>
                </c:pt>
                <c:pt idx="19">
                  <c:v>Ica</c:v>
                </c:pt>
                <c:pt idx="20">
                  <c:v>Arequipa</c:v>
                </c:pt>
                <c:pt idx="21">
                  <c:v>Tumbes</c:v>
                </c:pt>
                <c:pt idx="22">
                  <c:v>Tacna</c:v>
                </c:pt>
                <c:pt idx="23">
                  <c:v>Lima</c:v>
                </c:pt>
                <c:pt idx="24">
                  <c:v>Callao</c:v>
                </c:pt>
              </c:strCache>
            </c:strRef>
          </c:cat>
          <c:val>
            <c:numRef>
              <c:f>gráficos4!$G$4:$G$28</c:f>
              <c:numCache>
                <c:formatCode>General</c:formatCode>
                <c:ptCount val="25"/>
                <c:pt idx="0">
                  <c:v>2.1156558533145167</c:v>
                </c:pt>
                <c:pt idx="1">
                  <c:v>6.5149700598801896</c:v>
                </c:pt>
                <c:pt idx="2">
                  <c:v>5.3404405109121997</c:v>
                </c:pt>
                <c:pt idx="3">
                  <c:v>8.4210526315789505</c:v>
                </c:pt>
                <c:pt idx="4">
                  <c:v>0.33039647577093023</c:v>
                </c:pt>
                <c:pt idx="5">
                  <c:v>1.0557963921129676</c:v>
                </c:pt>
                <c:pt idx="6">
                  <c:v>1.7704948909921248</c:v>
                </c:pt>
                <c:pt idx="7">
                  <c:v>2.4935277285734019</c:v>
                </c:pt>
                <c:pt idx="8">
                  <c:v>1.2001548586914439</c:v>
                </c:pt>
                <c:pt idx="9">
                  <c:v>3.6954325517094695</c:v>
                </c:pt>
                <c:pt idx="10">
                  <c:v>4.8056832427914751</c:v>
                </c:pt>
                <c:pt idx="11">
                  <c:v>5.4005934718100894</c:v>
                </c:pt>
                <c:pt idx="12">
                  <c:v>1.2958686168847742</c:v>
                </c:pt>
                <c:pt idx="13">
                  <c:v>2.0019065776930409</c:v>
                </c:pt>
                <c:pt idx="14">
                  <c:v>1.6568928604672821</c:v>
                </c:pt>
                <c:pt idx="15">
                  <c:v>0.3975014196479299</c:v>
                </c:pt>
                <c:pt idx="16">
                  <c:v>1.4872643723595935</c:v>
                </c:pt>
                <c:pt idx="17">
                  <c:v>5.8796418224914424</c:v>
                </c:pt>
                <c:pt idx="18">
                  <c:v>0.29985007496252214</c:v>
                </c:pt>
                <c:pt idx="19">
                  <c:v>5.2890047805302114</c:v>
                </c:pt>
                <c:pt idx="20">
                  <c:v>0.40683108465304435</c:v>
                </c:pt>
                <c:pt idx="21">
                  <c:v>0.57740887766150084</c:v>
                </c:pt>
                <c:pt idx="22">
                  <c:v>1.1106175033318704</c:v>
                </c:pt>
                <c:pt idx="23">
                  <c:v>1.0616440437909158</c:v>
                </c:pt>
                <c:pt idx="24">
                  <c:v>0.67259902979078512</c:v>
                </c:pt>
              </c:numCache>
            </c:numRef>
          </c:val>
        </c:ser>
        <c:axId val="107186432"/>
        <c:axId val="107200512"/>
      </c:barChart>
      <c:catAx>
        <c:axId val="107186432"/>
        <c:scaling>
          <c:orientation val="minMax"/>
        </c:scaling>
        <c:axPos val="b"/>
        <c:numFmt formatCode="General" sourceLinked="1"/>
        <c:tickLblPos val="nextTo"/>
        <c:txPr>
          <a:bodyPr/>
          <a:lstStyle/>
          <a:p>
            <a:pPr>
              <a:defRPr lang="en-US"/>
            </a:pPr>
            <a:endParaRPr lang="en-US"/>
          </a:p>
        </c:txPr>
        <c:crossAx val="107200512"/>
        <c:crosses val="autoZero"/>
        <c:auto val="1"/>
        <c:lblAlgn val="ctr"/>
        <c:lblOffset val="100"/>
      </c:catAx>
      <c:valAx>
        <c:axId val="107200512"/>
        <c:scaling>
          <c:orientation val="minMax"/>
        </c:scaling>
        <c:axPos val="l"/>
        <c:majorGridlines/>
        <c:numFmt formatCode="General" sourceLinked="1"/>
        <c:tickLblPos val="nextTo"/>
        <c:txPr>
          <a:bodyPr/>
          <a:lstStyle/>
          <a:p>
            <a:pPr>
              <a:defRPr lang="en-US"/>
            </a:pPr>
            <a:endParaRPr lang="en-US"/>
          </a:p>
        </c:txPr>
        <c:crossAx val="107186432"/>
        <c:crosses val="autoZero"/>
        <c:crossBetween val="between"/>
      </c:valAx>
    </c:plotArea>
    <c:legend>
      <c:legendPos val="r"/>
      <c:txPr>
        <a:bodyPr/>
        <a:lstStyle/>
        <a:p>
          <a:pPr>
            <a:defRPr lang="en-US"/>
          </a:pPr>
          <a:endParaRPr lang="en-US"/>
        </a:p>
      </c:txPr>
    </c:legend>
    <c:plotVisOnly val="1"/>
    <c:dispBlanksAs val="gap"/>
  </c:chart>
  <c:externalData r:id="rId1"/>
</c:chartSpace>
</file>

<file path=word/charts/chart19.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tx>
            <c:strRef>
              <c:f>gráficos4!$F$32</c:f>
              <c:strCache>
                <c:ptCount val="1"/>
                <c:pt idx="0">
                  <c:v>Public schools</c:v>
                </c:pt>
              </c:strCache>
            </c:strRef>
          </c:tx>
          <c:cat>
            <c:strRef>
              <c:f>gráficos4!$E$33:$E$57</c:f>
              <c:strCache>
                <c:ptCount val="25"/>
                <c:pt idx="0">
                  <c:v>Huancavelica</c:v>
                </c:pt>
                <c:pt idx="1">
                  <c:v>Cajamarca</c:v>
                </c:pt>
                <c:pt idx="2">
                  <c:v>Huánuco</c:v>
                </c:pt>
                <c:pt idx="3">
                  <c:v>Amazonas</c:v>
                </c:pt>
                <c:pt idx="4">
                  <c:v>Apurímac</c:v>
                </c:pt>
                <c:pt idx="5">
                  <c:v>Puno</c:v>
                </c:pt>
                <c:pt idx="6">
                  <c:v>Cusco</c:v>
                </c:pt>
                <c:pt idx="7">
                  <c:v>Ayacucho</c:v>
                </c:pt>
                <c:pt idx="8">
                  <c:v>Pasco</c:v>
                </c:pt>
                <c:pt idx="9">
                  <c:v>Ancash</c:v>
                </c:pt>
                <c:pt idx="10">
                  <c:v>San Martín</c:v>
                </c:pt>
                <c:pt idx="11">
                  <c:v>Loreto</c:v>
                </c:pt>
                <c:pt idx="12">
                  <c:v>Junín</c:v>
                </c:pt>
                <c:pt idx="13">
                  <c:v>Madre de Dios</c:v>
                </c:pt>
                <c:pt idx="14">
                  <c:v>Piura</c:v>
                </c:pt>
                <c:pt idx="15">
                  <c:v>Ucayali</c:v>
                </c:pt>
                <c:pt idx="16">
                  <c:v>La Libertad</c:v>
                </c:pt>
                <c:pt idx="17">
                  <c:v>Lambayeque</c:v>
                </c:pt>
                <c:pt idx="18">
                  <c:v>Moquegua</c:v>
                </c:pt>
                <c:pt idx="19">
                  <c:v>Ica</c:v>
                </c:pt>
                <c:pt idx="20">
                  <c:v>Arequipa</c:v>
                </c:pt>
                <c:pt idx="21">
                  <c:v>Tumbes</c:v>
                </c:pt>
                <c:pt idx="22">
                  <c:v>Tacna</c:v>
                </c:pt>
                <c:pt idx="23">
                  <c:v>Lima</c:v>
                </c:pt>
                <c:pt idx="24">
                  <c:v>Callao</c:v>
                </c:pt>
              </c:strCache>
            </c:strRef>
          </c:cat>
          <c:val>
            <c:numRef>
              <c:f>gráficos4!$F$33:$F$57</c:f>
              <c:numCache>
                <c:formatCode>General</c:formatCode>
                <c:ptCount val="25"/>
                <c:pt idx="0">
                  <c:v>9.6441769612499986</c:v>
                </c:pt>
                <c:pt idx="1">
                  <c:v>5.8045480449289455</c:v>
                </c:pt>
                <c:pt idx="2">
                  <c:v>7.0062107675445882</c:v>
                </c:pt>
                <c:pt idx="3">
                  <c:v>5.2684490816215934</c:v>
                </c:pt>
                <c:pt idx="4">
                  <c:v>5.9260180807829483</c:v>
                </c:pt>
                <c:pt idx="5">
                  <c:v>6.300184773630968</c:v>
                </c:pt>
                <c:pt idx="6">
                  <c:v>4.8341666423009055</c:v>
                </c:pt>
                <c:pt idx="7">
                  <c:v>7.2832488700178084</c:v>
                </c:pt>
                <c:pt idx="8">
                  <c:v>6.1877639583091169</c:v>
                </c:pt>
                <c:pt idx="9">
                  <c:v>8.6872163637559474</c:v>
                </c:pt>
                <c:pt idx="10">
                  <c:v>4.5703447642937984</c:v>
                </c:pt>
                <c:pt idx="11">
                  <c:v>5.8640393103189048</c:v>
                </c:pt>
                <c:pt idx="12">
                  <c:v>4.7094843644722761</c:v>
                </c:pt>
                <c:pt idx="13">
                  <c:v>5.4815573770491799</c:v>
                </c:pt>
                <c:pt idx="14">
                  <c:v>4.1607920792078845</c:v>
                </c:pt>
                <c:pt idx="15">
                  <c:v>5.9533441208198514</c:v>
                </c:pt>
                <c:pt idx="16">
                  <c:v>5.5602201697919575</c:v>
                </c:pt>
                <c:pt idx="17">
                  <c:v>4.6828674961356214</c:v>
                </c:pt>
                <c:pt idx="18">
                  <c:v>6.7711864406779663</c:v>
                </c:pt>
                <c:pt idx="19">
                  <c:v>4.8760299484555478</c:v>
                </c:pt>
                <c:pt idx="20">
                  <c:v>3.5779021199464105</c:v>
                </c:pt>
                <c:pt idx="21">
                  <c:v>1.3249907986750078</c:v>
                </c:pt>
                <c:pt idx="22">
                  <c:v>4.0737893927748496</c:v>
                </c:pt>
                <c:pt idx="23">
                  <c:v>6.5211227002273189</c:v>
                </c:pt>
                <c:pt idx="24">
                  <c:v>4.8023528045972546</c:v>
                </c:pt>
              </c:numCache>
            </c:numRef>
          </c:val>
        </c:ser>
        <c:ser>
          <c:idx val="1"/>
          <c:order val="1"/>
          <c:tx>
            <c:strRef>
              <c:f>gráficos4!$G$32</c:f>
              <c:strCache>
                <c:ptCount val="1"/>
                <c:pt idx="0">
                  <c:v>Private schools</c:v>
                </c:pt>
              </c:strCache>
            </c:strRef>
          </c:tx>
          <c:cat>
            <c:strRef>
              <c:f>gráficos4!$E$33:$E$57</c:f>
              <c:strCache>
                <c:ptCount val="25"/>
                <c:pt idx="0">
                  <c:v>Huancavelica</c:v>
                </c:pt>
                <c:pt idx="1">
                  <c:v>Cajamarca</c:v>
                </c:pt>
                <c:pt idx="2">
                  <c:v>Huánuco</c:v>
                </c:pt>
                <c:pt idx="3">
                  <c:v>Amazonas</c:v>
                </c:pt>
                <c:pt idx="4">
                  <c:v>Apurímac</c:v>
                </c:pt>
                <c:pt idx="5">
                  <c:v>Puno</c:v>
                </c:pt>
                <c:pt idx="6">
                  <c:v>Cusco</c:v>
                </c:pt>
                <c:pt idx="7">
                  <c:v>Ayacucho</c:v>
                </c:pt>
                <c:pt idx="8">
                  <c:v>Pasco</c:v>
                </c:pt>
                <c:pt idx="9">
                  <c:v>Ancash</c:v>
                </c:pt>
                <c:pt idx="10">
                  <c:v>San Martín</c:v>
                </c:pt>
                <c:pt idx="11">
                  <c:v>Loreto</c:v>
                </c:pt>
                <c:pt idx="12">
                  <c:v>Junín</c:v>
                </c:pt>
                <c:pt idx="13">
                  <c:v>Madre de Dios</c:v>
                </c:pt>
                <c:pt idx="14">
                  <c:v>Piura</c:v>
                </c:pt>
                <c:pt idx="15">
                  <c:v>Ucayali</c:v>
                </c:pt>
                <c:pt idx="16">
                  <c:v>La Libertad</c:v>
                </c:pt>
                <c:pt idx="17">
                  <c:v>Lambayeque</c:v>
                </c:pt>
                <c:pt idx="18">
                  <c:v>Moquegua</c:v>
                </c:pt>
                <c:pt idx="19">
                  <c:v>Ica</c:v>
                </c:pt>
                <c:pt idx="20">
                  <c:v>Arequipa</c:v>
                </c:pt>
                <c:pt idx="21">
                  <c:v>Tumbes</c:v>
                </c:pt>
                <c:pt idx="22">
                  <c:v>Tacna</c:v>
                </c:pt>
                <c:pt idx="23">
                  <c:v>Lima</c:v>
                </c:pt>
                <c:pt idx="24">
                  <c:v>Callao</c:v>
                </c:pt>
              </c:strCache>
            </c:strRef>
          </c:cat>
          <c:val>
            <c:numRef>
              <c:f>gráficos4!$G$33:$G$57</c:f>
              <c:numCache>
                <c:formatCode>General</c:formatCode>
                <c:ptCount val="25"/>
                <c:pt idx="0">
                  <c:v>3.8614848031888367</c:v>
                </c:pt>
                <c:pt idx="1">
                  <c:v>4.9260601312310524</c:v>
                </c:pt>
                <c:pt idx="2">
                  <c:v>6.0884611225262324</c:v>
                </c:pt>
                <c:pt idx="3">
                  <c:v>3.0195381882770871</c:v>
                </c:pt>
                <c:pt idx="4">
                  <c:v>2.1739130434782608</c:v>
                </c:pt>
                <c:pt idx="5">
                  <c:v>2.0154403224704507</c:v>
                </c:pt>
                <c:pt idx="6">
                  <c:v>1.7030433446049758</c:v>
                </c:pt>
                <c:pt idx="7">
                  <c:v>6.0185185185184524</c:v>
                </c:pt>
                <c:pt idx="8">
                  <c:v>1.4701878573373264</c:v>
                </c:pt>
                <c:pt idx="9">
                  <c:v>3.9627434377645967</c:v>
                </c:pt>
                <c:pt idx="10">
                  <c:v>2.2715266772319302</c:v>
                </c:pt>
                <c:pt idx="11">
                  <c:v>3.8410944488292555</c:v>
                </c:pt>
                <c:pt idx="12">
                  <c:v>1.2766956113588359</c:v>
                </c:pt>
                <c:pt idx="13">
                  <c:v>1.9305019305019397</c:v>
                </c:pt>
                <c:pt idx="14">
                  <c:v>1.9207571680430726</c:v>
                </c:pt>
                <c:pt idx="15">
                  <c:v>1.194921583271098</c:v>
                </c:pt>
                <c:pt idx="16">
                  <c:v>1.2785667802319796</c:v>
                </c:pt>
                <c:pt idx="17">
                  <c:v>2.5013774104683195</c:v>
                </c:pt>
                <c:pt idx="18">
                  <c:v>1.1634671320535201</c:v>
                </c:pt>
                <c:pt idx="19">
                  <c:v>4.6958603210363279</c:v>
                </c:pt>
                <c:pt idx="20">
                  <c:v>0.40242754681465953</c:v>
                </c:pt>
                <c:pt idx="21">
                  <c:v>5.2521008403361352E-2</c:v>
                </c:pt>
                <c:pt idx="22">
                  <c:v>0.98483356312782688</c:v>
                </c:pt>
                <c:pt idx="23">
                  <c:v>0.89909395786626156</c:v>
                </c:pt>
                <c:pt idx="24">
                  <c:v>0.58134039134133142</c:v>
                </c:pt>
              </c:numCache>
            </c:numRef>
          </c:val>
        </c:ser>
        <c:axId val="107208704"/>
        <c:axId val="107210240"/>
      </c:barChart>
      <c:catAx>
        <c:axId val="107208704"/>
        <c:scaling>
          <c:orientation val="minMax"/>
        </c:scaling>
        <c:axPos val="b"/>
        <c:tickLblPos val="nextTo"/>
        <c:txPr>
          <a:bodyPr/>
          <a:lstStyle/>
          <a:p>
            <a:pPr>
              <a:defRPr lang="en-US"/>
            </a:pPr>
            <a:endParaRPr lang="en-US"/>
          </a:p>
        </c:txPr>
        <c:crossAx val="107210240"/>
        <c:crosses val="autoZero"/>
        <c:auto val="1"/>
        <c:lblAlgn val="ctr"/>
        <c:lblOffset val="100"/>
      </c:catAx>
      <c:valAx>
        <c:axId val="107210240"/>
        <c:scaling>
          <c:orientation val="minMax"/>
        </c:scaling>
        <c:axPos val="l"/>
        <c:majorGridlines/>
        <c:numFmt formatCode="General" sourceLinked="1"/>
        <c:tickLblPos val="nextTo"/>
        <c:txPr>
          <a:bodyPr/>
          <a:lstStyle/>
          <a:p>
            <a:pPr>
              <a:defRPr lang="en-US"/>
            </a:pPr>
            <a:endParaRPr lang="en-US"/>
          </a:p>
        </c:txPr>
        <c:crossAx val="107208704"/>
        <c:crosses val="autoZero"/>
        <c:crossBetween val="between"/>
      </c:valAx>
    </c:plotArea>
    <c:legend>
      <c:legendPos val="r"/>
      <c:txPr>
        <a:bodyPr/>
        <a:lstStyle/>
        <a:p>
          <a:pPr>
            <a:defRPr lang="en-US"/>
          </a:pPr>
          <a:endParaRPr lang="en-US"/>
        </a:p>
      </c:txP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style val="38"/>
  <c:chart>
    <c:autoTitleDeleted val="1"/>
    <c:plotArea>
      <c:layout>
        <c:manualLayout>
          <c:layoutTarget val="inner"/>
          <c:xMode val="edge"/>
          <c:yMode val="edge"/>
          <c:x val="0.10067136087668316"/>
          <c:y val="0.14919354838709944"/>
          <c:w val="0.87248512759789165"/>
          <c:h val="0.70967741935486772"/>
        </c:manualLayout>
      </c:layout>
      <c:barChart>
        <c:barDir val="col"/>
        <c:grouping val="clustered"/>
        <c:ser>
          <c:idx val="0"/>
          <c:order val="0"/>
          <c:tx>
            <c:strRef>
              <c:f>'graf 3.12'!$D$6</c:f>
              <c:strCache>
                <c:ptCount val="1"/>
                <c:pt idx="0">
                  <c:v>% PBI</c:v>
                </c:pt>
              </c:strCache>
            </c:strRef>
          </c:tx>
          <c:dPt>
            <c:idx val="1"/>
            <c:spPr>
              <a:solidFill>
                <a:srgbClr val="FF0000"/>
              </a:solidFill>
            </c:spPr>
          </c:dPt>
          <c:dLbls>
            <c:txPr>
              <a:bodyPr/>
              <a:lstStyle/>
              <a:p>
                <a:pPr>
                  <a:defRPr lang="en-US"/>
                </a:pPr>
                <a:endParaRPr lang="en-US"/>
              </a:p>
            </c:txPr>
            <c:showVal val="1"/>
          </c:dLbls>
          <c:cat>
            <c:strRef>
              <c:f>'graf 3.12'!$C$7:$C$16</c:f>
              <c:strCache>
                <c:ptCount val="10"/>
                <c:pt idx="0">
                  <c:v>Ecu</c:v>
                </c:pt>
                <c:pt idx="1">
                  <c:v>Per</c:v>
                </c:pt>
                <c:pt idx="2">
                  <c:v>Uru</c:v>
                </c:pt>
                <c:pt idx="3">
                  <c:v>Chi</c:v>
                </c:pt>
                <c:pt idx="4">
                  <c:v>Arg</c:v>
                </c:pt>
                <c:pt idx="5">
                  <c:v>Par</c:v>
                </c:pt>
                <c:pt idx="6">
                  <c:v>Bra</c:v>
                </c:pt>
                <c:pt idx="7">
                  <c:v>Col</c:v>
                </c:pt>
                <c:pt idx="8">
                  <c:v>Mex</c:v>
                </c:pt>
                <c:pt idx="9">
                  <c:v>Bol</c:v>
                </c:pt>
              </c:strCache>
            </c:strRef>
          </c:cat>
          <c:val>
            <c:numRef>
              <c:f>'graf 3.12'!$D$7:$D$16</c:f>
              <c:numCache>
                <c:formatCode>0.0</c:formatCode>
                <c:ptCount val="10"/>
                <c:pt idx="0">
                  <c:v>1</c:v>
                </c:pt>
                <c:pt idx="1">
                  <c:v>2.4</c:v>
                </c:pt>
                <c:pt idx="2">
                  <c:v>2.6</c:v>
                </c:pt>
                <c:pt idx="3">
                  <c:v>3.5</c:v>
                </c:pt>
                <c:pt idx="4">
                  <c:v>3.8</c:v>
                </c:pt>
                <c:pt idx="5">
                  <c:v>4.3</c:v>
                </c:pt>
                <c:pt idx="6">
                  <c:v>4.4000000000000004</c:v>
                </c:pt>
                <c:pt idx="7">
                  <c:v>4.8</c:v>
                </c:pt>
                <c:pt idx="8">
                  <c:v>5.4</c:v>
                </c:pt>
                <c:pt idx="9">
                  <c:v>6.4</c:v>
                </c:pt>
              </c:numCache>
            </c:numRef>
          </c:val>
        </c:ser>
        <c:axId val="94095616"/>
        <c:axId val="100289536"/>
      </c:barChart>
      <c:catAx>
        <c:axId val="94095616"/>
        <c:scaling>
          <c:orientation val="minMax"/>
        </c:scaling>
        <c:axPos val="b"/>
        <c:numFmt formatCode="General" sourceLinked="1"/>
        <c:tickLblPos val="nextTo"/>
        <c:txPr>
          <a:bodyPr rot="0" vert="horz"/>
          <a:lstStyle/>
          <a:p>
            <a:pPr>
              <a:defRPr lang="en-US"/>
            </a:pPr>
            <a:endParaRPr lang="en-US"/>
          </a:p>
        </c:txPr>
        <c:crossAx val="100289536"/>
        <c:crosses val="autoZero"/>
        <c:auto val="1"/>
        <c:lblAlgn val="ctr"/>
        <c:lblOffset val="100"/>
        <c:tickLblSkip val="1"/>
        <c:tickMarkSkip val="1"/>
      </c:catAx>
      <c:valAx>
        <c:axId val="100289536"/>
        <c:scaling>
          <c:orientation val="minMax"/>
        </c:scaling>
        <c:axPos val="l"/>
        <c:majorGridlines/>
        <c:numFmt formatCode="0.0" sourceLinked="1"/>
        <c:tickLblPos val="nextTo"/>
        <c:txPr>
          <a:bodyPr rot="0" vert="horz"/>
          <a:lstStyle/>
          <a:p>
            <a:pPr>
              <a:defRPr lang="en-US"/>
            </a:pPr>
            <a:endParaRPr lang="en-US"/>
          </a:p>
        </c:txPr>
        <c:crossAx val="94095616"/>
        <c:crosses val="autoZero"/>
        <c:crossBetween val="between"/>
      </c:valAx>
    </c:plotArea>
    <c:plotVisOnly val="1"/>
    <c:dispBlanksAs val="gap"/>
  </c:chart>
  <c:externalData r:id="rId1"/>
  <c:userShapes r:id="rId2"/>
</c:chartSpace>
</file>

<file path=word/charts/chart20.xml><?xml version="1.0" encoding="utf-8"?>
<c:chartSpace xmlns:c="http://schemas.openxmlformats.org/drawingml/2006/chart" xmlns:a="http://schemas.openxmlformats.org/drawingml/2006/main" xmlns:r="http://schemas.openxmlformats.org/officeDocument/2006/relationships">
  <c:date1904 val="1"/>
  <c:lang val="en-US"/>
  <c:style val="34"/>
  <c:chart>
    <c:plotArea>
      <c:layout/>
      <c:barChart>
        <c:barDir val="col"/>
        <c:grouping val="clustered"/>
        <c:ser>
          <c:idx val="0"/>
          <c:order val="0"/>
          <c:tx>
            <c:strRef>
              <c:f>gráficos2!$B$54</c:f>
              <c:strCache>
                <c:ptCount val="1"/>
                <c:pt idx="0">
                  <c:v>Urban</c:v>
                </c:pt>
              </c:strCache>
            </c:strRef>
          </c:tx>
          <c:cat>
            <c:multiLvlStrRef>
              <c:f>gráficos2!$C$52:$F$53</c:f>
              <c:multiLvlStrCache>
                <c:ptCount val="4"/>
                <c:lvl>
                  <c:pt idx="0">
                    <c:v>12-14 years old</c:v>
                  </c:pt>
                  <c:pt idx="1">
                    <c:v>15-19 years old</c:v>
                  </c:pt>
                  <c:pt idx="2">
                    <c:v>17-19 years old</c:v>
                  </c:pt>
                  <c:pt idx="3">
                    <c:v>20-24 years old</c:v>
                  </c:pt>
                </c:lvl>
                <c:lvl>
                  <c:pt idx="0">
                    <c:v>Primary</c:v>
                  </c:pt>
                  <c:pt idx="2">
                    <c:v>Secondary</c:v>
                  </c:pt>
                </c:lvl>
              </c:multiLvlStrCache>
            </c:multiLvlStrRef>
          </c:cat>
          <c:val>
            <c:numRef>
              <c:f>gráficos2!$C$54:$F$54</c:f>
              <c:numCache>
                <c:formatCode>General</c:formatCode>
                <c:ptCount val="4"/>
                <c:pt idx="0">
                  <c:v>86.2</c:v>
                </c:pt>
                <c:pt idx="1">
                  <c:v>96.7</c:v>
                </c:pt>
                <c:pt idx="2">
                  <c:v>72</c:v>
                </c:pt>
                <c:pt idx="3">
                  <c:v>81.3</c:v>
                </c:pt>
              </c:numCache>
            </c:numRef>
          </c:val>
        </c:ser>
        <c:ser>
          <c:idx val="1"/>
          <c:order val="1"/>
          <c:tx>
            <c:strRef>
              <c:f>gráficos2!$B$55</c:f>
              <c:strCache>
                <c:ptCount val="1"/>
                <c:pt idx="0">
                  <c:v>Rural</c:v>
                </c:pt>
              </c:strCache>
            </c:strRef>
          </c:tx>
          <c:cat>
            <c:multiLvlStrRef>
              <c:f>gráficos2!$C$52:$F$53</c:f>
              <c:multiLvlStrCache>
                <c:ptCount val="4"/>
                <c:lvl>
                  <c:pt idx="0">
                    <c:v>12-14 years old</c:v>
                  </c:pt>
                  <c:pt idx="1">
                    <c:v>15-19 years old</c:v>
                  </c:pt>
                  <c:pt idx="2">
                    <c:v>17-19 years old</c:v>
                  </c:pt>
                  <c:pt idx="3">
                    <c:v>20-24 years old</c:v>
                  </c:pt>
                </c:lvl>
                <c:lvl>
                  <c:pt idx="0">
                    <c:v>Primary</c:v>
                  </c:pt>
                  <c:pt idx="2">
                    <c:v>Secondary</c:v>
                  </c:pt>
                </c:lvl>
              </c:multiLvlStrCache>
            </c:multiLvlStrRef>
          </c:cat>
          <c:val>
            <c:numRef>
              <c:f>gráficos2!$C$55:$F$55</c:f>
              <c:numCache>
                <c:formatCode>General</c:formatCode>
                <c:ptCount val="4"/>
                <c:pt idx="0">
                  <c:v>65.7</c:v>
                </c:pt>
                <c:pt idx="1">
                  <c:v>88.6</c:v>
                </c:pt>
                <c:pt idx="2">
                  <c:v>36</c:v>
                </c:pt>
                <c:pt idx="3">
                  <c:v>45.52</c:v>
                </c:pt>
              </c:numCache>
            </c:numRef>
          </c:val>
        </c:ser>
        <c:axId val="107238912"/>
        <c:axId val="107240448"/>
      </c:barChart>
      <c:catAx>
        <c:axId val="107238912"/>
        <c:scaling>
          <c:orientation val="minMax"/>
        </c:scaling>
        <c:axPos val="b"/>
        <c:tickLblPos val="nextTo"/>
        <c:txPr>
          <a:bodyPr/>
          <a:lstStyle/>
          <a:p>
            <a:pPr>
              <a:defRPr lang="en-US"/>
            </a:pPr>
            <a:endParaRPr lang="en-US"/>
          </a:p>
        </c:txPr>
        <c:crossAx val="107240448"/>
        <c:crosses val="autoZero"/>
        <c:auto val="1"/>
        <c:lblAlgn val="ctr"/>
        <c:lblOffset val="100"/>
      </c:catAx>
      <c:valAx>
        <c:axId val="107240448"/>
        <c:scaling>
          <c:orientation val="minMax"/>
        </c:scaling>
        <c:axPos val="l"/>
        <c:majorGridlines/>
        <c:numFmt formatCode="General" sourceLinked="1"/>
        <c:tickLblPos val="nextTo"/>
        <c:txPr>
          <a:bodyPr/>
          <a:lstStyle/>
          <a:p>
            <a:pPr>
              <a:defRPr lang="en-US"/>
            </a:pPr>
            <a:endParaRPr lang="en-US"/>
          </a:p>
        </c:txPr>
        <c:crossAx val="107238912"/>
        <c:crosses val="autoZero"/>
        <c:crossBetween val="between"/>
      </c:valAx>
    </c:plotArea>
    <c:legend>
      <c:legendPos val="b"/>
      <c:txPr>
        <a:bodyPr/>
        <a:lstStyle/>
        <a:p>
          <a:pPr>
            <a:defRPr lang="en-US" sz="800"/>
          </a:pPr>
          <a:endParaRPr lang="en-US"/>
        </a:p>
      </c:txPr>
    </c:legend>
    <c:plotVisOnly val="1"/>
  </c:chart>
  <c:externalData r:id="rId1"/>
</c:chartSpace>
</file>

<file path=word/charts/chart21.xml><?xml version="1.0" encoding="utf-8"?>
<c:chartSpace xmlns:c="http://schemas.openxmlformats.org/drawingml/2006/chart" xmlns:a="http://schemas.openxmlformats.org/drawingml/2006/main" xmlns:r="http://schemas.openxmlformats.org/officeDocument/2006/relationships">
  <c:lang val="en-US"/>
  <c:style val="34"/>
  <c:chart>
    <c:plotArea>
      <c:layout/>
      <c:barChart>
        <c:barDir val="col"/>
        <c:grouping val="clustered"/>
        <c:ser>
          <c:idx val="0"/>
          <c:order val="0"/>
          <c:tx>
            <c:strRef>
              <c:f>gráficos2!$B$68</c:f>
              <c:strCache>
                <c:ptCount val="1"/>
                <c:pt idx="0">
                  <c:v>Not poor</c:v>
                </c:pt>
              </c:strCache>
            </c:strRef>
          </c:tx>
          <c:cat>
            <c:multiLvlStrRef>
              <c:f>gráficos2!$C$66:$F$67</c:f>
              <c:multiLvlStrCache>
                <c:ptCount val="4"/>
                <c:lvl>
                  <c:pt idx="0">
                    <c:v>12-14 years old</c:v>
                  </c:pt>
                  <c:pt idx="1">
                    <c:v>15-19 years old</c:v>
                  </c:pt>
                  <c:pt idx="2">
                    <c:v>17-19 years old</c:v>
                  </c:pt>
                  <c:pt idx="3">
                    <c:v>20-24 years old</c:v>
                  </c:pt>
                </c:lvl>
                <c:lvl>
                  <c:pt idx="0">
                    <c:v>Primary</c:v>
                  </c:pt>
                  <c:pt idx="2">
                    <c:v>Secondary</c:v>
                  </c:pt>
                </c:lvl>
              </c:multiLvlStrCache>
            </c:multiLvlStrRef>
          </c:cat>
          <c:val>
            <c:numRef>
              <c:f>gráficos2!$C$68:$F$68</c:f>
              <c:numCache>
                <c:formatCode>General</c:formatCode>
                <c:ptCount val="4"/>
                <c:pt idx="0">
                  <c:v>88</c:v>
                </c:pt>
                <c:pt idx="1">
                  <c:v>96.9</c:v>
                </c:pt>
                <c:pt idx="2">
                  <c:v>72</c:v>
                </c:pt>
                <c:pt idx="3">
                  <c:v>82.31</c:v>
                </c:pt>
              </c:numCache>
            </c:numRef>
          </c:val>
        </c:ser>
        <c:ser>
          <c:idx val="1"/>
          <c:order val="1"/>
          <c:tx>
            <c:strRef>
              <c:f>gráficos2!$B$69</c:f>
              <c:strCache>
                <c:ptCount val="1"/>
                <c:pt idx="0">
                  <c:v>Poor</c:v>
                </c:pt>
              </c:strCache>
            </c:strRef>
          </c:tx>
          <c:cat>
            <c:multiLvlStrRef>
              <c:f>gráficos2!$C$66:$F$67</c:f>
              <c:multiLvlStrCache>
                <c:ptCount val="4"/>
                <c:lvl>
                  <c:pt idx="0">
                    <c:v>12-14 years old</c:v>
                  </c:pt>
                  <c:pt idx="1">
                    <c:v>15-19 years old</c:v>
                  </c:pt>
                  <c:pt idx="2">
                    <c:v>17-19 years old</c:v>
                  </c:pt>
                  <c:pt idx="3">
                    <c:v>20-24 years old</c:v>
                  </c:pt>
                </c:lvl>
                <c:lvl>
                  <c:pt idx="0">
                    <c:v>Primary</c:v>
                  </c:pt>
                  <c:pt idx="2">
                    <c:v>Secondary</c:v>
                  </c:pt>
                </c:lvl>
              </c:multiLvlStrCache>
            </c:multiLvlStrRef>
          </c:cat>
          <c:val>
            <c:numRef>
              <c:f>gráficos2!$C$69:$F$69</c:f>
              <c:numCache>
                <c:formatCode>General</c:formatCode>
                <c:ptCount val="4"/>
                <c:pt idx="0">
                  <c:v>72.900000000000006</c:v>
                </c:pt>
                <c:pt idx="1">
                  <c:v>91.9</c:v>
                </c:pt>
                <c:pt idx="2">
                  <c:v>46.2</c:v>
                </c:pt>
                <c:pt idx="3">
                  <c:v>54.15</c:v>
                </c:pt>
              </c:numCache>
            </c:numRef>
          </c:val>
        </c:ser>
        <c:ser>
          <c:idx val="2"/>
          <c:order val="2"/>
          <c:tx>
            <c:strRef>
              <c:f>gráficos2!$B$70</c:f>
              <c:strCache>
                <c:ptCount val="1"/>
                <c:pt idx="0">
                  <c:v>Extreme poor</c:v>
                </c:pt>
              </c:strCache>
            </c:strRef>
          </c:tx>
          <c:cat>
            <c:multiLvlStrRef>
              <c:f>gráficos2!$C$66:$F$67</c:f>
              <c:multiLvlStrCache>
                <c:ptCount val="4"/>
                <c:lvl>
                  <c:pt idx="0">
                    <c:v>12-14 years old</c:v>
                  </c:pt>
                  <c:pt idx="1">
                    <c:v>15-19 years old</c:v>
                  </c:pt>
                  <c:pt idx="2">
                    <c:v>17-19 years old</c:v>
                  </c:pt>
                  <c:pt idx="3">
                    <c:v>20-24 years old</c:v>
                  </c:pt>
                </c:lvl>
                <c:lvl>
                  <c:pt idx="0">
                    <c:v>Primary</c:v>
                  </c:pt>
                  <c:pt idx="2">
                    <c:v>Secondary</c:v>
                  </c:pt>
                </c:lvl>
              </c:multiLvlStrCache>
            </c:multiLvlStrRef>
          </c:cat>
          <c:val>
            <c:numRef>
              <c:f>gráficos2!$C$70:$F$70</c:f>
              <c:numCache>
                <c:formatCode>General</c:formatCode>
                <c:ptCount val="4"/>
                <c:pt idx="0">
                  <c:v>55.9</c:v>
                </c:pt>
                <c:pt idx="1">
                  <c:v>82.9</c:v>
                </c:pt>
                <c:pt idx="2">
                  <c:v>21.7</c:v>
                </c:pt>
                <c:pt idx="3">
                  <c:v>27.419999999999987</c:v>
                </c:pt>
              </c:numCache>
            </c:numRef>
          </c:val>
        </c:ser>
        <c:axId val="107290624"/>
        <c:axId val="107292160"/>
      </c:barChart>
      <c:catAx>
        <c:axId val="107290624"/>
        <c:scaling>
          <c:orientation val="minMax"/>
        </c:scaling>
        <c:axPos val="b"/>
        <c:tickLblPos val="nextTo"/>
        <c:txPr>
          <a:bodyPr/>
          <a:lstStyle/>
          <a:p>
            <a:pPr>
              <a:defRPr lang="en-US"/>
            </a:pPr>
            <a:endParaRPr lang="en-US"/>
          </a:p>
        </c:txPr>
        <c:crossAx val="107292160"/>
        <c:crosses val="autoZero"/>
        <c:auto val="1"/>
        <c:lblAlgn val="ctr"/>
        <c:lblOffset val="100"/>
      </c:catAx>
      <c:valAx>
        <c:axId val="107292160"/>
        <c:scaling>
          <c:orientation val="minMax"/>
        </c:scaling>
        <c:axPos val="l"/>
        <c:majorGridlines/>
        <c:numFmt formatCode="General" sourceLinked="1"/>
        <c:tickLblPos val="nextTo"/>
        <c:txPr>
          <a:bodyPr/>
          <a:lstStyle/>
          <a:p>
            <a:pPr>
              <a:defRPr lang="en-US"/>
            </a:pPr>
            <a:endParaRPr lang="en-US"/>
          </a:p>
        </c:txPr>
        <c:crossAx val="107290624"/>
        <c:crosses val="autoZero"/>
        <c:crossBetween val="between"/>
      </c:valAx>
    </c:plotArea>
    <c:legend>
      <c:legendPos val="b"/>
      <c:txPr>
        <a:bodyPr/>
        <a:lstStyle/>
        <a:p>
          <a:pPr>
            <a:defRPr lang="en-US" sz="800"/>
          </a:pPr>
          <a:endParaRPr lang="en-US"/>
        </a:p>
      </c:txPr>
    </c:legend>
    <c:plotVisOnly val="1"/>
  </c:chart>
  <c:externalData r:id="rId1"/>
</c:chartSpace>
</file>

<file path=word/charts/chart22.xml><?xml version="1.0" encoding="utf-8"?>
<c:chartSpace xmlns:c="http://schemas.openxmlformats.org/drawingml/2006/chart" xmlns:a="http://schemas.openxmlformats.org/drawingml/2006/main" xmlns:r="http://schemas.openxmlformats.org/officeDocument/2006/relationships">
  <c:date1904 val="1"/>
  <c:lang val="en-US"/>
  <c:style val="34"/>
  <c:chart>
    <c:plotArea>
      <c:layout/>
      <c:barChart>
        <c:barDir val="col"/>
        <c:grouping val="clustered"/>
        <c:ser>
          <c:idx val="0"/>
          <c:order val="0"/>
          <c:tx>
            <c:strRef>
              <c:f>gráficos2!$B$61</c:f>
              <c:strCache>
                <c:ptCount val="1"/>
                <c:pt idx="0">
                  <c:v>Female</c:v>
                </c:pt>
              </c:strCache>
            </c:strRef>
          </c:tx>
          <c:cat>
            <c:multiLvlStrRef>
              <c:f>gráficos2!$C$59:$F$60</c:f>
              <c:multiLvlStrCache>
                <c:ptCount val="4"/>
                <c:lvl>
                  <c:pt idx="0">
                    <c:v>12-14 years old</c:v>
                  </c:pt>
                  <c:pt idx="1">
                    <c:v>15-19 years old</c:v>
                  </c:pt>
                  <c:pt idx="2">
                    <c:v>17-19 years old</c:v>
                  </c:pt>
                  <c:pt idx="3">
                    <c:v>20-24 years old</c:v>
                  </c:pt>
                </c:lvl>
                <c:lvl>
                  <c:pt idx="0">
                    <c:v>Primary</c:v>
                  </c:pt>
                  <c:pt idx="2">
                    <c:v>Secondary</c:v>
                  </c:pt>
                </c:lvl>
              </c:multiLvlStrCache>
            </c:multiLvlStrRef>
          </c:cat>
          <c:val>
            <c:numRef>
              <c:f>gráficos2!$C$61:$F$61</c:f>
              <c:numCache>
                <c:formatCode>General</c:formatCode>
                <c:ptCount val="4"/>
                <c:pt idx="0">
                  <c:v>78.400000000000006</c:v>
                </c:pt>
                <c:pt idx="1">
                  <c:v>92.7</c:v>
                </c:pt>
                <c:pt idx="2">
                  <c:v>61.5</c:v>
                </c:pt>
                <c:pt idx="3">
                  <c:v>69.790000000000006</c:v>
                </c:pt>
              </c:numCache>
            </c:numRef>
          </c:val>
        </c:ser>
        <c:ser>
          <c:idx val="1"/>
          <c:order val="1"/>
          <c:tx>
            <c:strRef>
              <c:f>gráficos2!$B$62</c:f>
              <c:strCache>
                <c:ptCount val="1"/>
                <c:pt idx="0">
                  <c:v>Male</c:v>
                </c:pt>
              </c:strCache>
            </c:strRef>
          </c:tx>
          <c:cat>
            <c:multiLvlStrRef>
              <c:f>gráficos2!$C$59:$F$60</c:f>
              <c:multiLvlStrCache>
                <c:ptCount val="4"/>
                <c:lvl>
                  <c:pt idx="0">
                    <c:v>12-14 years old</c:v>
                  </c:pt>
                  <c:pt idx="1">
                    <c:v>15-19 years old</c:v>
                  </c:pt>
                  <c:pt idx="2">
                    <c:v>17-19 years old</c:v>
                  </c:pt>
                  <c:pt idx="3">
                    <c:v>20-24 years old</c:v>
                  </c:pt>
                </c:lvl>
                <c:lvl>
                  <c:pt idx="0">
                    <c:v>Primary</c:v>
                  </c:pt>
                  <c:pt idx="2">
                    <c:v>Secondary</c:v>
                  </c:pt>
                </c:lvl>
              </c:multiLvlStrCache>
            </c:multiLvlStrRef>
          </c:cat>
          <c:val>
            <c:numRef>
              <c:f>gráficos2!$C$62:$F$62</c:f>
              <c:numCache>
                <c:formatCode>General</c:formatCode>
                <c:ptCount val="4"/>
                <c:pt idx="0">
                  <c:v>76.8</c:v>
                </c:pt>
                <c:pt idx="1">
                  <c:v>95.1</c:v>
                </c:pt>
                <c:pt idx="2">
                  <c:v>59</c:v>
                </c:pt>
                <c:pt idx="3">
                  <c:v>72.16</c:v>
                </c:pt>
              </c:numCache>
            </c:numRef>
          </c:val>
        </c:ser>
        <c:axId val="107333120"/>
        <c:axId val="107334656"/>
      </c:barChart>
      <c:catAx>
        <c:axId val="107333120"/>
        <c:scaling>
          <c:orientation val="minMax"/>
        </c:scaling>
        <c:axPos val="b"/>
        <c:tickLblPos val="nextTo"/>
        <c:txPr>
          <a:bodyPr/>
          <a:lstStyle/>
          <a:p>
            <a:pPr>
              <a:defRPr lang="en-US"/>
            </a:pPr>
            <a:endParaRPr lang="en-US"/>
          </a:p>
        </c:txPr>
        <c:crossAx val="107334656"/>
        <c:crosses val="autoZero"/>
        <c:auto val="1"/>
        <c:lblAlgn val="ctr"/>
        <c:lblOffset val="100"/>
      </c:catAx>
      <c:valAx>
        <c:axId val="107334656"/>
        <c:scaling>
          <c:orientation val="minMax"/>
        </c:scaling>
        <c:axPos val="l"/>
        <c:majorGridlines/>
        <c:numFmt formatCode="General" sourceLinked="1"/>
        <c:tickLblPos val="nextTo"/>
        <c:txPr>
          <a:bodyPr/>
          <a:lstStyle/>
          <a:p>
            <a:pPr>
              <a:defRPr lang="en-US"/>
            </a:pPr>
            <a:endParaRPr lang="en-US"/>
          </a:p>
        </c:txPr>
        <c:crossAx val="107333120"/>
        <c:crosses val="autoZero"/>
        <c:crossBetween val="between"/>
      </c:valAx>
    </c:plotArea>
    <c:legend>
      <c:legendPos val="r"/>
      <c:txPr>
        <a:bodyPr/>
        <a:lstStyle/>
        <a:p>
          <a:pPr>
            <a:defRPr lang="en-US"/>
          </a:pPr>
          <a:endParaRPr lang="en-US"/>
        </a:p>
      </c:txPr>
    </c:legend>
    <c:plotVisOnly val="1"/>
  </c:chart>
  <c:externalData r:id="rId1"/>
</c:chartSpace>
</file>

<file path=word/charts/chart23.xml><?xml version="1.0" encoding="utf-8"?>
<c:chartSpace xmlns:c="http://schemas.openxmlformats.org/drawingml/2006/chart" xmlns:a="http://schemas.openxmlformats.org/drawingml/2006/main" xmlns:r="http://schemas.openxmlformats.org/officeDocument/2006/relationships">
  <c:date1904 val="1"/>
  <c:lang val="en-US"/>
  <c:style val="34"/>
  <c:chart>
    <c:plotArea>
      <c:layout/>
      <c:barChart>
        <c:barDir val="col"/>
        <c:grouping val="clustered"/>
        <c:ser>
          <c:idx val="0"/>
          <c:order val="0"/>
          <c:tx>
            <c:strRef>
              <c:f>gráficos2!$J$5</c:f>
              <c:strCache>
                <c:ptCount val="1"/>
                <c:pt idx="0">
                  <c:v>12-14 years old</c:v>
                </c:pt>
              </c:strCache>
            </c:strRef>
          </c:tx>
          <c:cat>
            <c:strRef>
              <c:f>gráficos2!$I$6:$I$30</c:f>
              <c:strCache>
                <c:ptCount val="25"/>
                <c:pt idx="0">
                  <c:v>Huancavelica</c:v>
                </c:pt>
                <c:pt idx="1">
                  <c:v>Cajamarca</c:v>
                </c:pt>
                <c:pt idx="2">
                  <c:v>Huánuco</c:v>
                </c:pt>
                <c:pt idx="3">
                  <c:v>Amazonas</c:v>
                </c:pt>
                <c:pt idx="4">
                  <c:v>Apurímac</c:v>
                </c:pt>
                <c:pt idx="5">
                  <c:v>Puno</c:v>
                </c:pt>
                <c:pt idx="6">
                  <c:v>Cusco</c:v>
                </c:pt>
                <c:pt idx="7">
                  <c:v>Ayacucho</c:v>
                </c:pt>
                <c:pt idx="8">
                  <c:v>Pasco</c:v>
                </c:pt>
                <c:pt idx="9">
                  <c:v>Ancash</c:v>
                </c:pt>
                <c:pt idx="10">
                  <c:v>San Martín</c:v>
                </c:pt>
                <c:pt idx="11">
                  <c:v>Loreto</c:v>
                </c:pt>
                <c:pt idx="12">
                  <c:v>Junín</c:v>
                </c:pt>
                <c:pt idx="13">
                  <c:v>Madre de Dios</c:v>
                </c:pt>
                <c:pt idx="14">
                  <c:v>Piura</c:v>
                </c:pt>
                <c:pt idx="15">
                  <c:v>Ucayali</c:v>
                </c:pt>
                <c:pt idx="16">
                  <c:v>La Libertad</c:v>
                </c:pt>
                <c:pt idx="17">
                  <c:v>Lambayeque</c:v>
                </c:pt>
                <c:pt idx="18">
                  <c:v>Moquegua</c:v>
                </c:pt>
                <c:pt idx="19">
                  <c:v>Ica</c:v>
                </c:pt>
                <c:pt idx="20">
                  <c:v>Arequipa</c:v>
                </c:pt>
                <c:pt idx="21">
                  <c:v>Tumbes</c:v>
                </c:pt>
                <c:pt idx="22">
                  <c:v>Tacna</c:v>
                </c:pt>
                <c:pt idx="23">
                  <c:v>Lima</c:v>
                </c:pt>
                <c:pt idx="24">
                  <c:v>Callao</c:v>
                </c:pt>
              </c:strCache>
            </c:strRef>
          </c:cat>
          <c:val>
            <c:numRef>
              <c:f>gráficos2!$J$6:$J$30</c:f>
              <c:numCache>
                <c:formatCode>General</c:formatCode>
                <c:ptCount val="25"/>
                <c:pt idx="0">
                  <c:v>62.7</c:v>
                </c:pt>
                <c:pt idx="1">
                  <c:v>70.400000000000006</c:v>
                </c:pt>
                <c:pt idx="2">
                  <c:v>56.7</c:v>
                </c:pt>
                <c:pt idx="3">
                  <c:v>59.8</c:v>
                </c:pt>
                <c:pt idx="4">
                  <c:v>76.900000000000006</c:v>
                </c:pt>
                <c:pt idx="5">
                  <c:v>84.4</c:v>
                </c:pt>
                <c:pt idx="6">
                  <c:v>77.3</c:v>
                </c:pt>
                <c:pt idx="7">
                  <c:v>67</c:v>
                </c:pt>
                <c:pt idx="8">
                  <c:v>76.400000000000006</c:v>
                </c:pt>
                <c:pt idx="9">
                  <c:v>75.099999999999994</c:v>
                </c:pt>
                <c:pt idx="10">
                  <c:v>71.900000000000006</c:v>
                </c:pt>
                <c:pt idx="11">
                  <c:v>61.3</c:v>
                </c:pt>
                <c:pt idx="12">
                  <c:v>81</c:v>
                </c:pt>
                <c:pt idx="13">
                  <c:v>82.5</c:v>
                </c:pt>
                <c:pt idx="14">
                  <c:v>76.5</c:v>
                </c:pt>
                <c:pt idx="15">
                  <c:v>69.7</c:v>
                </c:pt>
                <c:pt idx="16">
                  <c:v>67.3</c:v>
                </c:pt>
                <c:pt idx="17">
                  <c:v>77</c:v>
                </c:pt>
                <c:pt idx="18">
                  <c:v>85.3</c:v>
                </c:pt>
                <c:pt idx="19">
                  <c:v>91.2</c:v>
                </c:pt>
                <c:pt idx="20">
                  <c:v>91.3</c:v>
                </c:pt>
                <c:pt idx="21">
                  <c:v>82.7</c:v>
                </c:pt>
                <c:pt idx="22">
                  <c:v>87.9</c:v>
                </c:pt>
                <c:pt idx="23">
                  <c:v>88.7</c:v>
                </c:pt>
                <c:pt idx="24">
                  <c:v>82.1</c:v>
                </c:pt>
              </c:numCache>
            </c:numRef>
          </c:val>
        </c:ser>
        <c:ser>
          <c:idx val="1"/>
          <c:order val="1"/>
          <c:tx>
            <c:strRef>
              <c:f>gráficos2!$K$5</c:f>
              <c:strCache>
                <c:ptCount val="1"/>
                <c:pt idx="0">
                  <c:v>15-19 years old</c:v>
                </c:pt>
              </c:strCache>
            </c:strRef>
          </c:tx>
          <c:cat>
            <c:strRef>
              <c:f>gráficos2!$I$6:$I$30</c:f>
              <c:strCache>
                <c:ptCount val="25"/>
                <c:pt idx="0">
                  <c:v>Huancavelica</c:v>
                </c:pt>
                <c:pt idx="1">
                  <c:v>Cajamarca</c:v>
                </c:pt>
                <c:pt idx="2">
                  <c:v>Huánuco</c:v>
                </c:pt>
                <c:pt idx="3">
                  <c:v>Amazonas</c:v>
                </c:pt>
                <c:pt idx="4">
                  <c:v>Apurímac</c:v>
                </c:pt>
                <c:pt idx="5">
                  <c:v>Puno</c:v>
                </c:pt>
                <c:pt idx="6">
                  <c:v>Cusco</c:v>
                </c:pt>
                <c:pt idx="7">
                  <c:v>Ayacucho</c:v>
                </c:pt>
                <c:pt idx="8">
                  <c:v>Pasco</c:v>
                </c:pt>
                <c:pt idx="9">
                  <c:v>Ancash</c:v>
                </c:pt>
                <c:pt idx="10">
                  <c:v>San Martín</c:v>
                </c:pt>
                <c:pt idx="11">
                  <c:v>Loreto</c:v>
                </c:pt>
                <c:pt idx="12">
                  <c:v>Junín</c:v>
                </c:pt>
                <c:pt idx="13">
                  <c:v>Madre de Dios</c:v>
                </c:pt>
                <c:pt idx="14">
                  <c:v>Piura</c:v>
                </c:pt>
                <c:pt idx="15">
                  <c:v>Ucayali</c:v>
                </c:pt>
                <c:pt idx="16">
                  <c:v>La Libertad</c:v>
                </c:pt>
                <c:pt idx="17">
                  <c:v>Lambayeque</c:v>
                </c:pt>
                <c:pt idx="18">
                  <c:v>Moquegua</c:v>
                </c:pt>
                <c:pt idx="19">
                  <c:v>Ica</c:v>
                </c:pt>
                <c:pt idx="20">
                  <c:v>Arequipa</c:v>
                </c:pt>
                <c:pt idx="21">
                  <c:v>Tumbes</c:v>
                </c:pt>
                <c:pt idx="22">
                  <c:v>Tacna</c:v>
                </c:pt>
                <c:pt idx="23">
                  <c:v>Lima</c:v>
                </c:pt>
                <c:pt idx="24">
                  <c:v>Callao</c:v>
                </c:pt>
              </c:strCache>
            </c:strRef>
          </c:cat>
          <c:val>
            <c:numRef>
              <c:f>gráficos2!$K$6:$K$30</c:f>
              <c:numCache>
                <c:formatCode>General</c:formatCode>
                <c:ptCount val="25"/>
                <c:pt idx="0">
                  <c:v>93.1</c:v>
                </c:pt>
                <c:pt idx="1">
                  <c:v>87.2</c:v>
                </c:pt>
                <c:pt idx="2">
                  <c:v>86</c:v>
                </c:pt>
                <c:pt idx="3">
                  <c:v>89.2</c:v>
                </c:pt>
                <c:pt idx="4">
                  <c:v>95.7</c:v>
                </c:pt>
                <c:pt idx="5">
                  <c:v>98.4</c:v>
                </c:pt>
                <c:pt idx="6">
                  <c:v>91.9</c:v>
                </c:pt>
                <c:pt idx="7">
                  <c:v>92.4</c:v>
                </c:pt>
                <c:pt idx="8">
                  <c:v>93.9</c:v>
                </c:pt>
                <c:pt idx="9">
                  <c:v>93.7</c:v>
                </c:pt>
                <c:pt idx="10">
                  <c:v>91.7</c:v>
                </c:pt>
                <c:pt idx="11">
                  <c:v>89.4</c:v>
                </c:pt>
                <c:pt idx="12">
                  <c:v>95.8</c:v>
                </c:pt>
                <c:pt idx="13">
                  <c:v>97.7</c:v>
                </c:pt>
                <c:pt idx="14">
                  <c:v>87.7</c:v>
                </c:pt>
                <c:pt idx="15">
                  <c:v>93.6</c:v>
                </c:pt>
                <c:pt idx="16">
                  <c:v>92.2</c:v>
                </c:pt>
                <c:pt idx="17">
                  <c:v>92.2</c:v>
                </c:pt>
                <c:pt idx="18">
                  <c:v>98</c:v>
                </c:pt>
                <c:pt idx="19">
                  <c:v>97.4</c:v>
                </c:pt>
                <c:pt idx="20">
                  <c:v>97.6</c:v>
                </c:pt>
                <c:pt idx="21">
                  <c:v>96.4</c:v>
                </c:pt>
                <c:pt idx="22">
                  <c:v>97.9</c:v>
                </c:pt>
                <c:pt idx="23">
                  <c:v>97.4</c:v>
                </c:pt>
                <c:pt idx="24">
                  <c:v>97.9</c:v>
                </c:pt>
              </c:numCache>
            </c:numRef>
          </c:val>
        </c:ser>
        <c:axId val="107355136"/>
        <c:axId val="107361024"/>
      </c:barChart>
      <c:catAx>
        <c:axId val="107355136"/>
        <c:scaling>
          <c:orientation val="minMax"/>
        </c:scaling>
        <c:axPos val="b"/>
        <c:tickLblPos val="nextTo"/>
        <c:txPr>
          <a:bodyPr/>
          <a:lstStyle/>
          <a:p>
            <a:pPr>
              <a:defRPr lang="en-US"/>
            </a:pPr>
            <a:endParaRPr lang="en-US"/>
          </a:p>
        </c:txPr>
        <c:crossAx val="107361024"/>
        <c:crosses val="autoZero"/>
        <c:auto val="1"/>
        <c:lblAlgn val="ctr"/>
        <c:lblOffset val="100"/>
      </c:catAx>
      <c:valAx>
        <c:axId val="107361024"/>
        <c:scaling>
          <c:orientation val="minMax"/>
        </c:scaling>
        <c:axPos val="l"/>
        <c:majorGridlines/>
        <c:numFmt formatCode="General" sourceLinked="1"/>
        <c:tickLblPos val="nextTo"/>
        <c:txPr>
          <a:bodyPr/>
          <a:lstStyle/>
          <a:p>
            <a:pPr>
              <a:defRPr lang="en-US"/>
            </a:pPr>
            <a:endParaRPr lang="en-US"/>
          </a:p>
        </c:txPr>
        <c:crossAx val="107355136"/>
        <c:crosses val="autoZero"/>
        <c:crossBetween val="between"/>
      </c:valAx>
    </c:plotArea>
    <c:legend>
      <c:legendPos val="r"/>
      <c:txPr>
        <a:bodyPr/>
        <a:lstStyle/>
        <a:p>
          <a:pPr>
            <a:defRPr lang="en-US"/>
          </a:pPr>
          <a:endParaRPr lang="en-US"/>
        </a:p>
      </c:txPr>
    </c:legend>
    <c:plotVisOnly val="1"/>
  </c:chart>
  <c:externalData r:id="rId1"/>
</c:chartSpace>
</file>

<file path=word/charts/chart24.xml><?xml version="1.0" encoding="utf-8"?>
<c:chartSpace xmlns:c="http://schemas.openxmlformats.org/drawingml/2006/chart" xmlns:a="http://schemas.openxmlformats.org/drawingml/2006/main" xmlns:r="http://schemas.openxmlformats.org/officeDocument/2006/relationships">
  <c:date1904 val="1"/>
  <c:lang val="en-US"/>
  <c:style val="34"/>
  <c:chart>
    <c:plotArea>
      <c:layout/>
      <c:barChart>
        <c:barDir val="col"/>
        <c:grouping val="clustered"/>
        <c:ser>
          <c:idx val="0"/>
          <c:order val="0"/>
          <c:tx>
            <c:strRef>
              <c:f>gráficos2!$L$5</c:f>
              <c:strCache>
                <c:ptCount val="1"/>
                <c:pt idx="0">
                  <c:v>17-19 years old</c:v>
                </c:pt>
              </c:strCache>
            </c:strRef>
          </c:tx>
          <c:cat>
            <c:strRef>
              <c:f>gráficos2!$I$6:$I$30</c:f>
              <c:strCache>
                <c:ptCount val="25"/>
                <c:pt idx="0">
                  <c:v>Huancavelica</c:v>
                </c:pt>
                <c:pt idx="1">
                  <c:v>Cajamarca</c:v>
                </c:pt>
                <c:pt idx="2">
                  <c:v>Huánuco</c:v>
                </c:pt>
                <c:pt idx="3">
                  <c:v>Amazonas</c:v>
                </c:pt>
                <c:pt idx="4">
                  <c:v>Apurímac</c:v>
                </c:pt>
                <c:pt idx="5">
                  <c:v>Puno</c:v>
                </c:pt>
                <c:pt idx="6">
                  <c:v>Cusco</c:v>
                </c:pt>
                <c:pt idx="7">
                  <c:v>Ayacucho</c:v>
                </c:pt>
                <c:pt idx="8">
                  <c:v>Pasco</c:v>
                </c:pt>
                <c:pt idx="9">
                  <c:v>Ancash</c:v>
                </c:pt>
                <c:pt idx="10">
                  <c:v>San Martín</c:v>
                </c:pt>
                <c:pt idx="11">
                  <c:v>Loreto</c:v>
                </c:pt>
                <c:pt idx="12">
                  <c:v>Junín</c:v>
                </c:pt>
                <c:pt idx="13">
                  <c:v>Madre de Dios</c:v>
                </c:pt>
                <c:pt idx="14">
                  <c:v>Piura</c:v>
                </c:pt>
                <c:pt idx="15">
                  <c:v>Ucayali</c:v>
                </c:pt>
                <c:pt idx="16">
                  <c:v>La Libertad</c:v>
                </c:pt>
                <c:pt idx="17">
                  <c:v>Lambayeque</c:v>
                </c:pt>
                <c:pt idx="18">
                  <c:v>Moquegua</c:v>
                </c:pt>
                <c:pt idx="19">
                  <c:v>Ica</c:v>
                </c:pt>
                <c:pt idx="20">
                  <c:v>Arequipa</c:v>
                </c:pt>
                <c:pt idx="21">
                  <c:v>Tumbes</c:v>
                </c:pt>
                <c:pt idx="22">
                  <c:v>Tacna</c:v>
                </c:pt>
                <c:pt idx="23">
                  <c:v>Lima</c:v>
                </c:pt>
                <c:pt idx="24">
                  <c:v>Callao</c:v>
                </c:pt>
              </c:strCache>
            </c:strRef>
          </c:cat>
          <c:val>
            <c:numRef>
              <c:f>gráficos2!$L$6:$L$30</c:f>
              <c:numCache>
                <c:formatCode>General</c:formatCode>
                <c:ptCount val="25"/>
                <c:pt idx="0">
                  <c:v>39.4</c:v>
                </c:pt>
                <c:pt idx="1">
                  <c:v>38.300000000000004</c:v>
                </c:pt>
                <c:pt idx="2">
                  <c:v>34.9</c:v>
                </c:pt>
                <c:pt idx="3">
                  <c:v>43.9</c:v>
                </c:pt>
                <c:pt idx="4">
                  <c:v>54.1</c:v>
                </c:pt>
                <c:pt idx="5">
                  <c:v>61.8</c:v>
                </c:pt>
                <c:pt idx="6">
                  <c:v>48.7</c:v>
                </c:pt>
                <c:pt idx="7">
                  <c:v>41.6</c:v>
                </c:pt>
                <c:pt idx="8">
                  <c:v>66.5</c:v>
                </c:pt>
                <c:pt idx="9">
                  <c:v>50.8</c:v>
                </c:pt>
                <c:pt idx="10">
                  <c:v>43.2</c:v>
                </c:pt>
                <c:pt idx="11">
                  <c:v>39.5</c:v>
                </c:pt>
                <c:pt idx="12">
                  <c:v>61.1</c:v>
                </c:pt>
                <c:pt idx="13">
                  <c:v>57.8</c:v>
                </c:pt>
                <c:pt idx="14">
                  <c:v>56.6</c:v>
                </c:pt>
                <c:pt idx="15">
                  <c:v>50.6</c:v>
                </c:pt>
                <c:pt idx="16">
                  <c:v>52.3</c:v>
                </c:pt>
                <c:pt idx="17">
                  <c:v>57.8</c:v>
                </c:pt>
                <c:pt idx="18">
                  <c:v>76.400000000000006</c:v>
                </c:pt>
                <c:pt idx="19">
                  <c:v>70.3</c:v>
                </c:pt>
                <c:pt idx="20">
                  <c:v>82.4</c:v>
                </c:pt>
                <c:pt idx="21">
                  <c:v>66.5</c:v>
                </c:pt>
                <c:pt idx="22">
                  <c:v>83.9</c:v>
                </c:pt>
                <c:pt idx="23">
                  <c:v>75.2</c:v>
                </c:pt>
                <c:pt idx="24">
                  <c:v>75.599999999999994</c:v>
                </c:pt>
              </c:numCache>
            </c:numRef>
          </c:val>
        </c:ser>
        <c:ser>
          <c:idx val="1"/>
          <c:order val="1"/>
          <c:tx>
            <c:strRef>
              <c:f>gráficos2!$M$5</c:f>
              <c:strCache>
                <c:ptCount val="1"/>
                <c:pt idx="0">
                  <c:v>20-24 years old</c:v>
                </c:pt>
              </c:strCache>
            </c:strRef>
          </c:tx>
          <c:cat>
            <c:strRef>
              <c:f>gráficos2!$I$6:$I$30</c:f>
              <c:strCache>
                <c:ptCount val="25"/>
                <c:pt idx="0">
                  <c:v>Huancavelica</c:v>
                </c:pt>
                <c:pt idx="1">
                  <c:v>Cajamarca</c:v>
                </c:pt>
                <c:pt idx="2">
                  <c:v>Huánuco</c:v>
                </c:pt>
                <c:pt idx="3">
                  <c:v>Amazonas</c:v>
                </c:pt>
                <c:pt idx="4">
                  <c:v>Apurímac</c:v>
                </c:pt>
                <c:pt idx="5">
                  <c:v>Puno</c:v>
                </c:pt>
                <c:pt idx="6">
                  <c:v>Cusco</c:v>
                </c:pt>
                <c:pt idx="7">
                  <c:v>Ayacucho</c:v>
                </c:pt>
                <c:pt idx="8">
                  <c:v>Pasco</c:v>
                </c:pt>
                <c:pt idx="9">
                  <c:v>Ancash</c:v>
                </c:pt>
                <c:pt idx="10">
                  <c:v>San Martín</c:v>
                </c:pt>
                <c:pt idx="11">
                  <c:v>Loreto</c:v>
                </c:pt>
                <c:pt idx="12">
                  <c:v>Junín</c:v>
                </c:pt>
                <c:pt idx="13">
                  <c:v>Madre de Dios</c:v>
                </c:pt>
                <c:pt idx="14">
                  <c:v>Piura</c:v>
                </c:pt>
                <c:pt idx="15">
                  <c:v>Ucayali</c:v>
                </c:pt>
                <c:pt idx="16">
                  <c:v>La Libertad</c:v>
                </c:pt>
                <c:pt idx="17">
                  <c:v>Lambayeque</c:v>
                </c:pt>
                <c:pt idx="18">
                  <c:v>Moquegua</c:v>
                </c:pt>
                <c:pt idx="19">
                  <c:v>Ica</c:v>
                </c:pt>
                <c:pt idx="20">
                  <c:v>Arequipa</c:v>
                </c:pt>
                <c:pt idx="21">
                  <c:v>Tumbes</c:v>
                </c:pt>
                <c:pt idx="22">
                  <c:v>Tacna</c:v>
                </c:pt>
                <c:pt idx="23">
                  <c:v>Lima</c:v>
                </c:pt>
                <c:pt idx="24">
                  <c:v>Callao</c:v>
                </c:pt>
              </c:strCache>
            </c:strRef>
          </c:cat>
          <c:val>
            <c:numRef>
              <c:f>gráficos2!$M$6:$M$30</c:f>
              <c:numCache>
                <c:formatCode>General</c:formatCode>
                <c:ptCount val="25"/>
                <c:pt idx="0">
                  <c:v>47.33</c:v>
                </c:pt>
                <c:pt idx="1">
                  <c:v>44.2</c:v>
                </c:pt>
                <c:pt idx="2">
                  <c:v>49.4</c:v>
                </c:pt>
                <c:pt idx="3">
                  <c:v>50.25</c:v>
                </c:pt>
                <c:pt idx="4">
                  <c:v>64.52</c:v>
                </c:pt>
                <c:pt idx="5">
                  <c:v>76.400000000000006</c:v>
                </c:pt>
                <c:pt idx="6">
                  <c:v>71</c:v>
                </c:pt>
                <c:pt idx="7">
                  <c:v>59.32</c:v>
                </c:pt>
                <c:pt idx="8">
                  <c:v>68.3</c:v>
                </c:pt>
                <c:pt idx="9">
                  <c:v>69.11</c:v>
                </c:pt>
                <c:pt idx="10">
                  <c:v>49.760000000000012</c:v>
                </c:pt>
                <c:pt idx="11">
                  <c:v>48.44</c:v>
                </c:pt>
                <c:pt idx="12">
                  <c:v>79.5</c:v>
                </c:pt>
                <c:pt idx="13">
                  <c:v>64.8</c:v>
                </c:pt>
                <c:pt idx="14">
                  <c:v>62.160000000000011</c:v>
                </c:pt>
                <c:pt idx="15">
                  <c:v>58.7</c:v>
                </c:pt>
                <c:pt idx="16">
                  <c:v>63.51</c:v>
                </c:pt>
                <c:pt idx="17">
                  <c:v>59.6</c:v>
                </c:pt>
                <c:pt idx="18">
                  <c:v>79.25</c:v>
                </c:pt>
                <c:pt idx="19">
                  <c:v>80.319999999999993</c:v>
                </c:pt>
                <c:pt idx="20">
                  <c:v>86</c:v>
                </c:pt>
                <c:pt idx="21">
                  <c:v>72.45</c:v>
                </c:pt>
                <c:pt idx="22">
                  <c:v>84.4</c:v>
                </c:pt>
                <c:pt idx="23">
                  <c:v>84.57</c:v>
                </c:pt>
                <c:pt idx="24">
                  <c:v>81.990000000000023</c:v>
                </c:pt>
              </c:numCache>
            </c:numRef>
          </c:val>
        </c:ser>
        <c:axId val="107381504"/>
        <c:axId val="107383040"/>
      </c:barChart>
      <c:catAx>
        <c:axId val="107381504"/>
        <c:scaling>
          <c:orientation val="minMax"/>
        </c:scaling>
        <c:axPos val="b"/>
        <c:tickLblPos val="nextTo"/>
        <c:txPr>
          <a:bodyPr/>
          <a:lstStyle/>
          <a:p>
            <a:pPr>
              <a:defRPr lang="en-US"/>
            </a:pPr>
            <a:endParaRPr lang="en-US"/>
          </a:p>
        </c:txPr>
        <c:crossAx val="107383040"/>
        <c:crosses val="autoZero"/>
        <c:auto val="1"/>
        <c:lblAlgn val="ctr"/>
        <c:lblOffset val="100"/>
      </c:catAx>
      <c:valAx>
        <c:axId val="107383040"/>
        <c:scaling>
          <c:orientation val="minMax"/>
        </c:scaling>
        <c:axPos val="l"/>
        <c:majorGridlines/>
        <c:numFmt formatCode="General" sourceLinked="1"/>
        <c:tickLblPos val="nextTo"/>
        <c:txPr>
          <a:bodyPr/>
          <a:lstStyle/>
          <a:p>
            <a:pPr>
              <a:defRPr lang="en-US"/>
            </a:pPr>
            <a:endParaRPr lang="en-US"/>
          </a:p>
        </c:txPr>
        <c:crossAx val="107381504"/>
        <c:crosses val="autoZero"/>
        <c:crossBetween val="between"/>
      </c:valAx>
    </c:plotArea>
    <c:legend>
      <c:legendPos val="r"/>
      <c:txPr>
        <a:bodyPr/>
        <a:lstStyle/>
        <a:p>
          <a:pPr>
            <a:defRPr lang="en-US"/>
          </a:pPr>
          <a:endParaRPr lang="en-US"/>
        </a:p>
      </c:txPr>
    </c:legend>
    <c:plotVisOnly val="1"/>
  </c:chart>
  <c:externalData r:id="rId1"/>
</c:chartSpace>
</file>

<file path=word/charts/chart25.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8.0718799665556729E-2"/>
          <c:y val="5.6952533362199652E-2"/>
          <c:w val="0.89568913733265809"/>
          <c:h val="0.48341311287226402"/>
        </c:manualLayout>
      </c:layout>
      <c:barChart>
        <c:barDir val="col"/>
        <c:grouping val="percentStacked"/>
        <c:ser>
          <c:idx val="0"/>
          <c:order val="0"/>
          <c:tx>
            <c:strRef>
              <c:f>Mate_dpto!$C$3</c:f>
              <c:strCache>
                <c:ptCount val="1"/>
                <c:pt idx="0">
                  <c:v>&lt; Nivel 1</c:v>
                </c:pt>
              </c:strCache>
            </c:strRef>
          </c:tx>
          <c:dLbls>
            <c:txPr>
              <a:bodyPr/>
              <a:lstStyle/>
              <a:p>
                <a:pPr>
                  <a:defRPr lang="en-US" sz="800"/>
                </a:pPr>
                <a:endParaRPr lang="en-US"/>
              </a:p>
            </c:txPr>
            <c:showVal val="1"/>
          </c:dLbls>
          <c:cat>
            <c:strRef>
              <c:f>Mate_dpto!$B$4:$B$25</c:f>
              <c:strCache>
                <c:ptCount val="22"/>
                <c:pt idx="0">
                  <c:v> TACNA</c:v>
                </c:pt>
                <c:pt idx="1">
                  <c:v> AREQUIPA</c:v>
                </c:pt>
                <c:pt idx="2">
                  <c:v> MOQUEGUA</c:v>
                </c:pt>
                <c:pt idx="3">
                  <c:v> ICA</c:v>
                </c:pt>
                <c:pt idx="4">
                  <c:v> CALLAO</c:v>
                </c:pt>
                <c:pt idx="5">
                  <c:v> LIMA METROPOLITANA</c:v>
                </c:pt>
                <c:pt idx="6">
                  <c:v> PASCO</c:v>
                </c:pt>
                <c:pt idx="7">
                  <c:v> JUNÍN</c:v>
                </c:pt>
                <c:pt idx="8">
                  <c:v> LAMBAYEQUE</c:v>
                </c:pt>
                <c:pt idx="9">
                  <c:v> LIMA PROVINCIAS</c:v>
                </c:pt>
                <c:pt idx="10">
                  <c:v> AMAZONAS</c:v>
                </c:pt>
                <c:pt idx="11">
                  <c:v> LA LIBERTAD</c:v>
                </c:pt>
                <c:pt idx="12">
                  <c:v>TUMBES</c:v>
                </c:pt>
                <c:pt idx="13">
                  <c:v> PIURA</c:v>
                </c:pt>
                <c:pt idx="14">
                  <c:v> CUSCO</c:v>
                </c:pt>
                <c:pt idx="15">
                  <c:v> ANCASH</c:v>
                </c:pt>
                <c:pt idx="16">
                  <c:v> MADRE DE DIOS</c:v>
                </c:pt>
                <c:pt idx="17">
                  <c:v> HUÁNUCO</c:v>
                </c:pt>
                <c:pt idx="18">
                  <c:v> SAN MARTIN</c:v>
                </c:pt>
                <c:pt idx="19">
                  <c:v> APURÍMAC</c:v>
                </c:pt>
                <c:pt idx="20">
                  <c:v>UCAYALI</c:v>
                </c:pt>
                <c:pt idx="21">
                  <c:v> LORETO</c:v>
                </c:pt>
              </c:strCache>
            </c:strRef>
          </c:cat>
          <c:val>
            <c:numRef>
              <c:f>Mate_dpto!$C$4:$C$25</c:f>
              <c:numCache>
                <c:formatCode>General</c:formatCode>
                <c:ptCount val="22"/>
                <c:pt idx="0">
                  <c:v>34.800000000000004</c:v>
                </c:pt>
                <c:pt idx="1">
                  <c:v>39.200000000000003</c:v>
                </c:pt>
                <c:pt idx="2">
                  <c:v>39.300000000000004</c:v>
                </c:pt>
                <c:pt idx="3">
                  <c:v>44.7</c:v>
                </c:pt>
                <c:pt idx="4">
                  <c:v>45.1</c:v>
                </c:pt>
                <c:pt idx="5">
                  <c:v>47.5</c:v>
                </c:pt>
                <c:pt idx="6">
                  <c:v>48</c:v>
                </c:pt>
                <c:pt idx="7">
                  <c:v>49.8</c:v>
                </c:pt>
                <c:pt idx="8">
                  <c:v>50.5</c:v>
                </c:pt>
                <c:pt idx="9">
                  <c:v>51.3</c:v>
                </c:pt>
                <c:pt idx="10">
                  <c:v>53.1</c:v>
                </c:pt>
                <c:pt idx="11">
                  <c:v>53.7</c:v>
                </c:pt>
                <c:pt idx="12">
                  <c:v>54</c:v>
                </c:pt>
                <c:pt idx="13">
                  <c:v>55.9</c:v>
                </c:pt>
                <c:pt idx="14">
                  <c:v>58.4</c:v>
                </c:pt>
                <c:pt idx="15">
                  <c:v>59.9</c:v>
                </c:pt>
                <c:pt idx="16">
                  <c:v>60.9</c:v>
                </c:pt>
                <c:pt idx="17">
                  <c:v>65.8</c:v>
                </c:pt>
                <c:pt idx="18">
                  <c:v>70.2</c:v>
                </c:pt>
                <c:pt idx="19">
                  <c:v>71</c:v>
                </c:pt>
                <c:pt idx="20">
                  <c:v>82</c:v>
                </c:pt>
                <c:pt idx="21">
                  <c:v>88.3</c:v>
                </c:pt>
              </c:numCache>
            </c:numRef>
          </c:val>
        </c:ser>
        <c:ser>
          <c:idx val="1"/>
          <c:order val="1"/>
          <c:tx>
            <c:strRef>
              <c:f>Mate_dpto!$D$3</c:f>
              <c:strCache>
                <c:ptCount val="1"/>
                <c:pt idx="0">
                  <c:v>Nivel 1</c:v>
                </c:pt>
              </c:strCache>
            </c:strRef>
          </c:tx>
          <c:dLbls>
            <c:txPr>
              <a:bodyPr/>
              <a:lstStyle/>
              <a:p>
                <a:pPr>
                  <a:defRPr lang="en-US" sz="800"/>
                </a:pPr>
                <a:endParaRPr lang="en-US"/>
              </a:p>
            </c:txPr>
            <c:showVal val="1"/>
          </c:dLbls>
          <c:cat>
            <c:strRef>
              <c:f>Mate_dpto!$B$4:$B$25</c:f>
              <c:strCache>
                <c:ptCount val="22"/>
                <c:pt idx="0">
                  <c:v> TACNA</c:v>
                </c:pt>
                <c:pt idx="1">
                  <c:v> AREQUIPA</c:v>
                </c:pt>
                <c:pt idx="2">
                  <c:v> MOQUEGUA</c:v>
                </c:pt>
                <c:pt idx="3">
                  <c:v> ICA</c:v>
                </c:pt>
                <c:pt idx="4">
                  <c:v> CALLAO</c:v>
                </c:pt>
                <c:pt idx="5">
                  <c:v> LIMA METROPOLITANA</c:v>
                </c:pt>
                <c:pt idx="6">
                  <c:v> PASCO</c:v>
                </c:pt>
                <c:pt idx="7">
                  <c:v> JUNÍN</c:v>
                </c:pt>
                <c:pt idx="8">
                  <c:v> LAMBAYEQUE</c:v>
                </c:pt>
                <c:pt idx="9">
                  <c:v> LIMA PROVINCIAS</c:v>
                </c:pt>
                <c:pt idx="10">
                  <c:v> AMAZONAS</c:v>
                </c:pt>
                <c:pt idx="11">
                  <c:v> LA LIBERTAD</c:v>
                </c:pt>
                <c:pt idx="12">
                  <c:v>TUMBES</c:v>
                </c:pt>
                <c:pt idx="13">
                  <c:v> PIURA</c:v>
                </c:pt>
                <c:pt idx="14">
                  <c:v> CUSCO</c:v>
                </c:pt>
                <c:pt idx="15">
                  <c:v> ANCASH</c:v>
                </c:pt>
                <c:pt idx="16">
                  <c:v> MADRE DE DIOS</c:v>
                </c:pt>
                <c:pt idx="17">
                  <c:v> HUÁNUCO</c:v>
                </c:pt>
                <c:pt idx="18">
                  <c:v> SAN MARTIN</c:v>
                </c:pt>
                <c:pt idx="19">
                  <c:v> APURÍMAC</c:v>
                </c:pt>
                <c:pt idx="20">
                  <c:v>UCAYALI</c:v>
                </c:pt>
                <c:pt idx="21">
                  <c:v> LORETO</c:v>
                </c:pt>
              </c:strCache>
            </c:strRef>
          </c:cat>
          <c:val>
            <c:numRef>
              <c:f>Mate_dpto!$D$4:$D$25</c:f>
              <c:numCache>
                <c:formatCode>General</c:formatCode>
                <c:ptCount val="22"/>
                <c:pt idx="0">
                  <c:v>50.3</c:v>
                </c:pt>
                <c:pt idx="1">
                  <c:v>46.4</c:v>
                </c:pt>
                <c:pt idx="2">
                  <c:v>44.6</c:v>
                </c:pt>
                <c:pt idx="3">
                  <c:v>43.4</c:v>
                </c:pt>
                <c:pt idx="4">
                  <c:v>44.3</c:v>
                </c:pt>
                <c:pt idx="5">
                  <c:v>42</c:v>
                </c:pt>
                <c:pt idx="6">
                  <c:v>41.6</c:v>
                </c:pt>
                <c:pt idx="7">
                  <c:v>39</c:v>
                </c:pt>
                <c:pt idx="8">
                  <c:v>39</c:v>
                </c:pt>
                <c:pt idx="9">
                  <c:v>38.200000000000003</c:v>
                </c:pt>
                <c:pt idx="10">
                  <c:v>36.9</c:v>
                </c:pt>
                <c:pt idx="11">
                  <c:v>38</c:v>
                </c:pt>
                <c:pt idx="12">
                  <c:v>40.200000000000003</c:v>
                </c:pt>
                <c:pt idx="13">
                  <c:v>36.300000000000004</c:v>
                </c:pt>
                <c:pt idx="14">
                  <c:v>35.200000000000003</c:v>
                </c:pt>
                <c:pt idx="15">
                  <c:v>32.700000000000003</c:v>
                </c:pt>
                <c:pt idx="16">
                  <c:v>33.300000000000004</c:v>
                </c:pt>
                <c:pt idx="17">
                  <c:v>28.2</c:v>
                </c:pt>
                <c:pt idx="18">
                  <c:v>26.1</c:v>
                </c:pt>
                <c:pt idx="19">
                  <c:v>24.6</c:v>
                </c:pt>
                <c:pt idx="20">
                  <c:v>16.399999999999999</c:v>
                </c:pt>
                <c:pt idx="21">
                  <c:v>11</c:v>
                </c:pt>
              </c:numCache>
            </c:numRef>
          </c:val>
        </c:ser>
        <c:ser>
          <c:idx val="2"/>
          <c:order val="2"/>
          <c:tx>
            <c:strRef>
              <c:f>Mate_dpto!$E$3</c:f>
              <c:strCache>
                <c:ptCount val="1"/>
                <c:pt idx="0">
                  <c:v>Nivel 2</c:v>
                </c:pt>
              </c:strCache>
            </c:strRef>
          </c:tx>
          <c:dLbls>
            <c:txPr>
              <a:bodyPr/>
              <a:lstStyle/>
              <a:p>
                <a:pPr>
                  <a:defRPr lang="en-US" sz="800"/>
                </a:pPr>
                <a:endParaRPr lang="en-US"/>
              </a:p>
            </c:txPr>
            <c:showVal val="1"/>
          </c:dLbls>
          <c:cat>
            <c:strRef>
              <c:f>Mate_dpto!$B$4:$B$25</c:f>
              <c:strCache>
                <c:ptCount val="22"/>
                <c:pt idx="0">
                  <c:v> TACNA</c:v>
                </c:pt>
                <c:pt idx="1">
                  <c:v> AREQUIPA</c:v>
                </c:pt>
                <c:pt idx="2">
                  <c:v> MOQUEGUA</c:v>
                </c:pt>
                <c:pt idx="3">
                  <c:v> ICA</c:v>
                </c:pt>
                <c:pt idx="4">
                  <c:v> CALLAO</c:v>
                </c:pt>
                <c:pt idx="5">
                  <c:v> LIMA METROPOLITANA</c:v>
                </c:pt>
                <c:pt idx="6">
                  <c:v> PASCO</c:v>
                </c:pt>
                <c:pt idx="7">
                  <c:v> JUNÍN</c:v>
                </c:pt>
                <c:pt idx="8">
                  <c:v> LAMBAYEQUE</c:v>
                </c:pt>
                <c:pt idx="9">
                  <c:v> LIMA PROVINCIAS</c:v>
                </c:pt>
                <c:pt idx="10">
                  <c:v> AMAZONAS</c:v>
                </c:pt>
                <c:pt idx="11">
                  <c:v> LA LIBERTAD</c:v>
                </c:pt>
                <c:pt idx="12">
                  <c:v>TUMBES</c:v>
                </c:pt>
                <c:pt idx="13">
                  <c:v> PIURA</c:v>
                </c:pt>
                <c:pt idx="14">
                  <c:v> CUSCO</c:v>
                </c:pt>
                <c:pt idx="15">
                  <c:v> ANCASH</c:v>
                </c:pt>
                <c:pt idx="16">
                  <c:v> MADRE DE DIOS</c:v>
                </c:pt>
                <c:pt idx="17">
                  <c:v> HUÁNUCO</c:v>
                </c:pt>
                <c:pt idx="18">
                  <c:v> SAN MARTIN</c:v>
                </c:pt>
                <c:pt idx="19">
                  <c:v> APURÍMAC</c:v>
                </c:pt>
                <c:pt idx="20">
                  <c:v>UCAYALI</c:v>
                </c:pt>
                <c:pt idx="21">
                  <c:v> LORETO</c:v>
                </c:pt>
              </c:strCache>
            </c:strRef>
          </c:cat>
          <c:val>
            <c:numRef>
              <c:f>Mate_dpto!$E$4:$E$25</c:f>
              <c:numCache>
                <c:formatCode>General</c:formatCode>
                <c:ptCount val="22"/>
                <c:pt idx="0">
                  <c:v>14.9</c:v>
                </c:pt>
                <c:pt idx="1">
                  <c:v>14.4</c:v>
                </c:pt>
                <c:pt idx="2">
                  <c:v>16</c:v>
                </c:pt>
                <c:pt idx="3">
                  <c:v>12</c:v>
                </c:pt>
                <c:pt idx="4">
                  <c:v>10.6</c:v>
                </c:pt>
                <c:pt idx="5">
                  <c:v>10.6</c:v>
                </c:pt>
                <c:pt idx="6">
                  <c:v>10.4</c:v>
                </c:pt>
                <c:pt idx="7">
                  <c:v>11.2</c:v>
                </c:pt>
                <c:pt idx="8">
                  <c:v>10.5</c:v>
                </c:pt>
                <c:pt idx="9">
                  <c:v>10.5</c:v>
                </c:pt>
                <c:pt idx="10">
                  <c:v>10</c:v>
                </c:pt>
                <c:pt idx="11">
                  <c:v>8.3000000000000007</c:v>
                </c:pt>
                <c:pt idx="12">
                  <c:v>5.8</c:v>
                </c:pt>
                <c:pt idx="13">
                  <c:v>7.7</c:v>
                </c:pt>
                <c:pt idx="14">
                  <c:v>6.4</c:v>
                </c:pt>
                <c:pt idx="15">
                  <c:v>7.3</c:v>
                </c:pt>
                <c:pt idx="16">
                  <c:v>5.7</c:v>
                </c:pt>
                <c:pt idx="17">
                  <c:v>6</c:v>
                </c:pt>
                <c:pt idx="18">
                  <c:v>3.6</c:v>
                </c:pt>
                <c:pt idx="19">
                  <c:v>4.4000000000000004</c:v>
                </c:pt>
                <c:pt idx="20">
                  <c:v>1.6</c:v>
                </c:pt>
                <c:pt idx="21">
                  <c:v>0.70000000000000062</c:v>
                </c:pt>
              </c:numCache>
            </c:numRef>
          </c:val>
        </c:ser>
        <c:overlap val="100"/>
        <c:axId val="107410944"/>
        <c:axId val="107412480"/>
      </c:barChart>
      <c:catAx>
        <c:axId val="107410944"/>
        <c:scaling>
          <c:orientation val="minMax"/>
        </c:scaling>
        <c:axPos val="b"/>
        <c:tickLblPos val="nextTo"/>
        <c:txPr>
          <a:bodyPr/>
          <a:lstStyle/>
          <a:p>
            <a:pPr>
              <a:defRPr lang="en-US" sz="800"/>
            </a:pPr>
            <a:endParaRPr lang="en-US"/>
          </a:p>
        </c:txPr>
        <c:crossAx val="107412480"/>
        <c:crosses val="autoZero"/>
        <c:auto val="1"/>
        <c:lblAlgn val="ctr"/>
        <c:lblOffset val="100"/>
      </c:catAx>
      <c:valAx>
        <c:axId val="107412480"/>
        <c:scaling>
          <c:orientation val="minMax"/>
        </c:scaling>
        <c:axPos val="l"/>
        <c:majorGridlines/>
        <c:numFmt formatCode="0%" sourceLinked="1"/>
        <c:tickLblPos val="nextTo"/>
        <c:txPr>
          <a:bodyPr/>
          <a:lstStyle/>
          <a:p>
            <a:pPr>
              <a:defRPr lang="en-US"/>
            </a:pPr>
            <a:endParaRPr lang="en-US"/>
          </a:p>
        </c:txPr>
        <c:crossAx val="107410944"/>
        <c:crosses val="autoZero"/>
        <c:crossBetween val="between"/>
      </c:valAx>
    </c:plotArea>
    <c:legend>
      <c:legendPos val="b"/>
    </c:legend>
    <c:plotVisOnly val="1"/>
  </c:chart>
  <c:externalData r:id="rId1"/>
  <c:userShapes r:id="rId2"/>
</c:chartSpace>
</file>

<file path=word/charts/chart26.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9.0973498586730206E-2"/>
          <c:y val="5.4303574241369133E-2"/>
          <c:w val="0.88499170825442885"/>
          <c:h val="0.47875778292049731"/>
        </c:manualLayout>
      </c:layout>
      <c:barChart>
        <c:barDir val="col"/>
        <c:grouping val="percentStacked"/>
        <c:ser>
          <c:idx val="0"/>
          <c:order val="0"/>
          <c:tx>
            <c:strRef>
              <c:f>Lengua_dpto!$C$3</c:f>
              <c:strCache>
                <c:ptCount val="1"/>
                <c:pt idx="0">
                  <c:v>&lt; Nivel 1</c:v>
                </c:pt>
              </c:strCache>
            </c:strRef>
          </c:tx>
          <c:dLbls>
            <c:txPr>
              <a:bodyPr/>
              <a:lstStyle/>
              <a:p>
                <a:pPr>
                  <a:defRPr lang="en-US" sz="800"/>
                </a:pPr>
                <a:endParaRPr lang="en-US"/>
              </a:p>
            </c:txPr>
            <c:showVal val="1"/>
          </c:dLbls>
          <c:cat>
            <c:strRef>
              <c:f>Lengua_dpto!$B$4:$B$25</c:f>
              <c:strCache>
                <c:ptCount val="22"/>
                <c:pt idx="0">
                  <c:v> TACNA</c:v>
                </c:pt>
                <c:pt idx="1">
                  <c:v> MOQUEGUA</c:v>
                </c:pt>
                <c:pt idx="2">
                  <c:v> AREQUIPA</c:v>
                </c:pt>
                <c:pt idx="3">
                  <c:v> LIMA METROPOLITANA </c:v>
                </c:pt>
                <c:pt idx="4">
                  <c:v> CALLAO</c:v>
                </c:pt>
                <c:pt idx="5">
                  <c:v> ICA</c:v>
                </c:pt>
                <c:pt idx="6">
                  <c:v> LIMA PROVINCIAS</c:v>
                </c:pt>
                <c:pt idx="7">
                  <c:v> TUMBES</c:v>
                </c:pt>
                <c:pt idx="8">
                  <c:v> LAMBAYEQUE</c:v>
                </c:pt>
                <c:pt idx="9">
                  <c:v> JUNÍN</c:v>
                </c:pt>
                <c:pt idx="10">
                  <c:v> LA LIBERTAD</c:v>
                </c:pt>
                <c:pt idx="11">
                  <c:v> PASCO</c:v>
                </c:pt>
                <c:pt idx="12">
                  <c:v> PIURA</c:v>
                </c:pt>
                <c:pt idx="13">
                  <c:v> MADRE DE DIOS</c:v>
                </c:pt>
                <c:pt idx="14">
                  <c:v> AMAZONAS</c:v>
                </c:pt>
                <c:pt idx="15">
                  <c:v> CUSCO</c:v>
                </c:pt>
                <c:pt idx="16">
                  <c:v> ANCASH</c:v>
                </c:pt>
                <c:pt idx="17">
                  <c:v> SAN MARTÍN</c:v>
                </c:pt>
                <c:pt idx="18">
                  <c:v> HUÁNUCO</c:v>
                </c:pt>
                <c:pt idx="19">
                  <c:v> UCAYALI</c:v>
                </c:pt>
                <c:pt idx="20">
                  <c:v> APURÍMAC</c:v>
                </c:pt>
                <c:pt idx="21">
                  <c:v> LORETO</c:v>
                </c:pt>
              </c:strCache>
            </c:strRef>
          </c:cat>
          <c:val>
            <c:numRef>
              <c:f>Lengua_dpto!$C$4:$C$25</c:f>
              <c:numCache>
                <c:formatCode>General</c:formatCode>
                <c:ptCount val="22"/>
                <c:pt idx="0">
                  <c:v>8.2000000000000011</c:v>
                </c:pt>
                <c:pt idx="1">
                  <c:v>11.3</c:v>
                </c:pt>
                <c:pt idx="2">
                  <c:v>11.9</c:v>
                </c:pt>
                <c:pt idx="3">
                  <c:v>12.4</c:v>
                </c:pt>
                <c:pt idx="4">
                  <c:v>12.6</c:v>
                </c:pt>
                <c:pt idx="5">
                  <c:v>16.2</c:v>
                </c:pt>
                <c:pt idx="6">
                  <c:v>22.3</c:v>
                </c:pt>
                <c:pt idx="7">
                  <c:v>23.6</c:v>
                </c:pt>
                <c:pt idx="8">
                  <c:v>25</c:v>
                </c:pt>
                <c:pt idx="9">
                  <c:v>26.7</c:v>
                </c:pt>
                <c:pt idx="10">
                  <c:v>28</c:v>
                </c:pt>
                <c:pt idx="11">
                  <c:v>29.2</c:v>
                </c:pt>
                <c:pt idx="12">
                  <c:v>29.8</c:v>
                </c:pt>
                <c:pt idx="13">
                  <c:v>31.2</c:v>
                </c:pt>
                <c:pt idx="14">
                  <c:v>33.9</c:v>
                </c:pt>
                <c:pt idx="15">
                  <c:v>35.6</c:v>
                </c:pt>
                <c:pt idx="16">
                  <c:v>39.9</c:v>
                </c:pt>
                <c:pt idx="17">
                  <c:v>43.8</c:v>
                </c:pt>
                <c:pt idx="18">
                  <c:v>51.3</c:v>
                </c:pt>
                <c:pt idx="19">
                  <c:v>55.9</c:v>
                </c:pt>
                <c:pt idx="20">
                  <c:v>58.9</c:v>
                </c:pt>
                <c:pt idx="21">
                  <c:v>70</c:v>
                </c:pt>
              </c:numCache>
            </c:numRef>
          </c:val>
        </c:ser>
        <c:ser>
          <c:idx val="1"/>
          <c:order val="1"/>
          <c:tx>
            <c:strRef>
              <c:f>Lengua_dpto!$D$3</c:f>
              <c:strCache>
                <c:ptCount val="1"/>
                <c:pt idx="0">
                  <c:v>Nivel 1</c:v>
                </c:pt>
              </c:strCache>
            </c:strRef>
          </c:tx>
          <c:dLbls>
            <c:txPr>
              <a:bodyPr/>
              <a:lstStyle/>
              <a:p>
                <a:pPr>
                  <a:defRPr lang="en-US" sz="800"/>
                </a:pPr>
                <a:endParaRPr lang="en-US"/>
              </a:p>
            </c:txPr>
            <c:showVal val="1"/>
          </c:dLbls>
          <c:cat>
            <c:strRef>
              <c:f>Lengua_dpto!$B$4:$B$25</c:f>
              <c:strCache>
                <c:ptCount val="22"/>
                <c:pt idx="0">
                  <c:v> TACNA</c:v>
                </c:pt>
                <c:pt idx="1">
                  <c:v> MOQUEGUA</c:v>
                </c:pt>
                <c:pt idx="2">
                  <c:v> AREQUIPA</c:v>
                </c:pt>
                <c:pt idx="3">
                  <c:v> LIMA METROPOLITANA </c:v>
                </c:pt>
                <c:pt idx="4">
                  <c:v> CALLAO</c:v>
                </c:pt>
                <c:pt idx="5">
                  <c:v> ICA</c:v>
                </c:pt>
                <c:pt idx="6">
                  <c:v> LIMA PROVINCIAS</c:v>
                </c:pt>
                <c:pt idx="7">
                  <c:v> TUMBES</c:v>
                </c:pt>
                <c:pt idx="8">
                  <c:v> LAMBAYEQUE</c:v>
                </c:pt>
                <c:pt idx="9">
                  <c:v> JUNÍN</c:v>
                </c:pt>
                <c:pt idx="10">
                  <c:v> LA LIBERTAD</c:v>
                </c:pt>
                <c:pt idx="11">
                  <c:v> PASCO</c:v>
                </c:pt>
                <c:pt idx="12">
                  <c:v> PIURA</c:v>
                </c:pt>
                <c:pt idx="13">
                  <c:v> MADRE DE DIOS</c:v>
                </c:pt>
                <c:pt idx="14">
                  <c:v> AMAZONAS</c:v>
                </c:pt>
                <c:pt idx="15">
                  <c:v> CUSCO</c:v>
                </c:pt>
                <c:pt idx="16">
                  <c:v> ANCASH</c:v>
                </c:pt>
                <c:pt idx="17">
                  <c:v> SAN MARTÍN</c:v>
                </c:pt>
                <c:pt idx="18">
                  <c:v> HUÁNUCO</c:v>
                </c:pt>
                <c:pt idx="19">
                  <c:v> UCAYALI</c:v>
                </c:pt>
                <c:pt idx="20">
                  <c:v> APURÍMAC</c:v>
                </c:pt>
                <c:pt idx="21">
                  <c:v> LORETO</c:v>
                </c:pt>
              </c:strCache>
            </c:strRef>
          </c:cat>
          <c:val>
            <c:numRef>
              <c:f>Lengua_dpto!$D$4:$D$25</c:f>
              <c:numCache>
                <c:formatCode>General</c:formatCode>
                <c:ptCount val="22"/>
                <c:pt idx="0">
                  <c:v>60.3</c:v>
                </c:pt>
                <c:pt idx="1">
                  <c:v>59.2</c:v>
                </c:pt>
                <c:pt idx="2">
                  <c:v>55.1</c:v>
                </c:pt>
                <c:pt idx="3">
                  <c:v>59.4</c:v>
                </c:pt>
                <c:pt idx="4">
                  <c:v>61.2</c:v>
                </c:pt>
                <c:pt idx="5">
                  <c:v>62.7</c:v>
                </c:pt>
                <c:pt idx="6">
                  <c:v>61</c:v>
                </c:pt>
                <c:pt idx="7">
                  <c:v>62.7</c:v>
                </c:pt>
                <c:pt idx="8">
                  <c:v>56.9</c:v>
                </c:pt>
                <c:pt idx="9">
                  <c:v>56.2</c:v>
                </c:pt>
                <c:pt idx="10">
                  <c:v>56.6</c:v>
                </c:pt>
                <c:pt idx="11">
                  <c:v>58.2</c:v>
                </c:pt>
                <c:pt idx="12">
                  <c:v>56.4</c:v>
                </c:pt>
                <c:pt idx="13">
                  <c:v>58.4</c:v>
                </c:pt>
                <c:pt idx="14">
                  <c:v>55.4</c:v>
                </c:pt>
                <c:pt idx="15">
                  <c:v>53.5</c:v>
                </c:pt>
                <c:pt idx="16">
                  <c:v>47.9</c:v>
                </c:pt>
                <c:pt idx="17">
                  <c:v>49</c:v>
                </c:pt>
                <c:pt idx="18">
                  <c:v>42.1</c:v>
                </c:pt>
                <c:pt idx="19">
                  <c:v>40.200000000000003</c:v>
                </c:pt>
                <c:pt idx="20">
                  <c:v>35.1</c:v>
                </c:pt>
                <c:pt idx="21">
                  <c:v>27.9</c:v>
                </c:pt>
              </c:numCache>
            </c:numRef>
          </c:val>
        </c:ser>
        <c:ser>
          <c:idx val="2"/>
          <c:order val="2"/>
          <c:tx>
            <c:strRef>
              <c:f>Lengua_dpto!$E$3</c:f>
              <c:strCache>
                <c:ptCount val="1"/>
                <c:pt idx="0">
                  <c:v>Nivel 2</c:v>
                </c:pt>
              </c:strCache>
            </c:strRef>
          </c:tx>
          <c:dLbls>
            <c:txPr>
              <a:bodyPr/>
              <a:lstStyle/>
              <a:p>
                <a:pPr>
                  <a:defRPr lang="en-US" sz="800"/>
                </a:pPr>
                <a:endParaRPr lang="en-US"/>
              </a:p>
            </c:txPr>
            <c:showVal val="1"/>
          </c:dLbls>
          <c:cat>
            <c:strRef>
              <c:f>Lengua_dpto!$B$4:$B$25</c:f>
              <c:strCache>
                <c:ptCount val="22"/>
                <c:pt idx="0">
                  <c:v> TACNA</c:v>
                </c:pt>
                <c:pt idx="1">
                  <c:v> MOQUEGUA</c:v>
                </c:pt>
                <c:pt idx="2">
                  <c:v> AREQUIPA</c:v>
                </c:pt>
                <c:pt idx="3">
                  <c:v> LIMA METROPOLITANA </c:v>
                </c:pt>
                <c:pt idx="4">
                  <c:v> CALLAO</c:v>
                </c:pt>
                <c:pt idx="5">
                  <c:v> ICA</c:v>
                </c:pt>
                <c:pt idx="6">
                  <c:v> LIMA PROVINCIAS</c:v>
                </c:pt>
                <c:pt idx="7">
                  <c:v> TUMBES</c:v>
                </c:pt>
                <c:pt idx="8">
                  <c:v> LAMBAYEQUE</c:v>
                </c:pt>
                <c:pt idx="9">
                  <c:v> JUNÍN</c:v>
                </c:pt>
                <c:pt idx="10">
                  <c:v> LA LIBERTAD</c:v>
                </c:pt>
                <c:pt idx="11">
                  <c:v> PASCO</c:v>
                </c:pt>
                <c:pt idx="12">
                  <c:v> PIURA</c:v>
                </c:pt>
                <c:pt idx="13">
                  <c:v> MADRE DE DIOS</c:v>
                </c:pt>
                <c:pt idx="14">
                  <c:v> AMAZONAS</c:v>
                </c:pt>
                <c:pt idx="15">
                  <c:v> CUSCO</c:v>
                </c:pt>
                <c:pt idx="16">
                  <c:v> ANCASH</c:v>
                </c:pt>
                <c:pt idx="17">
                  <c:v> SAN MARTÍN</c:v>
                </c:pt>
                <c:pt idx="18">
                  <c:v> HUÁNUCO</c:v>
                </c:pt>
                <c:pt idx="19">
                  <c:v> UCAYALI</c:v>
                </c:pt>
                <c:pt idx="20">
                  <c:v> APURÍMAC</c:v>
                </c:pt>
                <c:pt idx="21">
                  <c:v> LORETO</c:v>
                </c:pt>
              </c:strCache>
            </c:strRef>
          </c:cat>
          <c:val>
            <c:numRef>
              <c:f>Lengua_dpto!$E$4:$E$25</c:f>
              <c:numCache>
                <c:formatCode>General</c:formatCode>
                <c:ptCount val="22"/>
                <c:pt idx="0">
                  <c:v>31.5</c:v>
                </c:pt>
                <c:pt idx="1">
                  <c:v>29.5</c:v>
                </c:pt>
                <c:pt idx="2">
                  <c:v>33</c:v>
                </c:pt>
                <c:pt idx="3">
                  <c:v>28.2</c:v>
                </c:pt>
                <c:pt idx="4">
                  <c:v>26.2</c:v>
                </c:pt>
                <c:pt idx="5">
                  <c:v>21.1</c:v>
                </c:pt>
                <c:pt idx="6">
                  <c:v>16.7</c:v>
                </c:pt>
                <c:pt idx="7">
                  <c:v>13.7</c:v>
                </c:pt>
                <c:pt idx="8">
                  <c:v>18.100000000000001</c:v>
                </c:pt>
                <c:pt idx="9">
                  <c:v>17.100000000000001</c:v>
                </c:pt>
                <c:pt idx="10">
                  <c:v>15.4</c:v>
                </c:pt>
                <c:pt idx="11">
                  <c:v>12.5</c:v>
                </c:pt>
                <c:pt idx="12">
                  <c:v>13.7</c:v>
                </c:pt>
                <c:pt idx="13">
                  <c:v>10.4</c:v>
                </c:pt>
                <c:pt idx="14">
                  <c:v>10.7</c:v>
                </c:pt>
                <c:pt idx="15">
                  <c:v>10.9</c:v>
                </c:pt>
                <c:pt idx="16">
                  <c:v>12.2</c:v>
                </c:pt>
                <c:pt idx="17">
                  <c:v>7.2</c:v>
                </c:pt>
                <c:pt idx="18">
                  <c:v>6.7</c:v>
                </c:pt>
                <c:pt idx="19">
                  <c:v>4</c:v>
                </c:pt>
                <c:pt idx="20">
                  <c:v>6</c:v>
                </c:pt>
                <c:pt idx="21">
                  <c:v>2.1</c:v>
                </c:pt>
              </c:numCache>
            </c:numRef>
          </c:val>
        </c:ser>
        <c:overlap val="100"/>
        <c:axId val="107754624"/>
        <c:axId val="107756160"/>
      </c:barChart>
      <c:catAx>
        <c:axId val="107754624"/>
        <c:scaling>
          <c:orientation val="minMax"/>
        </c:scaling>
        <c:axPos val="b"/>
        <c:tickLblPos val="nextTo"/>
        <c:txPr>
          <a:bodyPr/>
          <a:lstStyle/>
          <a:p>
            <a:pPr>
              <a:defRPr lang="en-US" sz="800"/>
            </a:pPr>
            <a:endParaRPr lang="en-US"/>
          </a:p>
        </c:txPr>
        <c:crossAx val="107756160"/>
        <c:crosses val="autoZero"/>
        <c:auto val="1"/>
        <c:lblAlgn val="ctr"/>
        <c:lblOffset val="100"/>
      </c:catAx>
      <c:valAx>
        <c:axId val="107756160"/>
        <c:scaling>
          <c:orientation val="minMax"/>
        </c:scaling>
        <c:axPos val="l"/>
        <c:majorGridlines/>
        <c:numFmt formatCode="0%" sourceLinked="1"/>
        <c:tickLblPos val="nextTo"/>
        <c:txPr>
          <a:bodyPr/>
          <a:lstStyle/>
          <a:p>
            <a:pPr>
              <a:defRPr lang="en-US"/>
            </a:pPr>
            <a:endParaRPr lang="en-US"/>
          </a:p>
        </c:txPr>
        <c:crossAx val="107754624"/>
        <c:crosses val="autoZero"/>
        <c:crossBetween val="between"/>
      </c:valAx>
    </c:plotArea>
    <c:legend>
      <c:legendPos val="b"/>
      <c:layout>
        <c:manualLayout>
          <c:xMode val="edge"/>
          <c:yMode val="edge"/>
          <c:x val="0.33519263189931792"/>
          <c:y val="0.89402287881116138"/>
          <c:w val="0.32524460176309272"/>
          <c:h val="7.6630499458705023E-2"/>
        </c:manualLayout>
      </c:layout>
      <c:txPr>
        <a:bodyPr/>
        <a:lstStyle/>
        <a:p>
          <a:pPr>
            <a:defRPr lang="en-US" sz="800"/>
          </a:pPr>
          <a:endParaRPr lang="en-US"/>
        </a:p>
      </c:txPr>
    </c:legend>
    <c:plotVisOnly val="1"/>
  </c:chart>
  <c:externalData r:id="rId1"/>
  <c:userShapes r:id="rId2"/>
</c:chartSpace>
</file>

<file path=word/charts/chart27.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6.6829319782816407E-2"/>
          <c:y val="6.2233634992991997E-2"/>
          <c:w val="0.90730050147776198"/>
          <c:h val="0.46807239125599326"/>
        </c:manualLayout>
      </c:layout>
      <c:barChart>
        <c:barDir val="col"/>
        <c:grouping val="clustered"/>
        <c:ser>
          <c:idx val="0"/>
          <c:order val="0"/>
          <c:tx>
            <c:strRef>
              <c:f>gráficos3!$G$79</c:f>
              <c:strCache>
                <c:ptCount val="1"/>
                <c:pt idx="0">
                  <c:v>Reading</c:v>
                </c:pt>
              </c:strCache>
            </c:strRef>
          </c:tx>
          <c:cat>
            <c:strRef>
              <c:f>gráficos3!$F$80:$F$104</c:f>
              <c:strCache>
                <c:ptCount val="25"/>
                <c:pt idx="0">
                  <c:v>Huancavelica</c:v>
                </c:pt>
                <c:pt idx="1">
                  <c:v>Cajamarca</c:v>
                </c:pt>
                <c:pt idx="2">
                  <c:v>Huánuco</c:v>
                </c:pt>
                <c:pt idx="3">
                  <c:v>Amazonas</c:v>
                </c:pt>
                <c:pt idx="4">
                  <c:v>Apurímac</c:v>
                </c:pt>
                <c:pt idx="5">
                  <c:v>Puno</c:v>
                </c:pt>
                <c:pt idx="6">
                  <c:v>Cusco</c:v>
                </c:pt>
                <c:pt idx="7">
                  <c:v>Ayacucho</c:v>
                </c:pt>
                <c:pt idx="8">
                  <c:v>Pasco</c:v>
                </c:pt>
                <c:pt idx="9">
                  <c:v>Ancash</c:v>
                </c:pt>
                <c:pt idx="10">
                  <c:v>San Martín</c:v>
                </c:pt>
                <c:pt idx="11">
                  <c:v>Loreto</c:v>
                </c:pt>
                <c:pt idx="12">
                  <c:v>Junín</c:v>
                </c:pt>
                <c:pt idx="13">
                  <c:v>Madre de Dios</c:v>
                </c:pt>
                <c:pt idx="14">
                  <c:v>Piura</c:v>
                </c:pt>
                <c:pt idx="15">
                  <c:v>Ucayali</c:v>
                </c:pt>
                <c:pt idx="16">
                  <c:v>La Libertad</c:v>
                </c:pt>
                <c:pt idx="17">
                  <c:v>Lambayeque</c:v>
                </c:pt>
                <c:pt idx="18">
                  <c:v>Moquegua</c:v>
                </c:pt>
                <c:pt idx="19">
                  <c:v>Ica</c:v>
                </c:pt>
                <c:pt idx="20">
                  <c:v>Arequipa</c:v>
                </c:pt>
                <c:pt idx="21">
                  <c:v>Tumbes</c:v>
                </c:pt>
                <c:pt idx="22">
                  <c:v>Tacna</c:v>
                </c:pt>
                <c:pt idx="23">
                  <c:v>Lima</c:v>
                </c:pt>
                <c:pt idx="24">
                  <c:v>Callao</c:v>
                </c:pt>
              </c:strCache>
            </c:strRef>
          </c:cat>
          <c:val>
            <c:numRef>
              <c:f>gráficos3!$G$80:$G$104</c:f>
              <c:numCache>
                <c:formatCode>General</c:formatCode>
                <c:ptCount val="25"/>
                <c:pt idx="0">
                  <c:v>6.6</c:v>
                </c:pt>
                <c:pt idx="1">
                  <c:v>11.6</c:v>
                </c:pt>
                <c:pt idx="2">
                  <c:v>6.6</c:v>
                </c:pt>
                <c:pt idx="3">
                  <c:v>9.9</c:v>
                </c:pt>
                <c:pt idx="4">
                  <c:v>8.2000000000000011</c:v>
                </c:pt>
                <c:pt idx="5">
                  <c:v>8.7000000000000011</c:v>
                </c:pt>
                <c:pt idx="6">
                  <c:v>10.6</c:v>
                </c:pt>
                <c:pt idx="7">
                  <c:v>7.8</c:v>
                </c:pt>
                <c:pt idx="8">
                  <c:v>11.4</c:v>
                </c:pt>
                <c:pt idx="9">
                  <c:v>12</c:v>
                </c:pt>
                <c:pt idx="10">
                  <c:v>6.4</c:v>
                </c:pt>
                <c:pt idx="11">
                  <c:v>3.7</c:v>
                </c:pt>
                <c:pt idx="12">
                  <c:v>16.7</c:v>
                </c:pt>
                <c:pt idx="13">
                  <c:v>8.7000000000000011</c:v>
                </c:pt>
                <c:pt idx="14">
                  <c:v>13.5</c:v>
                </c:pt>
                <c:pt idx="15">
                  <c:v>6.3</c:v>
                </c:pt>
                <c:pt idx="16">
                  <c:v>15.4</c:v>
                </c:pt>
                <c:pt idx="17">
                  <c:v>20</c:v>
                </c:pt>
                <c:pt idx="18">
                  <c:v>28.8</c:v>
                </c:pt>
                <c:pt idx="19">
                  <c:v>17.899999999999999</c:v>
                </c:pt>
                <c:pt idx="20">
                  <c:v>31.3</c:v>
                </c:pt>
                <c:pt idx="21">
                  <c:v>14.9</c:v>
                </c:pt>
                <c:pt idx="22">
                  <c:v>25.6</c:v>
                </c:pt>
                <c:pt idx="23">
                  <c:v>25.4</c:v>
                </c:pt>
                <c:pt idx="24">
                  <c:v>24.7</c:v>
                </c:pt>
              </c:numCache>
            </c:numRef>
          </c:val>
        </c:ser>
        <c:ser>
          <c:idx val="1"/>
          <c:order val="1"/>
          <c:tx>
            <c:strRef>
              <c:f>gráficos3!$H$79</c:f>
              <c:strCache>
                <c:ptCount val="1"/>
                <c:pt idx="0">
                  <c:v>Math</c:v>
                </c:pt>
              </c:strCache>
            </c:strRef>
          </c:tx>
          <c:cat>
            <c:strRef>
              <c:f>gráficos3!$F$80:$F$104</c:f>
              <c:strCache>
                <c:ptCount val="25"/>
                <c:pt idx="0">
                  <c:v>Huancavelica</c:v>
                </c:pt>
                <c:pt idx="1">
                  <c:v>Cajamarca</c:v>
                </c:pt>
                <c:pt idx="2">
                  <c:v>Huánuco</c:v>
                </c:pt>
                <c:pt idx="3">
                  <c:v>Amazonas</c:v>
                </c:pt>
                <c:pt idx="4">
                  <c:v>Apurímac</c:v>
                </c:pt>
                <c:pt idx="5">
                  <c:v>Puno</c:v>
                </c:pt>
                <c:pt idx="6">
                  <c:v>Cusco</c:v>
                </c:pt>
                <c:pt idx="7">
                  <c:v>Ayacucho</c:v>
                </c:pt>
                <c:pt idx="8">
                  <c:v>Pasco</c:v>
                </c:pt>
                <c:pt idx="9">
                  <c:v>Ancash</c:v>
                </c:pt>
                <c:pt idx="10">
                  <c:v>San Martín</c:v>
                </c:pt>
                <c:pt idx="11">
                  <c:v>Loreto</c:v>
                </c:pt>
                <c:pt idx="12">
                  <c:v>Junín</c:v>
                </c:pt>
                <c:pt idx="13">
                  <c:v>Madre de Dios</c:v>
                </c:pt>
                <c:pt idx="14">
                  <c:v>Piura</c:v>
                </c:pt>
                <c:pt idx="15">
                  <c:v>Ucayali</c:v>
                </c:pt>
                <c:pt idx="16">
                  <c:v>La Libertad</c:v>
                </c:pt>
                <c:pt idx="17">
                  <c:v>Lambayeque</c:v>
                </c:pt>
                <c:pt idx="18">
                  <c:v>Moquegua</c:v>
                </c:pt>
                <c:pt idx="19">
                  <c:v>Ica</c:v>
                </c:pt>
                <c:pt idx="20">
                  <c:v>Arequipa</c:v>
                </c:pt>
                <c:pt idx="21">
                  <c:v>Tumbes</c:v>
                </c:pt>
                <c:pt idx="22">
                  <c:v>Tacna</c:v>
                </c:pt>
                <c:pt idx="23">
                  <c:v>Lima</c:v>
                </c:pt>
                <c:pt idx="24">
                  <c:v>Callao</c:v>
                </c:pt>
              </c:strCache>
            </c:strRef>
          </c:cat>
          <c:val>
            <c:numRef>
              <c:f>gráficos3!$H$80:$H$104</c:f>
              <c:numCache>
                <c:formatCode>General</c:formatCode>
                <c:ptCount val="25"/>
                <c:pt idx="0">
                  <c:v>6.4</c:v>
                </c:pt>
                <c:pt idx="1">
                  <c:v>10.3</c:v>
                </c:pt>
                <c:pt idx="2">
                  <c:v>4.8</c:v>
                </c:pt>
                <c:pt idx="3">
                  <c:v>9.8000000000000007</c:v>
                </c:pt>
                <c:pt idx="4">
                  <c:v>7.3</c:v>
                </c:pt>
                <c:pt idx="5">
                  <c:v>7.7</c:v>
                </c:pt>
                <c:pt idx="6">
                  <c:v>4.8</c:v>
                </c:pt>
                <c:pt idx="7">
                  <c:v>6.2</c:v>
                </c:pt>
                <c:pt idx="8">
                  <c:v>7.9</c:v>
                </c:pt>
                <c:pt idx="9">
                  <c:v>6.9</c:v>
                </c:pt>
                <c:pt idx="10">
                  <c:v>3.8</c:v>
                </c:pt>
                <c:pt idx="11">
                  <c:v>2.2000000000000002</c:v>
                </c:pt>
                <c:pt idx="12">
                  <c:v>10.3</c:v>
                </c:pt>
                <c:pt idx="13">
                  <c:v>2.6</c:v>
                </c:pt>
                <c:pt idx="14">
                  <c:v>5.7</c:v>
                </c:pt>
                <c:pt idx="15">
                  <c:v>2.1</c:v>
                </c:pt>
                <c:pt idx="16">
                  <c:v>7.2</c:v>
                </c:pt>
                <c:pt idx="17">
                  <c:v>8</c:v>
                </c:pt>
                <c:pt idx="18">
                  <c:v>13.6</c:v>
                </c:pt>
                <c:pt idx="19">
                  <c:v>9.3000000000000007</c:v>
                </c:pt>
                <c:pt idx="20">
                  <c:v>10.7</c:v>
                </c:pt>
                <c:pt idx="21">
                  <c:v>7.8</c:v>
                </c:pt>
                <c:pt idx="22">
                  <c:v>10.200000000000001</c:v>
                </c:pt>
                <c:pt idx="23">
                  <c:v>8.1</c:v>
                </c:pt>
                <c:pt idx="24">
                  <c:v>6.9</c:v>
                </c:pt>
              </c:numCache>
            </c:numRef>
          </c:val>
        </c:ser>
        <c:axId val="107884544"/>
        <c:axId val="107887616"/>
      </c:barChart>
      <c:catAx>
        <c:axId val="107884544"/>
        <c:scaling>
          <c:orientation val="minMax"/>
        </c:scaling>
        <c:axPos val="b"/>
        <c:tickLblPos val="nextTo"/>
        <c:txPr>
          <a:bodyPr/>
          <a:lstStyle/>
          <a:p>
            <a:pPr>
              <a:defRPr lang="en-US" sz="900"/>
            </a:pPr>
            <a:endParaRPr lang="en-US"/>
          </a:p>
        </c:txPr>
        <c:crossAx val="107887616"/>
        <c:crosses val="autoZero"/>
        <c:auto val="1"/>
        <c:lblAlgn val="ctr"/>
        <c:lblOffset val="100"/>
      </c:catAx>
      <c:valAx>
        <c:axId val="107887616"/>
        <c:scaling>
          <c:orientation val="minMax"/>
        </c:scaling>
        <c:axPos val="l"/>
        <c:majorGridlines/>
        <c:numFmt formatCode="General" sourceLinked="1"/>
        <c:tickLblPos val="nextTo"/>
        <c:txPr>
          <a:bodyPr/>
          <a:lstStyle/>
          <a:p>
            <a:pPr>
              <a:defRPr lang="en-US"/>
            </a:pPr>
            <a:endParaRPr lang="en-US"/>
          </a:p>
        </c:txPr>
        <c:crossAx val="107884544"/>
        <c:crosses val="autoZero"/>
        <c:crossBetween val="between"/>
      </c:valAx>
    </c:plotArea>
    <c:legend>
      <c:legendPos val="b"/>
      <c:txPr>
        <a:bodyPr/>
        <a:lstStyle/>
        <a:p>
          <a:pPr>
            <a:defRPr lang="en-US"/>
          </a:pPr>
          <a:endParaRPr lang="en-US"/>
        </a:p>
      </c:txPr>
    </c:legend>
    <c:plotVisOnly val="1"/>
  </c:chart>
  <c:externalData r:id="rId1"/>
</c:chartSpace>
</file>

<file path=word/charts/chart28.xml><?xml version="1.0" encoding="utf-8"?>
<c:chartSpace xmlns:c="http://schemas.openxmlformats.org/drawingml/2006/chart" xmlns:a="http://schemas.openxmlformats.org/drawingml/2006/main" xmlns:r="http://schemas.openxmlformats.org/officeDocument/2006/relationships">
  <c:lang val="en-US"/>
  <c:style val="34"/>
  <c:chart>
    <c:plotArea>
      <c:layout/>
      <c:lineChart>
        <c:grouping val="standard"/>
        <c:ser>
          <c:idx val="0"/>
          <c:order val="0"/>
          <c:tx>
            <c:strRef>
              <c:f>gráficos3!$A$4</c:f>
              <c:strCache>
                <c:ptCount val="1"/>
                <c:pt idx="0">
                  <c:v>Total</c:v>
                </c:pt>
              </c:strCache>
            </c:strRef>
          </c:tx>
          <c:marker>
            <c:symbol val="none"/>
          </c:marker>
          <c:cat>
            <c:numRef>
              <c:f>gráficos3!$B$3:$M$3</c:f>
              <c:numCache>
                <c:formatCode>General</c:formatCode>
                <c:ptCount val="12"/>
                <c:pt idx="0">
                  <c:v>1985</c:v>
                </c:pt>
                <c:pt idx="1">
                  <c:v>1994</c:v>
                </c:pt>
                <c:pt idx="2">
                  <c:v>1998</c:v>
                </c:pt>
                <c:pt idx="3">
                  <c:v>1999</c:v>
                </c:pt>
                <c:pt idx="4">
                  <c:v>2000</c:v>
                </c:pt>
                <c:pt idx="5">
                  <c:v>2001</c:v>
                </c:pt>
                <c:pt idx="6">
                  <c:v>2002</c:v>
                </c:pt>
                <c:pt idx="7">
                  <c:v>2003</c:v>
                </c:pt>
                <c:pt idx="8">
                  <c:v>2004</c:v>
                </c:pt>
                <c:pt idx="9">
                  <c:v>2005</c:v>
                </c:pt>
                <c:pt idx="10">
                  <c:v>2006</c:v>
                </c:pt>
                <c:pt idx="11">
                  <c:v>2007</c:v>
                </c:pt>
              </c:numCache>
            </c:numRef>
          </c:cat>
          <c:val>
            <c:numRef>
              <c:f>gráficos3!$B$4:$M$4</c:f>
              <c:numCache>
                <c:formatCode>General</c:formatCode>
                <c:ptCount val="12"/>
                <c:pt idx="0">
                  <c:v>16.5</c:v>
                </c:pt>
                <c:pt idx="1">
                  <c:v>9.9</c:v>
                </c:pt>
                <c:pt idx="2">
                  <c:v>12.1</c:v>
                </c:pt>
                <c:pt idx="3">
                  <c:v>12.2</c:v>
                </c:pt>
                <c:pt idx="4">
                  <c:v>11.6</c:v>
                </c:pt>
                <c:pt idx="5">
                  <c:v>11.9</c:v>
                </c:pt>
                <c:pt idx="6">
                  <c:v>11.8</c:v>
                </c:pt>
                <c:pt idx="7">
                  <c:v>11.8</c:v>
                </c:pt>
                <c:pt idx="8">
                  <c:v>11.6</c:v>
                </c:pt>
                <c:pt idx="9">
                  <c:v>11.4</c:v>
                </c:pt>
                <c:pt idx="10">
                  <c:v>10.9</c:v>
                </c:pt>
                <c:pt idx="11">
                  <c:v>10.5</c:v>
                </c:pt>
              </c:numCache>
            </c:numRef>
          </c:val>
        </c:ser>
        <c:ser>
          <c:idx val="1"/>
          <c:order val="1"/>
          <c:tx>
            <c:strRef>
              <c:f>gráficos3!$A$5</c:f>
              <c:strCache>
                <c:ptCount val="1"/>
                <c:pt idx="0">
                  <c:v>Urban</c:v>
                </c:pt>
              </c:strCache>
            </c:strRef>
          </c:tx>
          <c:marker>
            <c:symbol val="none"/>
          </c:marker>
          <c:cat>
            <c:numRef>
              <c:f>gráficos3!$B$3:$M$3</c:f>
              <c:numCache>
                <c:formatCode>General</c:formatCode>
                <c:ptCount val="12"/>
                <c:pt idx="0">
                  <c:v>1985</c:v>
                </c:pt>
                <c:pt idx="1">
                  <c:v>1994</c:v>
                </c:pt>
                <c:pt idx="2">
                  <c:v>1998</c:v>
                </c:pt>
                <c:pt idx="3">
                  <c:v>1999</c:v>
                </c:pt>
                <c:pt idx="4">
                  <c:v>2000</c:v>
                </c:pt>
                <c:pt idx="5">
                  <c:v>2001</c:v>
                </c:pt>
                <c:pt idx="6">
                  <c:v>2002</c:v>
                </c:pt>
                <c:pt idx="7">
                  <c:v>2003</c:v>
                </c:pt>
                <c:pt idx="8">
                  <c:v>2004</c:v>
                </c:pt>
                <c:pt idx="9">
                  <c:v>2005</c:v>
                </c:pt>
                <c:pt idx="10">
                  <c:v>2006</c:v>
                </c:pt>
                <c:pt idx="11">
                  <c:v>2007</c:v>
                </c:pt>
              </c:numCache>
            </c:numRef>
          </c:cat>
          <c:val>
            <c:numRef>
              <c:f>gráficos3!$B$5:$M$5</c:f>
              <c:numCache>
                <c:formatCode>General</c:formatCode>
                <c:ptCount val="12"/>
                <c:pt idx="0">
                  <c:v>6.1</c:v>
                </c:pt>
                <c:pt idx="1">
                  <c:v>5</c:v>
                </c:pt>
                <c:pt idx="2">
                  <c:v>5.3</c:v>
                </c:pt>
                <c:pt idx="3">
                  <c:v>5.5</c:v>
                </c:pt>
                <c:pt idx="4">
                  <c:v>5.2</c:v>
                </c:pt>
                <c:pt idx="5">
                  <c:v>6</c:v>
                </c:pt>
                <c:pt idx="6">
                  <c:v>5.9</c:v>
                </c:pt>
                <c:pt idx="7">
                  <c:v>5.5</c:v>
                </c:pt>
                <c:pt idx="8">
                  <c:v>5.5</c:v>
                </c:pt>
                <c:pt idx="9">
                  <c:v>5.6</c:v>
                </c:pt>
                <c:pt idx="10">
                  <c:v>5.5</c:v>
                </c:pt>
                <c:pt idx="11">
                  <c:v>5.0999999999999996</c:v>
                </c:pt>
              </c:numCache>
            </c:numRef>
          </c:val>
        </c:ser>
        <c:ser>
          <c:idx val="2"/>
          <c:order val="2"/>
          <c:tx>
            <c:strRef>
              <c:f>gráficos3!$A$6</c:f>
              <c:strCache>
                <c:ptCount val="1"/>
                <c:pt idx="0">
                  <c:v>Rural</c:v>
                </c:pt>
              </c:strCache>
            </c:strRef>
          </c:tx>
          <c:marker>
            <c:symbol val="none"/>
          </c:marker>
          <c:cat>
            <c:numRef>
              <c:f>gráficos3!$B$3:$M$3</c:f>
              <c:numCache>
                <c:formatCode>General</c:formatCode>
                <c:ptCount val="12"/>
                <c:pt idx="0">
                  <c:v>1985</c:v>
                </c:pt>
                <c:pt idx="1">
                  <c:v>1994</c:v>
                </c:pt>
                <c:pt idx="2">
                  <c:v>1998</c:v>
                </c:pt>
                <c:pt idx="3">
                  <c:v>1999</c:v>
                </c:pt>
                <c:pt idx="4">
                  <c:v>2000</c:v>
                </c:pt>
                <c:pt idx="5">
                  <c:v>2001</c:v>
                </c:pt>
                <c:pt idx="6">
                  <c:v>2002</c:v>
                </c:pt>
                <c:pt idx="7">
                  <c:v>2003</c:v>
                </c:pt>
                <c:pt idx="8">
                  <c:v>2004</c:v>
                </c:pt>
                <c:pt idx="9">
                  <c:v>2005</c:v>
                </c:pt>
                <c:pt idx="10">
                  <c:v>2006</c:v>
                </c:pt>
                <c:pt idx="11">
                  <c:v>2007</c:v>
                </c:pt>
              </c:numCache>
            </c:numRef>
          </c:cat>
          <c:val>
            <c:numRef>
              <c:f>gráficos3!$B$6:$M$6</c:f>
              <c:numCache>
                <c:formatCode>General</c:formatCode>
                <c:ptCount val="12"/>
                <c:pt idx="0">
                  <c:v>36.1</c:v>
                </c:pt>
                <c:pt idx="1">
                  <c:v>20.399999999999999</c:v>
                </c:pt>
                <c:pt idx="2">
                  <c:v>27.5</c:v>
                </c:pt>
                <c:pt idx="3">
                  <c:v>27.9</c:v>
                </c:pt>
                <c:pt idx="4">
                  <c:v>25.8</c:v>
                </c:pt>
                <c:pt idx="5">
                  <c:v>24.8</c:v>
                </c:pt>
                <c:pt idx="6">
                  <c:v>24.9</c:v>
                </c:pt>
                <c:pt idx="7">
                  <c:v>25.6</c:v>
                </c:pt>
                <c:pt idx="8">
                  <c:v>24.9</c:v>
                </c:pt>
                <c:pt idx="9">
                  <c:v>24</c:v>
                </c:pt>
                <c:pt idx="10">
                  <c:v>22.6</c:v>
                </c:pt>
                <c:pt idx="11">
                  <c:v>22.1</c:v>
                </c:pt>
              </c:numCache>
            </c:numRef>
          </c:val>
        </c:ser>
        <c:marker val="1"/>
        <c:axId val="107929600"/>
        <c:axId val="107931136"/>
      </c:lineChart>
      <c:catAx>
        <c:axId val="107929600"/>
        <c:scaling>
          <c:orientation val="minMax"/>
        </c:scaling>
        <c:axPos val="b"/>
        <c:numFmt formatCode="General" sourceLinked="1"/>
        <c:tickLblPos val="nextTo"/>
        <c:txPr>
          <a:bodyPr rot="-5400000" vert="horz"/>
          <a:lstStyle/>
          <a:p>
            <a:pPr>
              <a:defRPr lang="en-US"/>
            </a:pPr>
            <a:endParaRPr lang="en-US"/>
          </a:p>
        </c:txPr>
        <c:crossAx val="107931136"/>
        <c:crosses val="autoZero"/>
        <c:auto val="1"/>
        <c:lblAlgn val="ctr"/>
        <c:lblOffset val="100"/>
      </c:catAx>
      <c:valAx>
        <c:axId val="107931136"/>
        <c:scaling>
          <c:orientation val="minMax"/>
        </c:scaling>
        <c:axPos val="l"/>
        <c:majorGridlines/>
        <c:numFmt formatCode="General" sourceLinked="1"/>
        <c:tickLblPos val="nextTo"/>
        <c:txPr>
          <a:bodyPr/>
          <a:lstStyle/>
          <a:p>
            <a:pPr>
              <a:defRPr lang="en-US"/>
            </a:pPr>
            <a:endParaRPr lang="en-US"/>
          </a:p>
        </c:txPr>
        <c:crossAx val="107929600"/>
        <c:crosses val="autoZero"/>
        <c:crossBetween val="between"/>
      </c:valAx>
    </c:plotArea>
    <c:legend>
      <c:legendPos val="r"/>
      <c:txPr>
        <a:bodyPr/>
        <a:lstStyle/>
        <a:p>
          <a:pPr>
            <a:defRPr lang="en-US"/>
          </a:pPr>
          <a:endParaRPr lang="en-US"/>
        </a:p>
      </c:txPr>
    </c:legend>
    <c:plotVisOnly val="1"/>
  </c:chart>
  <c:externalData r:id="rId1"/>
</c:chartSpace>
</file>

<file path=word/charts/chart29.xml><?xml version="1.0" encoding="utf-8"?>
<c:chartSpace xmlns:c="http://schemas.openxmlformats.org/drawingml/2006/chart" xmlns:a="http://schemas.openxmlformats.org/drawingml/2006/main" xmlns:r="http://schemas.openxmlformats.org/officeDocument/2006/relationships">
  <c:date1904 val="1"/>
  <c:lang val="en-US"/>
  <c:style val="34"/>
  <c:chart>
    <c:plotArea>
      <c:layout/>
      <c:lineChart>
        <c:grouping val="standard"/>
        <c:ser>
          <c:idx val="0"/>
          <c:order val="0"/>
          <c:tx>
            <c:strRef>
              <c:f>gráficos3!$A$31</c:f>
              <c:strCache>
                <c:ptCount val="1"/>
                <c:pt idx="0">
                  <c:v>Not poor</c:v>
                </c:pt>
              </c:strCache>
            </c:strRef>
          </c:tx>
          <c:marker>
            <c:symbol val="none"/>
          </c:marker>
          <c:cat>
            <c:numRef>
              <c:f>gráficos3!$B$30:$K$30</c:f>
              <c:numCache>
                <c:formatCode>General</c:formatCode>
                <c:ptCount val="10"/>
                <c:pt idx="0">
                  <c:v>1985</c:v>
                </c:pt>
                <c:pt idx="1">
                  <c:v>1994</c:v>
                </c:pt>
                <c:pt idx="2">
                  <c:v>1998</c:v>
                </c:pt>
                <c:pt idx="3">
                  <c:v>1999</c:v>
                </c:pt>
                <c:pt idx="4">
                  <c:v>2000</c:v>
                </c:pt>
                <c:pt idx="5">
                  <c:v>2001</c:v>
                </c:pt>
                <c:pt idx="6">
                  <c:v>2002</c:v>
                </c:pt>
                <c:pt idx="7">
                  <c:v>2003</c:v>
                </c:pt>
                <c:pt idx="8">
                  <c:v>2004</c:v>
                </c:pt>
                <c:pt idx="9">
                  <c:v>2007</c:v>
                </c:pt>
              </c:numCache>
            </c:numRef>
          </c:cat>
          <c:val>
            <c:numRef>
              <c:f>gráficos3!$B$31:$K$31</c:f>
              <c:numCache>
                <c:formatCode>General</c:formatCode>
                <c:ptCount val="10"/>
                <c:pt idx="0">
                  <c:v>12.3</c:v>
                </c:pt>
                <c:pt idx="1">
                  <c:v>5.6</c:v>
                </c:pt>
                <c:pt idx="2">
                  <c:v>6.4</c:v>
                </c:pt>
                <c:pt idx="3">
                  <c:v>6.7</c:v>
                </c:pt>
                <c:pt idx="4">
                  <c:v>7</c:v>
                </c:pt>
                <c:pt idx="5">
                  <c:v>5.7</c:v>
                </c:pt>
                <c:pt idx="6">
                  <c:v>5.7</c:v>
                </c:pt>
                <c:pt idx="7">
                  <c:v>6.4</c:v>
                </c:pt>
                <c:pt idx="8">
                  <c:v>6.3</c:v>
                </c:pt>
                <c:pt idx="9">
                  <c:v>6</c:v>
                </c:pt>
              </c:numCache>
            </c:numRef>
          </c:val>
        </c:ser>
        <c:ser>
          <c:idx val="1"/>
          <c:order val="1"/>
          <c:tx>
            <c:strRef>
              <c:f>gráficos3!$A$32</c:f>
              <c:strCache>
                <c:ptCount val="1"/>
                <c:pt idx="0">
                  <c:v>Poor</c:v>
                </c:pt>
              </c:strCache>
            </c:strRef>
          </c:tx>
          <c:marker>
            <c:symbol val="none"/>
          </c:marker>
          <c:cat>
            <c:numRef>
              <c:f>gráficos3!$B$30:$K$30</c:f>
              <c:numCache>
                <c:formatCode>General</c:formatCode>
                <c:ptCount val="10"/>
                <c:pt idx="0">
                  <c:v>1985</c:v>
                </c:pt>
                <c:pt idx="1">
                  <c:v>1994</c:v>
                </c:pt>
                <c:pt idx="2">
                  <c:v>1998</c:v>
                </c:pt>
                <c:pt idx="3">
                  <c:v>1999</c:v>
                </c:pt>
                <c:pt idx="4">
                  <c:v>2000</c:v>
                </c:pt>
                <c:pt idx="5">
                  <c:v>2001</c:v>
                </c:pt>
                <c:pt idx="6">
                  <c:v>2002</c:v>
                </c:pt>
                <c:pt idx="7">
                  <c:v>2003</c:v>
                </c:pt>
                <c:pt idx="8">
                  <c:v>2004</c:v>
                </c:pt>
                <c:pt idx="9">
                  <c:v>2007</c:v>
                </c:pt>
              </c:numCache>
            </c:numRef>
          </c:cat>
          <c:val>
            <c:numRef>
              <c:f>gráficos3!$B$32:$K$32</c:f>
              <c:numCache>
                <c:formatCode>General</c:formatCode>
                <c:ptCount val="10"/>
                <c:pt idx="0">
                  <c:v>16.100000000000001</c:v>
                </c:pt>
                <c:pt idx="1">
                  <c:v>11.5</c:v>
                </c:pt>
                <c:pt idx="2">
                  <c:v>15.5</c:v>
                </c:pt>
                <c:pt idx="3">
                  <c:v>13.7</c:v>
                </c:pt>
                <c:pt idx="4">
                  <c:v>13.4</c:v>
                </c:pt>
                <c:pt idx="5">
                  <c:v>12.4</c:v>
                </c:pt>
                <c:pt idx="6">
                  <c:v>12.5</c:v>
                </c:pt>
                <c:pt idx="7">
                  <c:v>13</c:v>
                </c:pt>
                <c:pt idx="8">
                  <c:v>13.4</c:v>
                </c:pt>
                <c:pt idx="9">
                  <c:v>15.3</c:v>
                </c:pt>
              </c:numCache>
            </c:numRef>
          </c:val>
        </c:ser>
        <c:ser>
          <c:idx val="2"/>
          <c:order val="2"/>
          <c:tx>
            <c:strRef>
              <c:f>gráficos3!$A$33</c:f>
              <c:strCache>
                <c:ptCount val="1"/>
                <c:pt idx="0">
                  <c:v>Extreme poor</c:v>
                </c:pt>
              </c:strCache>
            </c:strRef>
          </c:tx>
          <c:marker>
            <c:symbol val="none"/>
          </c:marker>
          <c:cat>
            <c:numRef>
              <c:f>gráficos3!$B$30:$K$30</c:f>
              <c:numCache>
                <c:formatCode>General</c:formatCode>
                <c:ptCount val="10"/>
                <c:pt idx="0">
                  <c:v>1985</c:v>
                </c:pt>
                <c:pt idx="1">
                  <c:v>1994</c:v>
                </c:pt>
                <c:pt idx="2">
                  <c:v>1998</c:v>
                </c:pt>
                <c:pt idx="3">
                  <c:v>1999</c:v>
                </c:pt>
                <c:pt idx="4">
                  <c:v>2000</c:v>
                </c:pt>
                <c:pt idx="5">
                  <c:v>2001</c:v>
                </c:pt>
                <c:pt idx="6">
                  <c:v>2002</c:v>
                </c:pt>
                <c:pt idx="7">
                  <c:v>2003</c:v>
                </c:pt>
                <c:pt idx="8">
                  <c:v>2004</c:v>
                </c:pt>
                <c:pt idx="9">
                  <c:v>2007</c:v>
                </c:pt>
              </c:numCache>
            </c:numRef>
          </c:cat>
          <c:val>
            <c:numRef>
              <c:f>gráficos3!$B$33:$K$33</c:f>
              <c:numCache>
                <c:formatCode>General</c:formatCode>
                <c:ptCount val="10"/>
                <c:pt idx="0">
                  <c:v>34.300000000000004</c:v>
                </c:pt>
                <c:pt idx="1">
                  <c:v>21.2</c:v>
                </c:pt>
                <c:pt idx="2">
                  <c:v>34.5</c:v>
                </c:pt>
                <c:pt idx="3">
                  <c:v>33</c:v>
                </c:pt>
                <c:pt idx="4">
                  <c:v>31.3</c:v>
                </c:pt>
                <c:pt idx="5">
                  <c:v>27.9</c:v>
                </c:pt>
                <c:pt idx="6">
                  <c:v>27.6</c:v>
                </c:pt>
                <c:pt idx="7">
                  <c:v>27.8</c:v>
                </c:pt>
                <c:pt idx="8">
                  <c:v>28.1</c:v>
                </c:pt>
                <c:pt idx="9">
                  <c:v>28.2</c:v>
                </c:pt>
              </c:numCache>
            </c:numRef>
          </c:val>
        </c:ser>
        <c:marker val="1"/>
        <c:axId val="107968768"/>
        <c:axId val="107986944"/>
      </c:lineChart>
      <c:catAx>
        <c:axId val="107968768"/>
        <c:scaling>
          <c:orientation val="minMax"/>
        </c:scaling>
        <c:axPos val="b"/>
        <c:numFmt formatCode="General" sourceLinked="1"/>
        <c:tickLblPos val="nextTo"/>
        <c:txPr>
          <a:bodyPr/>
          <a:lstStyle/>
          <a:p>
            <a:pPr>
              <a:defRPr lang="en-US"/>
            </a:pPr>
            <a:endParaRPr lang="en-US"/>
          </a:p>
        </c:txPr>
        <c:crossAx val="107986944"/>
        <c:crosses val="autoZero"/>
        <c:auto val="1"/>
        <c:lblAlgn val="ctr"/>
        <c:lblOffset val="100"/>
      </c:catAx>
      <c:valAx>
        <c:axId val="107986944"/>
        <c:scaling>
          <c:orientation val="minMax"/>
        </c:scaling>
        <c:axPos val="l"/>
        <c:majorGridlines/>
        <c:numFmt formatCode="General" sourceLinked="1"/>
        <c:tickLblPos val="nextTo"/>
        <c:txPr>
          <a:bodyPr/>
          <a:lstStyle/>
          <a:p>
            <a:pPr>
              <a:defRPr lang="en-US"/>
            </a:pPr>
            <a:endParaRPr lang="en-US"/>
          </a:p>
        </c:txPr>
        <c:crossAx val="107968768"/>
        <c:crosses val="autoZero"/>
        <c:crossBetween val="between"/>
      </c:valAx>
    </c:plotArea>
    <c:legend>
      <c:legendPos val="r"/>
      <c:txPr>
        <a:bodyPr/>
        <a:lstStyle/>
        <a:p>
          <a:pPr>
            <a:defRPr lang="en-US"/>
          </a:pPr>
          <a:endParaRPr lang="en-US"/>
        </a:p>
      </c:txP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tx>
            <c:strRef>
              <c:f>graficos1!$C$95</c:f>
              <c:strCache>
                <c:ptCount val="1"/>
                <c:pt idx="0">
                  <c:v>3-5 years old</c:v>
                </c:pt>
              </c:strCache>
            </c:strRef>
          </c:tx>
          <c:dLbls>
            <c:showVal val="1"/>
          </c:dLbls>
          <c:cat>
            <c:multiLvlStrRef>
              <c:f>graficos1!$A$96:$B$99</c:f>
              <c:multiLvlStrCache>
                <c:ptCount val="4"/>
                <c:lvl>
                  <c:pt idx="0">
                    <c:v>Female</c:v>
                  </c:pt>
                  <c:pt idx="1">
                    <c:v>Male</c:v>
                  </c:pt>
                  <c:pt idx="2">
                    <c:v>Female</c:v>
                  </c:pt>
                  <c:pt idx="3">
                    <c:v>Male</c:v>
                  </c:pt>
                </c:lvl>
                <c:lvl>
                  <c:pt idx="0">
                    <c:v>Urban</c:v>
                  </c:pt>
                  <c:pt idx="2">
                    <c:v>Rural</c:v>
                  </c:pt>
                </c:lvl>
              </c:multiLvlStrCache>
            </c:multiLvlStrRef>
          </c:cat>
          <c:val>
            <c:numRef>
              <c:f>graficos1!$C$96:$C$99</c:f>
              <c:numCache>
                <c:formatCode>General</c:formatCode>
                <c:ptCount val="4"/>
                <c:pt idx="0">
                  <c:v>79.400000000000006</c:v>
                </c:pt>
                <c:pt idx="1">
                  <c:v>78.5</c:v>
                </c:pt>
                <c:pt idx="2">
                  <c:v>58.1</c:v>
                </c:pt>
                <c:pt idx="3">
                  <c:v>60.2</c:v>
                </c:pt>
              </c:numCache>
            </c:numRef>
          </c:val>
        </c:ser>
        <c:ser>
          <c:idx val="1"/>
          <c:order val="1"/>
          <c:tx>
            <c:strRef>
              <c:f>graficos1!$D$95</c:f>
              <c:strCache>
                <c:ptCount val="1"/>
                <c:pt idx="0">
                  <c:v>6-11 years old</c:v>
                </c:pt>
              </c:strCache>
            </c:strRef>
          </c:tx>
          <c:dLbls>
            <c:showVal val="1"/>
          </c:dLbls>
          <c:cat>
            <c:multiLvlStrRef>
              <c:f>graficos1!$A$96:$B$99</c:f>
              <c:multiLvlStrCache>
                <c:ptCount val="4"/>
                <c:lvl>
                  <c:pt idx="0">
                    <c:v>Female</c:v>
                  </c:pt>
                  <c:pt idx="1">
                    <c:v>Male</c:v>
                  </c:pt>
                  <c:pt idx="2">
                    <c:v>Female</c:v>
                  </c:pt>
                  <c:pt idx="3">
                    <c:v>Male</c:v>
                  </c:pt>
                </c:lvl>
                <c:lvl>
                  <c:pt idx="0">
                    <c:v>Urban</c:v>
                  </c:pt>
                  <c:pt idx="2">
                    <c:v>Rural</c:v>
                  </c:pt>
                </c:lvl>
              </c:multiLvlStrCache>
            </c:multiLvlStrRef>
          </c:cat>
          <c:val>
            <c:numRef>
              <c:f>graficos1!$D$96:$D$99</c:f>
              <c:numCache>
                <c:formatCode>General</c:formatCode>
                <c:ptCount val="4"/>
                <c:pt idx="0">
                  <c:v>98.5</c:v>
                </c:pt>
                <c:pt idx="1">
                  <c:v>98.7</c:v>
                </c:pt>
                <c:pt idx="2">
                  <c:v>96.7</c:v>
                </c:pt>
                <c:pt idx="3">
                  <c:v>96.7</c:v>
                </c:pt>
              </c:numCache>
            </c:numRef>
          </c:val>
        </c:ser>
        <c:ser>
          <c:idx val="2"/>
          <c:order val="2"/>
          <c:tx>
            <c:strRef>
              <c:f>graficos1!$E$95</c:f>
              <c:strCache>
                <c:ptCount val="1"/>
                <c:pt idx="0">
                  <c:v>12-16 years old</c:v>
                </c:pt>
              </c:strCache>
            </c:strRef>
          </c:tx>
          <c:dLbls>
            <c:showVal val="1"/>
          </c:dLbls>
          <c:cat>
            <c:multiLvlStrRef>
              <c:f>graficos1!$A$96:$B$99</c:f>
              <c:multiLvlStrCache>
                <c:ptCount val="4"/>
                <c:lvl>
                  <c:pt idx="0">
                    <c:v>Female</c:v>
                  </c:pt>
                  <c:pt idx="1">
                    <c:v>Male</c:v>
                  </c:pt>
                  <c:pt idx="2">
                    <c:v>Female</c:v>
                  </c:pt>
                  <c:pt idx="3">
                    <c:v>Male</c:v>
                  </c:pt>
                </c:lvl>
                <c:lvl>
                  <c:pt idx="0">
                    <c:v>Urban</c:v>
                  </c:pt>
                  <c:pt idx="2">
                    <c:v>Rural</c:v>
                  </c:pt>
                </c:lvl>
              </c:multiLvlStrCache>
            </c:multiLvlStrRef>
          </c:cat>
          <c:val>
            <c:numRef>
              <c:f>graficos1!$E$96:$E$99</c:f>
              <c:numCache>
                <c:formatCode>General</c:formatCode>
                <c:ptCount val="4"/>
                <c:pt idx="0">
                  <c:v>90</c:v>
                </c:pt>
                <c:pt idx="1">
                  <c:v>91.6</c:v>
                </c:pt>
                <c:pt idx="2">
                  <c:v>82</c:v>
                </c:pt>
                <c:pt idx="3">
                  <c:v>85.5</c:v>
                </c:pt>
              </c:numCache>
            </c:numRef>
          </c:val>
        </c:ser>
        <c:axId val="103182336"/>
        <c:axId val="103230080"/>
      </c:barChart>
      <c:catAx>
        <c:axId val="103182336"/>
        <c:scaling>
          <c:orientation val="minMax"/>
        </c:scaling>
        <c:axPos val="b"/>
        <c:tickLblPos val="nextTo"/>
        <c:crossAx val="103230080"/>
        <c:crosses val="autoZero"/>
        <c:auto val="1"/>
        <c:lblAlgn val="ctr"/>
        <c:lblOffset val="100"/>
      </c:catAx>
      <c:valAx>
        <c:axId val="103230080"/>
        <c:scaling>
          <c:orientation val="minMax"/>
          <c:max val="100"/>
        </c:scaling>
        <c:axPos val="l"/>
        <c:majorGridlines/>
        <c:numFmt formatCode="General" sourceLinked="1"/>
        <c:tickLblPos val="nextTo"/>
        <c:crossAx val="103182336"/>
        <c:crosses val="autoZero"/>
        <c:crossBetween val="between"/>
      </c:valAx>
    </c:plotArea>
    <c:legend>
      <c:legendPos val="b"/>
    </c:legend>
    <c:plotVisOnly val="1"/>
  </c:chart>
  <c:externalData r:id="rId1"/>
</c:chartSpace>
</file>

<file path=word/charts/chart30.xml><?xml version="1.0" encoding="utf-8"?>
<c:chartSpace xmlns:c="http://schemas.openxmlformats.org/drawingml/2006/chart" xmlns:a="http://schemas.openxmlformats.org/drawingml/2006/main" xmlns:r="http://schemas.openxmlformats.org/officeDocument/2006/relationships">
  <c:date1904 val="1"/>
  <c:lang val="en-US"/>
  <c:style val="34"/>
  <c:chart>
    <c:plotArea>
      <c:layout/>
      <c:barChart>
        <c:barDir val="col"/>
        <c:grouping val="clustered"/>
        <c:ser>
          <c:idx val="0"/>
          <c:order val="0"/>
          <c:tx>
            <c:strRef>
              <c:f>gráficos3!$B$9</c:f>
              <c:strCache>
                <c:ptCount val="1"/>
                <c:pt idx="0">
                  <c:v>Female</c:v>
                </c:pt>
              </c:strCache>
            </c:strRef>
          </c:tx>
          <c:dLbls>
            <c:txPr>
              <a:bodyPr/>
              <a:lstStyle/>
              <a:p>
                <a:pPr>
                  <a:defRPr lang="en-US"/>
                </a:pPr>
                <a:endParaRPr lang="en-US"/>
              </a:p>
            </c:txPr>
            <c:showVal val="1"/>
          </c:dLbls>
          <c:cat>
            <c:strRef>
              <c:f>gráficos3!$A$10:$A$11</c:f>
              <c:strCache>
                <c:ptCount val="2"/>
                <c:pt idx="0">
                  <c:v>Urban</c:v>
                </c:pt>
                <c:pt idx="1">
                  <c:v>Rural</c:v>
                </c:pt>
              </c:strCache>
            </c:strRef>
          </c:cat>
          <c:val>
            <c:numRef>
              <c:f>gráficos3!$B$10:$B$11</c:f>
              <c:numCache>
                <c:formatCode>General</c:formatCode>
                <c:ptCount val="2"/>
                <c:pt idx="0">
                  <c:v>7.7</c:v>
                </c:pt>
                <c:pt idx="1">
                  <c:v>33.200000000000003</c:v>
                </c:pt>
              </c:numCache>
            </c:numRef>
          </c:val>
        </c:ser>
        <c:ser>
          <c:idx val="1"/>
          <c:order val="1"/>
          <c:tx>
            <c:strRef>
              <c:f>gráficos3!$C$9</c:f>
              <c:strCache>
                <c:ptCount val="1"/>
                <c:pt idx="0">
                  <c:v>Male</c:v>
                </c:pt>
              </c:strCache>
            </c:strRef>
          </c:tx>
          <c:dLbls>
            <c:txPr>
              <a:bodyPr/>
              <a:lstStyle/>
              <a:p>
                <a:pPr>
                  <a:defRPr lang="en-US"/>
                </a:pPr>
                <a:endParaRPr lang="en-US"/>
              </a:p>
            </c:txPr>
            <c:showVal val="1"/>
          </c:dLbls>
          <c:cat>
            <c:strRef>
              <c:f>gráficos3!$A$10:$A$11</c:f>
              <c:strCache>
                <c:ptCount val="2"/>
                <c:pt idx="0">
                  <c:v>Urban</c:v>
                </c:pt>
                <c:pt idx="1">
                  <c:v>Rural</c:v>
                </c:pt>
              </c:strCache>
            </c:strRef>
          </c:cat>
          <c:val>
            <c:numRef>
              <c:f>gráficos3!$C$10:$C$11</c:f>
              <c:numCache>
                <c:formatCode>General</c:formatCode>
                <c:ptCount val="2"/>
                <c:pt idx="0">
                  <c:v>2.2999999999999998</c:v>
                </c:pt>
                <c:pt idx="1">
                  <c:v>11</c:v>
                </c:pt>
              </c:numCache>
            </c:numRef>
          </c:val>
        </c:ser>
        <c:axId val="108237568"/>
        <c:axId val="108239104"/>
      </c:barChart>
      <c:catAx>
        <c:axId val="108237568"/>
        <c:scaling>
          <c:orientation val="minMax"/>
        </c:scaling>
        <c:axPos val="b"/>
        <c:tickLblPos val="nextTo"/>
        <c:txPr>
          <a:bodyPr/>
          <a:lstStyle/>
          <a:p>
            <a:pPr>
              <a:defRPr lang="en-US"/>
            </a:pPr>
            <a:endParaRPr lang="en-US"/>
          </a:p>
        </c:txPr>
        <c:crossAx val="108239104"/>
        <c:crosses val="autoZero"/>
        <c:auto val="1"/>
        <c:lblAlgn val="ctr"/>
        <c:lblOffset val="100"/>
      </c:catAx>
      <c:valAx>
        <c:axId val="108239104"/>
        <c:scaling>
          <c:orientation val="minMax"/>
        </c:scaling>
        <c:axPos val="l"/>
        <c:majorGridlines/>
        <c:numFmt formatCode="General" sourceLinked="1"/>
        <c:tickLblPos val="nextTo"/>
        <c:txPr>
          <a:bodyPr/>
          <a:lstStyle/>
          <a:p>
            <a:pPr>
              <a:defRPr lang="en-US"/>
            </a:pPr>
            <a:endParaRPr lang="en-US"/>
          </a:p>
        </c:txPr>
        <c:crossAx val="108237568"/>
        <c:crosses val="autoZero"/>
        <c:crossBetween val="between"/>
      </c:valAx>
    </c:plotArea>
    <c:legend>
      <c:legendPos val="r"/>
      <c:txPr>
        <a:bodyPr/>
        <a:lstStyle/>
        <a:p>
          <a:pPr>
            <a:defRPr lang="en-US"/>
          </a:pPr>
          <a:endParaRPr lang="en-US"/>
        </a:p>
      </c:txPr>
    </c:legend>
    <c:plotVisOnly val="1"/>
  </c:chart>
  <c:externalData r:id="rId1"/>
</c:chartSpace>
</file>

<file path=word/charts/chart31.xml><?xml version="1.0" encoding="utf-8"?>
<c:chartSpace xmlns:c="http://schemas.openxmlformats.org/drawingml/2006/chart" xmlns:a="http://schemas.openxmlformats.org/drawingml/2006/main" xmlns:r="http://schemas.openxmlformats.org/officeDocument/2006/relationships">
  <c:date1904 val="1"/>
  <c:lang val="en-US"/>
  <c:style val="34"/>
  <c:chart>
    <c:autoTitleDeleted val="1"/>
    <c:plotArea>
      <c:layout/>
      <c:barChart>
        <c:barDir val="col"/>
        <c:grouping val="clustered"/>
        <c:ser>
          <c:idx val="0"/>
          <c:order val="0"/>
          <c:tx>
            <c:strRef>
              <c:f>gráficos3!$F$51</c:f>
              <c:strCache>
                <c:ptCount val="1"/>
                <c:pt idx="0">
                  <c:v>% analfabetismo</c:v>
                </c:pt>
              </c:strCache>
            </c:strRef>
          </c:tx>
          <c:cat>
            <c:strRef>
              <c:f>gráficos3!$E$52:$E$76</c:f>
              <c:strCache>
                <c:ptCount val="25"/>
                <c:pt idx="0">
                  <c:v>Huancavelica</c:v>
                </c:pt>
                <c:pt idx="1">
                  <c:v>Cajamarca</c:v>
                </c:pt>
                <c:pt idx="2">
                  <c:v>Huánuco</c:v>
                </c:pt>
                <c:pt idx="3">
                  <c:v>Amazonas</c:v>
                </c:pt>
                <c:pt idx="4">
                  <c:v>Apurímac</c:v>
                </c:pt>
                <c:pt idx="5">
                  <c:v>Puno</c:v>
                </c:pt>
                <c:pt idx="6">
                  <c:v>Cusco</c:v>
                </c:pt>
                <c:pt idx="7">
                  <c:v>Ayacucho</c:v>
                </c:pt>
                <c:pt idx="8">
                  <c:v>Pasco</c:v>
                </c:pt>
                <c:pt idx="9">
                  <c:v>Ancash</c:v>
                </c:pt>
                <c:pt idx="10">
                  <c:v>San Martín</c:v>
                </c:pt>
                <c:pt idx="11">
                  <c:v>Loreto</c:v>
                </c:pt>
                <c:pt idx="12">
                  <c:v>Junín</c:v>
                </c:pt>
                <c:pt idx="13">
                  <c:v>Madre de Dios</c:v>
                </c:pt>
                <c:pt idx="14">
                  <c:v>Piura</c:v>
                </c:pt>
                <c:pt idx="15">
                  <c:v>Ucayali</c:v>
                </c:pt>
                <c:pt idx="16">
                  <c:v>La Libertad</c:v>
                </c:pt>
                <c:pt idx="17">
                  <c:v>Lambayeque</c:v>
                </c:pt>
                <c:pt idx="18">
                  <c:v>Moquegua</c:v>
                </c:pt>
                <c:pt idx="19">
                  <c:v>Ica</c:v>
                </c:pt>
                <c:pt idx="20">
                  <c:v>Arequipa</c:v>
                </c:pt>
                <c:pt idx="21">
                  <c:v>Tumbes</c:v>
                </c:pt>
                <c:pt idx="22">
                  <c:v>Tacna</c:v>
                </c:pt>
                <c:pt idx="23">
                  <c:v>Lima</c:v>
                </c:pt>
                <c:pt idx="24">
                  <c:v>Callao</c:v>
                </c:pt>
              </c:strCache>
            </c:strRef>
          </c:cat>
          <c:val>
            <c:numRef>
              <c:f>gráficos3!$F$52:$F$76</c:f>
              <c:numCache>
                <c:formatCode>General</c:formatCode>
                <c:ptCount val="25"/>
                <c:pt idx="0">
                  <c:v>23.8</c:v>
                </c:pt>
                <c:pt idx="1">
                  <c:v>19.8</c:v>
                </c:pt>
                <c:pt idx="2">
                  <c:v>20.399999999999999</c:v>
                </c:pt>
                <c:pt idx="3">
                  <c:v>13.5</c:v>
                </c:pt>
                <c:pt idx="4">
                  <c:v>25.4</c:v>
                </c:pt>
                <c:pt idx="5">
                  <c:v>17.7</c:v>
                </c:pt>
                <c:pt idx="6">
                  <c:v>15.4</c:v>
                </c:pt>
                <c:pt idx="7">
                  <c:v>21.9</c:v>
                </c:pt>
                <c:pt idx="8">
                  <c:v>14.8</c:v>
                </c:pt>
                <c:pt idx="9">
                  <c:v>16.7</c:v>
                </c:pt>
                <c:pt idx="10">
                  <c:v>10.1</c:v>
                </c:pt>
                <c:pt idx="11">
                  <c:v>10</c:v>
                </c:pt>
                <c:pt idx="12">
                  <c:v>12.8</c:v>
                </c:pt>
                <c:pt idx="13">
                  <c:v>6.9</c:v>
                </c:pt>
                <c:pt idx="14">
                  <c:v>12.8</c:v>
                </c:pt>
                <c:pt idx="15">
                  <c:v>8.6</c:v>
                </c:pt>
                <c:pt idx="16">
                  <c:v>11.6</c:v>
                </c:pt>
                <c:pt idx="17">
                  <c:v>11.7</c:v>
                </c:pt>
                <c:pt idx="18">
                  <c:v>10</c:v>
                </c:pt>
                <c:pt idx="19">
                  <c:v>5.8</c:v>
                </c:pt>
                <c:pt idx="20">
                  <c:v>6.6</c:v>
                </c:pt>
                <c:pt idx="21">
                  <c:v>6.5</c:v>
                </c:pt>
                <c:pt idx="22">
                  <c:v>5.3</c:v>
                </c:pt>
                <c:pt idx="23">
                  <c:v>3.6</c:v>
                </c:pt>
                <c:pt idx="24">
                  <c:v>3</c:v>
                </c:pt>
              </c:numCache>
            </c:numRef>
          </c:val>
        </c:ser>
        <c:axId val="108340736"/>
        <c:axId val="108342272"/>
      </c:barChart>
      <c:catAx>
        <c:axId val="108340736"/>
        <c:scaling>
          <c:orientation val="minMax"/>
        </c:scaling>
        <c:axPos val="b"/>
        <c:tickLblPos val="nextTo"/>
        <c:txPr>
          <a:bodyPr/>
          <a:lstStyle/>
          <a:p>
            <a:pPr>
              <a:defRPr lang="en-US"/>
            </a:pPr>
            <a:endParaRPr lang="en-US"/>
          </a:p>
        </c:txPr>
        <c:crossAx val="108342272"/>
        <c:crosses val="autoZero"/>
        <c:auto val="1"/>
        <c:lblAlgn val="ctr"/>
        <c:lblOffset val="100"/>
      </c:catAx>
      <c:valAx>
        <c:axId val="108342272"/>
        <c:scaling>
          <c:orientation val="minMax"/>
        </c:scaling>
        <c:axPos val="l"/>
        <c:majorGridlines/>
        <c:numFmt formatCode="General" sourceLinked="1"/>
        <c:tickLblPos val="nextTo"/>
        <c:txPr>
          <a:bodyPr/>
          <a:lstStyle/>
          <a:p>
            <a:pPr>
              <a:defRPr lang="en-US"/>
            </a:pPr>
            <a:endParaRPr lang="en-US"/>
          </a:p>
        </c:txPr>
        <c:crossAx val="108340736"/>
        <c:crosses val="autoZero"/>
        <c:crossBetween val="between"/>
      </c:valAx>
    </c:plotArea>
    <c:plotVisOnly val="1"/>
  </c:chart>
  <c:externalData r:id="rId1"/>
</c:chartSpace>
</file>

<file path=word/charts/chart32.xml><?xml version="1.0" encoding="utf-8"?>
<c:chartSpace xmlns:c="http://schemas.openxmlformats.org/drawingml/2006/chart" xmlns:a="http://schemas.openxmlformats.org/drawingml/2006/main" xmlns:r="http://schemas.openxmlformats.org/officeDocument/2006/relationships">
  <c:date1904 val="1"/>
  <c:lang val="en-US"/>
  <c:style val="34"/>
  <c:chart>
    <c:plotArea>
      <c:layout>
        <c:manualLayout>
          <c:layoutTarget val="inner"/>
          <c:xMode val="edge"/>
          <c:yMode val="edge"/>
          <c:x val="9.2903284339266853E-2"/>
          <c:y val="7.1428667245271804E-2"/>
          <c:w val="0.88903281819103952"/>
          <c:h val="0.44874422387342427"/>
        </c:manualLayout>
      </c:layout>
      <c:barChart>
        <c:barDir val="col"/>
        <c:grouping val="clustered"/>
        <c:ser>
          <c:idx val="0"/>
          <c:order val="0"/>
          <c:tx>
            <c:strRef>
              <c:f>Varios!$I$3</c:f>
              <c:strCache>
                <c:ptCount val="1"/>
                <c:pt idx="0">
                  <c:v>2000</c:v>
                </c:pt>
              </c:strCache>
            </c:strRef>
          </c:tx>
          <c:cat>
            <c:strRef>
              <c:f>Varios!$A$5:$A$29</c:f>
              <c:strCache>
                <c:ptCount val="25"/>
                <c:pt idx="0">
                  <c:v>Amazonas</c:v>
                </c:pt>
                <c:pt idx="1">
                  <c:v>Áncash</c:v>
                </c:pt>
                <c:pt idx="2">
                  <c:v>Apurímac</c:v>
                </c:pt>
                <c:pt idx="3">
                  <c:v>Arequipa</c:v>
                </c:pt>
                <c:pt idx="4">
                  <c:v>Ayacucho</c:v>
                </c:pt>
                <c:pt idx="5">
                  <c:v>Cajamarca</c:v>
                </c:pt>
                <c:pt idx="6">
                  <c:v>Prov.Const.delCallao</c:v>
                </c:pt>
                <c:pt idx="7">
                  <c:v>Cusco</c:v>
                </c:pt>
                <c:pt idx="8">
                  <c:v>Huancavelica</c:v>
                </c:pt>
                <c:pt idx="9">
                  <c:v>Huánuco</c:v>
                </c:pt>
                <c:pt idx="10">
                  <c:v>Ica</c:v>
                </c:pt>
                <c:pt idx="11">
                  <c:v>Junín</c:v>
                </c:pt>
                <c:pt idx="12">
                  <c:v>LaLibertad</c:v>
                </c:pt>
                <c:pt idx="13">
                  <c:v>Lambayeque</c:v>
                </c:pt>
                <c:pt idx="14">
                  <c:v>Lima</c:v>
                </c:pt>
                <c:pt idx="15">
                  <c:v>Loreto</c:v>
                </c:pt>
                <c:pt idx="16">
                  <c:v>MadredeDios</c:v>
                </c:pt>
                <c:pt idx="17">
                  <c:v>Moquegua</c:v>
                </c:pt>
                <c:pt idx="18">
                  <c:v>Pasco</c:v>
                </c:pt>
                <c:pt idx="19">
                  <c:v>Piura</c:v>
                </c:pt>
                <c:pt idx="20">
                  <c:v>Puno</c:v>
                </c:pt>
                <c:pt idx="21">
                  <c:v>SanMartín</c:v>
                </c:pt>
                <c:pt idx="22">
                  <c:v>Tacna</c:v>
                </c:pt>
                <c:pt idx="23">
                  <c:v>Tumbes</c:v>
                </c:pt>
                <c:pt idx="24">
                  <c:v>Ucayali</c:v>
                </c:pt>
              </c:strCache>
            </c:strRef>
          </c:cat>
          <c:val>
            <c:numRef>
              <c:f>Varios!$I$5:$I$29</c:f>
              <c:numCache>
                <c:formatCode>General</c:formatCode>
                <c:ptCount val="25"/>
                <c:pt idx="0">
                  <c:v>37.442105263157913</c:v>
                </c:pt>
                <c:pt idx="1">
                  <c:v>38.172265288544359</c:v>
                </c:pt>
                <c:pt idx="2">
                  <c:v>40.283216783216744</c:v>
                </c:pt>
                <c:pt idx="3">
                  <c:v>42.548993288590601</c:v>
                </c:pt>
                <c:pt idx="4">
                  <c:v>36.941262848751833</c:v>
                </c:pt>
                <c:pt idx="5">
                  <c:v>37.772086117296944</c:v>
                </c:pt>
                <c:pt idx="6">
                  <c:v>38.979351032448378</c:v>
                </c:pt>
                <c:pt idx="7">
                  <c:v>59.775898520084567</c:v>
                </c:pt>
                <c:pt idx="8">
                  <c:v>43.598019801980413</c:v>
                </c:pt>
                <c:pt idx="9">
                  <c:v>42.856637168139997</c:v>
                </c:pt>
                <c:pt idx="10">
                  <c:v>37.050679851665791</c:v>
                </c:pt>
                <c:pt idx="11">
                  <c:v>39.696907216495013</c:v>
                </c:pt>
                <c:pt idx="12">
                  <c:v>37.003766478341994</c:v>
                </c:pt>
                <c:pt idx="13">
                  <c:v>52.656441717789974</c:v>
                </c:pt>
                <c:pt idx="14">
                  <c:v>35.877561744611974</c:v>
                </c:pt>
                <c:pt idx="15">
                  <c:v>25.542675159235667</c:v>
                </c:pt>
                <c:pt idx="16">
                  <c:v>29.848920863309289</c:v>
                </c:pt>
                <c:pt idx="17">
                  <c:v>25.04727272727273</c:v>
                </c:pt>
                <c:pt idx="18">
                  <c:v>41.717142857142854</c:v>
                </c:pt>
                <c:pt idx="19">
                  <c:v>39.033039647577112</c:v>
                </c:pt>
                <c:pt idx="20">
                  <c:v>70.086653386454188</c:v>
                </c:pt>
                <c:pt idx="21">
                  <c:v>28.611650485437035</c:v>
                </c:pt>
                <c:pt idx="22">
                  <c:v>32.2890625</c:v>
                </c:pt>
                <c:pt idx="23">
                  <c:v>25.392857142857231</c:v>
                </c:pt>
                <c:pt idx="24">
                  <c:v>39.744425385934818</c:v>
                </c:pt>
              </c:numCache>
            </c:numRef>
          </c:val>
        </c:ser>
        <c:ser>
          <c:idx val="1"/>
          <c:order val="1"/>
          <c:tx>
            <c:strRef>
              <c:f>Varios!$AF$3</c:f>
              <c:strCache>
                <c:ptCount val="1"/>
                <c:pt idx="0">
                  <c:v>2008</c:v>
                </c:pt>
              </c:strCache>
            </c:strRef>
          </c:tx>
          <c:cat>
            <c:strRef>
              <c:f>Varios!$A$5:$A$29</c:f>
              <c:strCache>
                <c:ptCount val="25"/>
                <c:pt idx="0">
                  <c:v>Amazonas</c:v>
                </c:pt>
                <c:pt idx="1">
                  <c:v>Áncash</c:v>
                </c:pt>
                <c:pt idx="2">
                  <c:v>Apurímac</c:v>
                </c:pt>
                <c:pt idx="3">
                  <c:v>Arequipa</c:v>
                </c:pt>
                <c:pt idx="4">
                  <c:v>Ayacucho</c:v>
                </c:pt>
                <c:pt idx="5">
                  <c:v>Cajamarca</c:v>
                </c:pt>
                <c:pt idx="6">
                  <c:v>Prov.Const.delCallao</c:v>
                </c:pt>
                <c:pt idx="7">
                  <c:v>Cusco</c:v>
                </c:pt>
                <c:pt idx="8">
                  <c:v>Huancavelica</c:v>
                </c:pt>
                <c:pt idx="9">
                  <c:v>Huánuco</c:v>
                </c:pt>
                <c:pt idx="10">
                  <c:v>Ica</c:v>
                </c:pt>
                <c:pt idx="11">
                  <c:v>Junín</c:v>
                </c:pt>
                <c:pt idx="12">
                  <c:v>LaLibertad</c:v>
                </c:pt>
                <c:pt idx="13">
                  <c:v>Lambayeque</c:v>
                </c:pt>
                <c:pt idx="14">
                  <c:v>Lima</c:v>
                </c:pt>
                <c:pt idx="15">
                  <c:v>Loreto</c:v>
                </c:pt>
                <c:pt idx="16">
                  <c:v>MadredeDios</c:v>
                </c:pt>
                <c:pt idx="17">
                  <c:v>Moquegua</c:v>
                </c:pt>
                <c:pt idx="18">
                  <c:v>Pasco</c:v>
                </c:pt>
                <c:pt idx="19">
                  <c:v>Piura</c:v>
                </c:pt>
                <c:pt idx="20">
                  <c:v>Puno</c:v>
                </c:pt>
                <c:pt idx="21">
                  <c:v>SanMartín</c:v>
                </c:pt>
                <c:pt idx="22">
                  <c:v>Tacna</c:v>
                </c:pt>
                <c:pt idx="23">
                  <c:v>Tumbes</c:v>
                </c:pt>
                <c:pt idx="24">
                  <c:v>Ucayali</c:v>
                </c:pt>
              </c:strCache>
            </c:strRef>
          </c:cat>
          <c:val>
            <c:numRef>
              <c:f>Varios!$AF$5:$AF$29</c:f>
              <c:numCache>
                <c:formatCode>General</c:formatCode>
                <c:ptCount val="25"/>
                <c:pt idx="0">
                  <c:v>38.170909090909113</c:v>
                </c:pt>
                <c:pt idx="1">
                  <c:v>33.143377001455605</c:v>
                </c:pt>
                <c:pt idx="2">
                  <c:v>29.078597339782089</c:v>
                </c:pt>
                <c:pt idx="3">
                  <c:v>30.927723840344047</c:v>
                </c:pt>
                <c:pt idx="4">
                  <c:v>30.186307519640852</c:v>
                </c:pt>
                <c:pt idx="5">
                  <c:v>34.536117381490008</c:v>
                </c:pt>
                <c:pt idx="6">
                  <c:v>31.710723192019952</c:v>
                </c:pt>
                <c:pt idx="7">
                  <c:v>46.607792207792194</c:v>
                </c:pt>
                <c:pt idx="8">
                  <c:v>32.767088607594935</c:v>
                </c:pt>
                <c:pt idx="9">
                  <c:v>37.247354497354394</c:v>
                </c:pt>
                <c:pt idx="10">
                  <c:v>32.082018927444913</c:v>
                </c:pt>
                <c:pt idx="11">
                  <c:v>31.475394614670382</c:v>
                </c:pt>
                <c:pt idx="12">
                  <c:v>32.004038772212994</c:v>
                </c:pt>
                <c:pt idx="13">
                  <c:v>40.706266318537963</c:v>
                </c:pt>
                <c:pt idx="14">
                  <c:v>30.950754903344126</c:v>
                </c:pt>
                <c:pt idx="15">
                  <c:v>27.887775551102202</c:v>
                </c:pt>
                <c:pt idx="16">
                  <c:v>26.256281407035175</c:v>
                </c:pt>
                <c:pt idx="17">
                  <c:v>22.237951807228935</c:v>
                </c:pt>
                <c:pt idx="18">
                  <c:v>34.278215223097163</c:v>
                </c:pt>
                <c:pt idx="19">
                  <c:v>39.182284980743994</c:v>
                </c:pt>
                <c:pt idx="20">
                  <c:v>45.193919474116676</c:v>
                </c:pt>
                <c:pt idx="21">
                  <c:v>27.032080659945006</c:v>
                </c:pt>
                <c:pt idx="22">
                  <c:v>26.63461538461539</c:v>
                </c:pt>
                <c:pt idx="23">
                  <c:v>26.468085106382979</c:v>
                </c:pt>
                <c:pt idx="24">
                  <c:v>37.628318584073405</c:v>
                </c:pt>
              </c:numCache>
            </c:numRef>
          </c:val>
        </c:ser>
        <c:axId val="113359488"/>
        <c:axId val="113398144"/>
      </c:barChart>
      <c:catAx>
        <c:axId val="113359488"/>
        <c:scaling>
          <c:orientation val="minMax"/>
        </c:scaling>
        <c:axPos val="b"/>
        <c:numFmt formatCode="General" sourceLinked="1"/>
        <c:tickLblPos val="nextTo"/>
        <c:txPr>
          <a:bodyPr rot="-2700000" vert="horz"/>
          <a:lstStyle/>
          <a:p>
            <a:pPr>
              <a:defRPr lang="en-US"/>
            </a:pPr>
            <a:endParaRPr lang="en-US"/>
          </a:p>
        </c:txPr>
        <c:crossAx val="113398144"/>
        <c:crosses val="autoZero"/>
        <c:auto val="1"/>
        <c:lblAlgn val="ctr"/>
        <c:lblOffset val="100"/>
        <c:tickLblSkip val="1"/>
        <c:tickMarkSkip val="1"/>
      </c:catAx>
      <c:valAx>
        <c:axId val="113398144"/>
        <c:scaling>
          <c:orientation val="minMax"/>
        </c:scaling>
        <c:axPos val="l"/>
        <c:majorGridlines/>
        <c:numFmt formatCode="General" sourceLinked="1"/>
        <c:tickLblPos val="nextTo"/>
        <c:txPr>
          <a:bodyPr rot="0" vert="horz"/>
          <a:lstStyle/>
          <a:p>
            <a:pPr>
              <a:defRPr lang="en-US"/>
            </a:pPr>
            <a:endParaRPr lang="en-US"/>
          </a:p>
        </c:txPr>
        <c:crossAx val="113359488"/>
        <c:crosses val="autoZero"/>
        <c:crossBetween val="between"/>
      </c:valAx>
    </c:plotArea>
    <c:legend>
      <c:legendPos val="b"/>
      <c:layout>
        <c:manualLayout>
          <c:xMode val="edge"/>
          <c:yMode val="edge"/>
          <c:x val="0.34796742246353729"/>
          <c:y val="0.86063879339026284"/>
          <c:w val="0.2844373375012037"/>
          <c:h val="8.2417692975313581E-2"/>
        </c:manualLayout>
      </c:layout>
      <c:txPr>
        <a:bodyPr/>
        <a:lstStyle/>
        <a:p>
          <a:pPr>
            <a:defRPr lang="en-US"/>
          </a:pPr>
          <a:endParaRPr lang="en-US"/>
        </a:p>
      </c:txPr>
    </c:legend>
    <c:plotVisOnly val="1"/>
    <c:dispBlanksAs val="gap"/>
  </c:chart>
  <c:externalData r:id="rId1"/>
</c:chartSpace>
</file>

<file path=word/charts/chart33.xml><?xml version="1.0" encoding="utf-8"?>
<c:chartSpace xmlns:c="http://schemas.openxmlformats.org/drawingml/2006/chart" xmlns:a="http://schemas.openxmlformats.org/drawingml/2006/main" xmlns:r="http://schemas.openxmlformats.org/officeDocument/2006/relationships">
  <c:date1904 val="1"/>
  <c:lang val="en-US"/>
  <c:style val="34"/>
  <c:chart>
    <c:plotArea>
      <c:layout>
        <c:manualLayout>
          <c:layoutTarget val="inner"/>
          <c:xMode val="edge"/>
          <c:yMode val="edge"/>
          <c:x val="7.1847558770990666E-2"/>
          <c:y val="9.3959885499500267E-2"/>
          <c:w val="0.87194587480087105"/>
          <c:h val="0.45650791926871231"/>
        </c:manualLayout>
      </c:layout>
      <c:barChart>
        <c:barDir val="col"/>
        <c:grouping val="clustered"/>
        <c:ser>
          <c:idx val="0"/>
          <c:order val="0"/>
          <c:tx>
            <c:strRef>
              <c:f>Varios!$J$3</c:f>
              <c:strCache>
                <c:ptCount val="1"/>
                <c:pt idx="0">
                  <c:v>2000</c:v>
                </c:pt>
              </c:strCache>
            </c:strRef>
          </c:tx>
          <c:cat>
            <c:strRef>
              <c:f>Varios!$A$5:$A$29</c:f>
              <c:strCache>
                <c:ptCount val="25"/>
                <c:pt idx="0">
                  <c:v>Amazonas</c:v>
                </c:pt>
                <c:pt idx="1">
                  <c:v>Áncash</c:v>
                </c:pt>
                <c:pt idx="2">
                  <c:v>Apurímac</c:v>
                </c:pt>
                <c:pt idx="3">
                  <c:v>Arequipa</c:v>
                </c:pt>
                <c:pt idx="4">
                  <c:v>Ayacucho</c:v>
                </c:pt>
                <c:pt idx="5">
                  <c:v>Cajamarca</c:v>
                </c:pt>
                <c:pt idx="6">
                  <c:v>Prov.Const.delCallao</c:v>
                </c:pt>
                <c:pt idx="7">
                  <c:v>Cusco</c:v>
                </c:pt>
                <c:pt idx="8">
                  <c:v>Huancavelica</c:v>
                </c:pt>
                <c:pt idx="9">
                  <c:v>Huánuco</c:v>
                </c:pt>
                <c:pt idx="10">
                  <c:v>Ica</c:v>
                </c:pt>
                <c:pt idx="11">
                  <c:v>Junín</c:v>
                </c:pt>
                <c:pt idx="12">
                  <c:v>LaLibertad</c:v>
                </c:pt>
                <c:pt idx="13">
                  <c:v>Lambayeque</c:v>
                </c:pt>
                <c:pt idx="14">
                  <c:v>Lima</c:v>
                </c:pt>
                <c:pt idx="15">
                  <c:v>Loreto</c:v>
                </c:pt>
                <c:pt idx="16">
                  <c:v>MadredeDios</c:v>
                </c:pt>
                <c:pt idx="17">
                  <c:v>Moquegua</c:v>
                </c:pt>
                <c:pt idx="18">
                  <c:v>Pasco</c:v>
                </c:pt>
                <c:pt idx="19">
                  <c:v>Piura</c:v>
                </c:pt>
                <c:pt idx="20">
                  <c:v>Puno</c:v>
                </c:pt>
                <c:pt idx="21">
                  <c:v>SanMartín</c:v>
                </c:pt>
                <c:pt idx="22">
                  <c:v>Tacna</c:v>
                </c:pt>
                <c:pt idx="23">
                  <c:v>Tumbes</c:v>
                </c:pt>
                <c:pt idx="24">
                  <c:v>Ucayali</c:v>
                </c:pt>
              </c:strCache>
            </c:strRef>
          </c:cat>
          <c:val>
            <c:numRef>
              <c:f>Varios!$J$5:$J$29</c:f>
              <c:numCache>
                <c:formatCode>General</c:formatCode>
                <c:ptCount val="25"/>
                <c:pt idx="0">
                  <c:v>26.314417683932696</c:v>
                </c:pt>
                <c:pt idx="1">
                  <c:v>25.677744209466262</c:v>
                </c:pt>
                <c:pt idx="2">
                  <c:v>28.482300884954409</c:v>
                </c:pt>
                <c:pt idx="3">
                  <c:v>23.927268633190725</c:v>
                </c:pt>
                <c:pt idx="4">
                  <c:v>25.596068993180907</c:v>
                </c:pt>
                <c:pt idx="5">
                  <c:v>27.942275042444823</c:v>
                </c:pt>
                <c:pt idx="6">
                  <c:v>33.168055555555561</c:v>
                </c:pt>
                <c:pt idx="7">
                  <c:v>31.743087729786293</c:v>
                </c:pt>
                <c:pt idx="8">
                  <c:v>29.611175115208994</c:v>
                </c:pt>
                <c:pt idx="9">
                  <c:v>33.564475347661187</c:v>
                </c:pt>
                <c:pt idx="10">
                  <c:v>25.934110970996212</c:v>
                </c:pt>
                <c:pt idx="11">
                  <c:v>27.458695043405189</c:v>
                </c:pt>
                <c:pt idx="12">
                  <c:v>29.251355484499335</c:v>
                </c:pt>
                <c:pt idx="13">
                  <c:v>31.176363221537759</c:v>
                </c:pt>
                <c:pt idx="14">
                  <c:v>29.437524278129171</c:v>
                </c:pt>
                <c:pt idx="15">
                  <c:v>26.184968741505845</c:v>
                </c:pt>
                <c:pt idx="16">
                  <c:v>26.028169014084508</c:v>
                </c:pt>
                <c:pt idx="17">
                  <c:v>16.872427983538689</c:v>
                </c:pt>
                <c:pt idx="18">
                  <c:v>27.009724473257688</c:v>
                </c:pt>
                <c:pt idx="19">
                  <c:v>30.45822905493868</c:v>
                </c:pt>
                <c:pt idx="20">
                  <c:v>25.287777777777489</c:v>
                </c:pt>
                <c:pt idx="21">
                  <c:v>24.874026220786625</c:v>
                </c:pt>
                <c:pt idx="22">
                  <c:v>22.288230584466103</c:v>
                </c:pt>
                <c:pt idx="23">
                  <c:v>18.681137724550897</c:v>
                </c:pt>
                <c:pt idx="24">
                  <c:v>30.101056803170408</c:v>
                </c:pt>
              </c:numCache>
            </c:numRef>
          </c:val>
        </c:ser>
        <c:ser>
          <c:idx val="1"/>
          <c:order val="1"/>
          <c:tx>
            <c:strRef>
              <c:f>Varios!$AG$3</c:f>
              <c:strCache>
                <c:ptCount val="1"/>
                <c:pt idx="0">
                  <c:v>2008</c:v>
                </c:pt>
              </c:strCache>
            </c:strRef>
          </c:tx>
          <c:cat>
            <c:strRef>
              <c:f>Varios!$A$5:$A$29</c:f>
              <c:strCache>
                <c:ptCount val="25"/>
                <c:pt idx="0">
                  <c:v>Amazonas</c:v>
                </c:pt>
                <c:pt idx="1">
                  <c:v>Áncash</c:v>
                </c:pt>
                <c:pt idx="2">
                  <c:v>Apurímac</c:v>
                </c:pt>
                <c:pt idx="3">
                  <c:v>Arequipa</c:v>
                </c:pt>
                <c:pt idx="4">
                  <c:v>Ayacucho</c:v>
                </c:pt>
                <c:pt idx="5">
                  <c:v>Cajamarca</c:v>
                </c:pt>
                <c:pt idx="6">
                  <c:v>Prov.Const.delCallao</c:v>
                </c:pt>
                <c:pt idx="7">
                  <c:v>Cusco</c:v>
                </c:pt>
                <c:pt idx="8">
                  <c:v>Huancavelica</c:v>
                </c:pt>
                <c:pt idx="9">
                  <c:v>Huánuco</c:v>
                </c:pt>
                <c:pt idx="10">
                  <c:v>Ica</c:v>
                </c:pt>
                <c:pt idx="11">
                  <c:v>Junín</c:v>
                </c:pt>
                <c:pt idx="12">
                  <c:v>LaLibertad</c:v>
                </c:pt>
                <c:pt idx="13">
                  <c:v>Lambayeque</c:v>
                </c:pt>
                <c:pt idx="14">
                  <c:v>Lima</c:v>
                </c:pt>
                <c:pt idx="15">
                  <c:v>Loreto</c:v>
                </c:pt>
                <c:pt idx="16">
                  <c:v>MadredeDios</c:v>
                </c:pt>
                <c:pt idx="17">
                  <c:v>Moquegua</c:v>
                </c:pt>
                <c:pt idx="18">
                  <c:v>Pasco</c:v>
                </c:pt>
                <c:pt idx="19">
                  <c:v>Piura</c:v>
                </c:pt>
                <c:pt idx="20">
                  <c:v>Puno</c:v>
                </c:pt>
                <c:pt idx="21">
                  <c:v>SanMartín</c:v>
                </c:pt>
                <c:pt idx="22">
                  <c:v>Tacna</c:v>
                </c:pt>
                <c:pt idx="23">
                  <c:v>Tumbes</c:v>
                </c:pt>
                <c:pt idx="24">
                  <c:v>Ucayali</c:v>
                </c:pt>
              </c:strCache>
            </c:strRef>
          </c:cat>
          <c:val>
            <c:numRef>
              <c:f>Varios!$AG$5:$AG$29</c:f>
              <c:numCache>
                <c:formatCode>General</c:formatCode>
                <c:ptCount val="25"/>
                <c:pt idx="0">
                  <c:v>22.990920475892299</c:v>
                </c:pt>
                <c:pt idx="1">
                  <c:v>19.665803108808291</c:v>
                </c:pt>
                <c:pt idx="2">
                  <c:v>20.02798913043479</c:v>
                </c:pt>
                <c:pt idx="3">
                  <c:v>18.780677161958163</c:v>
                </c:pt>
                <c:pt idx="4">
                  <c:v>19.639015496810561</c:v>
                </c:pt>
                <c:pt idx="5">
                  <c:v>20.774022765375452</c:v>
                </c:pt>
                <c:pt idx="6">
                  <c:v>26.061859893486275</c:v>
                </c:pt>
                <c:pt idx="7">
                  <c:v>23.827807626785535</c:v>
                </c:pt>
                <c:pt idx="8">
                  <c:v>22.884467265725089</c:v>
                </c:pt>
                <c:pt idx="9">
                  <c:v>25.135185880585787</c:v>
                </c:pt>
                <c:pt idx="10">
                  <c:v>20.533187226048845</c:v>
                </c:pt>
                <c:pt idx="11">
                  <c:v>21.886610878659965</c:v>
                </c:pt>
                <c:pt idx="12">
                  <c:v>22.667323351720512</c:v>
                </c:pt>
                <c:pt idx="13">
                  <c:v>24.853638253638252</c:v>
                </c:pt>
                <c:pt idx="14">
                  <c:v>23.650126796280645</c:v>
                </c:pt>
                <c:pt idx="15">
                  <c:v>23.261474844934529</c:v>
                </c:pt>
                <c:pt idx="16">
                  <c:v>22.593703148425789</c:v>
                </c:pt>
                <c:pt idx="17">
                  <c:v>14.6946946946947</c:v>
                </c:pt>
                <c:pt idx="18">
                  <c:v>18.090676229508187</c:v>
                </c:pt>
                <c:pt idx="19">
                  <c:v>24.799494524010111</c:v>
                </c:pt>
                <c:pt idx="20">
                  <c:v>18.738593603010326</c:v>
                </c:pt>
                <c:pt idx="21">
                  <c:v>22.765451355039929</c:v>
                </c:pt>
                <c:pt idx="22">
                  <c:v>19.205168363351607</c:v>
                </c:pt>
                <c:pt idx="23">
                  <c:v>16.785332314742575</c:v>
                </c:pt>
                <c:pt idx="24">
                  <c:v>25.421906693711929</c:v>
                </c:pt>
              </c:numCache>
            </c:numRef>
          </c:val>
        </c:ser>
        <c:axId val="113406336"/>
        <c:axId val="113407872"/>
      </c:barChart>
      <c:catAx>
        <c:axId val="113406336"/>
        <c:scaling>
          <c:orientation val="minMax"/>
        </c:scaling>
        <c:axPos val="b"/>
        <c:numFmt formatCode="General" sourceLinked="1"/>
        <c:tickLblPos val="nextTo"/>
        <c:txPr>
          <a:bodyPr rot="-5400000" vert="horz"/>
          <a:lstStyle/>
          <a:p>
            <a:pPr>
              <a:defRPr lang="en-US"/>
            </a:pPr>
            <a:endParaRPr lang="en-US"/>
          </a:p>
        </c:txPr>
        <c:crossAx val="113407872"/>
        <c:crosses val="autoZero"/>
        <c:auto val="1"/>
        <c:lblAlgn val="ctr"/>
        <c:lblOffset val="100"/>
        <c:tickLblSkip val="1"/>
        <c:tickMarkSkip val="1"/>
      </c:catAx>
      <c:valAx>
        <c:axId val="113407872"/>
        <c:scaling>
          <c:orientation val="minMax"/>
        </c:scaling>
        <c:axPos val="l"/>
        <c:majorGridlines/>
        <c:numFmt formatCode="General" sourceLinked="1"/>
        <c:tickLblPos val="nextTo"/>
        <c:txPr>
          <a:bodyPr rot="0" vert="horz"/>
          <a:lstStyle/>
          <a:p>
            <a:pPr>
              <a:defRPr lang="en-US"/>
            </a:pPr>
            <a:endParaRPr lang="en-US"/>
          </a:p>
        </c:txPr>
        <c:crossAx val="113406336"/>
        <c:crosses val="autoZero"/>
        <c:crossBetween val="between"/>
      </c:valAx>
    </c:plotArea>
    <c:legend>
      <c:legendPos val="b"/>
      <c:txPr>
        <a:bodyPr/>
        <a:lstStyle/>
        <a:p>
          <a:pPr>
            <a:defRPr lang="en-US"/>
          </a:pPr>
          <a:endParaRPr lang="en-US"/>
        </a:p>
      </c:txPr>
    </c:legend>
    <c:plotVisOnly val="1"/>
    <c:dispBlanksAs val="gap"/>
  </c:chart>
  <c:externalData r:id="rId1"/>
</c:chartSpace>
</file>

<file path=word/charts/chart34.xml><?xml version="1.0" encoding="utf-8"?>
<c:chartSpace xmlns:c="http://schemas.openxmlformats.org/drawingml/2006/chart" xmlns:a="http://schemas.openxmlformats.org/drawingml/2006/main" xmlns:r="http://schemas.openxmlformats.org/officeDocument/2006/relationships">
  <c:date1904 val="1"/>
  <c:lang val="en-US"/>
  <c:style val="34"/>
  <c:chart>
    <c:plotArea>
      <c:layout>
        <c:manualLayout>
          <c:layoutTarget val="inner"/>
          <c:xMode val="edge"/>
          <c:yMode val="edge"/>
          <c:x val="6.9800666901304514E-2"/>
          <c:y val="8.3086173796500948E-2"/>
          <c:w val="0.8888899357665766"/>
          <c:h val="0.51431194925084756"/>
        </c:manualLayout>
      </c:layout>
      <c:barChart>
        <c:barDir val="col"/>
        <c:grouping val="clustered"/>
        <c:ser>
          <c:idx val="0"/>
          <c:order val="0"/>
          <c:tx>
            <c:strRef>
              <c:f>Varios!$K$3</c:f>
              <c:strCache>
                <c:ptCount val="1"/>
                <c:pt idx="0">
                  <c:v>2000</c:v>
                </c:pt>
              </c:strCache>
            </c:strRef>
          </c:tx>
          <c:cat>
            <c:strRef>
              <c:f>Varios!$A$5:$A$29</c:f>
              <c:strCache>
                <c:ptCount val="25"/>
                <c:pt idx="0">
                  <c:v>Amazonas</c:v>
                </c:pt>
                <c:pt idx="1">
                  <c:v>Áncash</c:v>
                </c:pt>
                <c:pt idx="2">
                  <c:v>Apurímac</c:v>
                </c:pt>
                <c:pt idx="3">
                  <c:v>Arequipa</c:v>
                </c:pt>
                <c:pt idx="4">
                  <c:v>Ayacucho</c:v>
                </c:pt>
                <c:pt idx="5">
                  <c:v>Cajamarca</c:v>
                </c:pt>
                <c:pt idx="6">
                  <c:v>Prov.Const.delCallao</c:v>
                </c:pt>
                <c:pt idx="7">
                  <c:v>Cusco</c:v>
                </c:pt>
                <c:pt idx="8">
                  <c:v>Huancavelica</c:v>
                </c:pt>
                <c:pt idx="9">
                  <c:v>Huánuco</c:v>
                </c:pt>
                <c:pt idx="10">
                  <c:v>Ica</c:v>
                </c:pt>
                <c:pt idx="11">
                  <c:v>Junín</c:v>
                </c:pt>
                <c:pt idx="12">
                  <c:v>LaLibertad</c:v>
                </c:pt>
                <c:pt idx="13">
                  <c:v>Lambayeque</c:v>
                </c:pt>
                <c:pt idx="14">
                  <c:v>Lima</c:v>
                </c:pt>
                <c:pt idx="15">
                  <c:v>Loreto</c:v>
                </c:pt>
                <c:pt idx="16">
                  <c:v>MadredeDios</c:v>
                </c:pt>
                <c:pt idx="17">
                  <c:v>Moquegua</c:v>
                </c:pt>
                <c:pt idx="18">
                  <c:v>Pasco</c:v>
                </c:pt>
                <c:pt idx="19">
                  <c:v>Piura</c:v>
                </c:pt>
                <c:pt idx="20">
                  <c:v>Puno</c:v>
                </c:pt>
                <c:pt idx="21">
                  <c:v>SanMartín</c:v>
                </c:pt>
                <c:pt idx="22">
                  <c:v>Tacna</c:v>
                </c:pt>
                <c:pt idx="23">
                  <c:v>Tumbes</c:v>
                </c:pt>
                <c:pt idx="24">
                  <c:v>Ucayali</c:v>
                </c:pt>
              </c:strCache>
            </c:strRef>
          </c:cat>
          <c:val>
            <c:numRef>
              <c:f>Varios!$K$5:$K$29</c:f>
              <c:numCache>
                <c:formatCode>General</c:formatCode>
                <c:ptCount val="25"/>
                <c:pt idx="0">
                  <c:v>17.741167988464312</c:v>
                </c:pt>
                <c:pt idx="1">
                  <c:v>15.850807235947007</c:v>
                </c:pt>
                <c:pt idx="2">
                  <c:v>20.838337182448036</c:v>
                </c:pt>
                <c:pt idx="3">
                  <c:v>18.727564102564102</c:v>
                </c:pt>
                <c:pt idx="4">
                  <c:v>17.36095392077609</c:v>
                </c:pt>
                <c:pt idx="5">
                  <c:v>17.95747368421053</c:v>
                </c:pt>
                <c:pt idx="6">
                  <c:v>21.063904803878362</c:v>
                </c:pt>
                <c:pt idx="7">
                  <c:v>23.167925624637135</c:v>
                </c:pt>
                <c:pt idx="8">
                  <c:v>21.089167767503302</c:v>
                </c:pt>
                <c:pt idx="9">
                  <c:v>21.186108637577789</c:v>
                </c:pt>
                <c:pt idx="10">
                  <c:v>17.815010900031126</c:v>
                </c:pt>
                <c:pt idx="11">
                  <c:v>18.136598827181793</c:v>
                </c:pt>
                <c:pt idx="12">
                  <c:v>17.792020687106689</c:v>
                </c:pt>
                <c:pt idx="13">
                  <c:v>21.39103982300885</c:v>
                </c:pt>
                <c:pt idx="14">
                  <c:v>20.118014437505071</c:v>
                </c:pt>
                <c:pt idx="15">
                  <c:v>15.967459666393276</c:v>
                </c:pt>
                <c:pt idx="16">
                  <c:v>18.835858585859135</c:v>
                </c:pt>
                <c:pt idx="17">
                  <c:v>12.671232876712329</c:v>
                </c:pt>
                <c:pt idx="18">
                  <c:v>14.912627169359666</c:v>
                </c:pt>
                <c:pt idx="19">
                  <c:v>21.656956688386355</c:v>
                </c:pt>
                <c:pt idx="20">
                  <c:v>19.073386058488136</c:v>
                </c:pt>
                <c:pt idx="21">
                  <c:v>17.399101460127287</c:v>
                </c:pt>
                <c:pt idx="22">
                  <c:v>14.168382352941173</c:v>
                </c:pt>
                <c:pt idx="23">
                  <c:v>12.188372093023251</c:v>
                </c:pt>
                <c:pt idx="24">
                  <c:v>16.621773815110277</c:v>
                </c:pt>
              </c:numCache>
            </c:numRef>
          </c:val>
        </c:ser>
        <c:ser>
          <c:idx val="1"/>
          <c:order val="1"/>
          <c:tx>
            <c:strRef>
              <c:f>Varios!$AH$3</c:f>
              <c:strCache>
                <c:ptCount val="1"/>
                <c:pt idx="0">
                  <c:v>2008</c:v>
                </c:pt>
              </c:strCache>
            </c:strRef>
          </c:tx>
          <c:cat>
            <c:strRef>
              <c:f>Varios!$A$5:$A$29</c:f>
              <c:strCache>
                <c:ptCount val="25"/>
                <c:pt idx="0">
                  <c:v>Amazonas</c:v>
                </c:pt>
                <c:pt idx="1">
                  <c:v>Áncash</c:v>
                </c:pt>
                <c:pt idx="2">
                  <c:v>Apurímac</c:v>
                </c:pt>
                <c:pt idx="3">
                  <c:v>Arequipa</c:v>
                </c:pt>
                <c:pt idx="4">
                  <c:v>Ayacucho</c:v>
                </c:pt>
                <c:pt idx="5">
                  <c:v>Cajamarca</c:v>
                </c:pt>
                <c:pt idx="6">
                  <c:v>Prov.Const.delCallao</c:v>
                </c:pt>
                <c:pt idx="7">
                  <c:v>Cusco</c:v>
                </c:pt>
                <c:pt idx="8">
                  <c:v>Huancavelica</c:v>
                </c:pt>
                <c:pt idx="9">
                  <c:v>Huánuco</c:v>
                </c:pt>
                <c:pt idx="10">
                  <c:v>Ica</c:v>
                </c:pt>
                <c:pt idx="11">
                  <c:v>Junín</c:v>
                </c:pt>
                <c:pt idx="12">
                  <c:v>LaLibertad</c:v>
                </c:pt>
                <c:pt idx="13">
                  <c:v>Lambayeque</c:v>
                </c:pt>
                <c:pt idx="14">
                  <c:v>Lima</c:v>
                </c:pt>
                <c:pt idx="15">
                  <c:v>Loreto</c:v>
                </c:pt>
                <c:pt idx="16">
                  <c:v>MadredeDios</c:v>
                </c:pt>
                <c:pt idx="17">
                  <c:v>Moquegua</c:v>
                </c:pt>
                <c:pt idx="18">
                  <c:v>Pasco</c:v>
                </c:pt>
                <c:pt idx="19">
                  <c:v>Piura</c:v>
                </c:pt>
                <c:pt idx="20">
                  <c:v>Puno</c:v>
                </c:pt>
                <c:pt idx="21">
                  <c:v>SanMartín</c:v>
                </c:pt>
                <c:pt idx="22">
                  <c:v>Tacna</c:v>
                </c:pt>
                <c:pt idx="23">
                  <c:v>Tumbes</c:v>
                </c:pt>
                <c:pt idx="24">
                  <c:v>Ucayali</c:v>
                </c:pt>
              </c:strCache>
            </c:strRef>
          </c:cat>
          <c:val>
            <c:numRef>
              <c:f>Varios!$AH$5:$AH$29</c:f>
              <c:numCache>
                <c:formatCode>General</c:formatCode>
                <c:ptCount val="25"/>
                <c:pt idx="0">
                  <c:v>18.539808917197735</c:v>
                </c:pt>
                <c:pt idx="1">
                  <c:v>14.440075495438798</c:v>
                </c:pt>
                <c:pt idx="2">
                  <c:v>17.779885468861895</c:v>
                </c:pt>
                <c:pt idx="3">
                  <c:v>16.637511693171188</c:v>
                </c:pt>
                <c:pt idx="4">
                  <c:v>15.91551246537397</c:v>
                </c:pt>
                <c:pt idx="5">
                  <c:v>17.673660785248831</c:v>
                </c:pt>
                <c:pt idx="6">
                  <c:v>19.47067783701447</c:v>
                </c:pt>
                <c:pt idx="7">
                  <c:v>20.705304518664029</c:v>
                </c:pt>
                <c:pt idx="8">
                  <c:v>16.954808387563229</c:v>
                </c:pt>
                <c:pt idx="9">
                  <c:v>18.569990850869129</c:v>
                </c:pt>
                <c:pt idx="10">
                  <c:v>17.089392508655589</c:v>
                </c:pt>
                <c:pt idx="11">
                  <c:v>15.81315963060687</c:v>
                </c:pt>
                <c:pt idx="12">
                  <c:v>16.894094358297735</c:v>
                </c:pt>
                <c:pt idx="13">
                  <c:v>18.965475024485787</c:v>
                </c:pt>
                <c:pt idx="14">
                  <c:v>18.116408854264204</c:v>
                </c:pt>
                <c:pt idx="15">
                  <c:v>16.526125743415491</c:v>
                </c:pt>
                <c:pt idx="16">
                  <c:v>15.992038216561026</c:v>
                </c:pt>
                <c:pt idx="17">
                  <c:v>11.098165137614668</c:v>
                </c:pt>
                <c:pt idx="18">
                  <c:v>12.300970873786422</c:v>
                </c:pt>
                <c:pt idx="19">
                  <c:v>20.561125916055964</c:v>
                </c:pt>
                <c:pt idx="20">
                  <c:v>16.265365853658537</c:v>
                </c:pt>
                <c:pt idx="21">
                  <c:v>17.388190267905689</c:v>
                </c:pt>
                <c:pt idx="22">
                  <c:v>11.731636784268364</c:v>
                </c:pt>
                <c:pt idx="23">
                  <c:v>12.616177636796193</c:v>
                </c:pt>
                <c:pt idx="24">
                  <c:v>16.658955223881335</c:v>
                </c:pt>
              </c:numCache>
            </c:numRef>
          </c:val>
        </c:ser>
        <c:axId val="115623808"/>
        <c:axId val="115625344"/>
      </c:barChart>
      <c:catAx>
        <c:axId val="115623808"/>
        <c:scaling>
          <c:orientation val="minMax"/>
        </c:scaling>
        <c:axPos val="b"/>
        <c:numFmt formatCode="General" sourceLinked="1"/>
        <c:tickLblPos val="nextTo"/>
        <c:txPr>
          <a:bodyPr rot="-5400000" vert="horz"/>
          <a:lstStyle/>
          <a:p>
            <a:pPr>
              <a:defRPr lang="en-US"/>
            </a:pPr>
            <a:endParaRPr lang="en-US"/>
          </a:p>
        </c:txPr>
        <c:crossAx val="115625344"/>
        <c:crosses val="autoZero"/>
        <c:auto val="1"/>
        <c:lblAlgn val="ctr"/>
        <c:lblOffset val="100"/>
        <c:tickLblSkip val="1"/>
        <c:tickMarkSkip val="1"/>
      </c:catAx>
      <c:valAx>
        <c:axId val="115625344"/>
        <c:scaling>
          <c:orientation val="minMax"/>
        </c:scaling>
        <c:axPos val="l"/>
        <c:majorGridlines/>
        <c:numFmt formatCode="General" sourceLinked="1"/>
        <c:tickLblPos val="nextTo"/>
        <c:txPr>
          <a:bodyPr rot="0" vert="horz"/>
          <a:lstStyle/>
          <a:p>
            <a:pPr>
              <a:defRPr lang="en-US"/>
            </a:pPr>
            <a:endParaRPr lang="en-US"/>
          </a:p>
        </c:txPr>
        <c:crossAx val="115623808"/>
        <c:crosses val="autoZero"/>
        <c:crossBetween val="between"/>
      </c:valAx>
    </c:plotArea>
    <c:legend>
      <c:legendPos val="b"/>
      <c:txPr>
        <a:bodyPr/>
        <a:lstStyle/>
        <a:p>
          <a:pPr>
            <a:defRPr lang="en-US"/>
          </a:pPr>
          <a:endParaRPr lang="en-US"/>
        </a:p>
      </c:txPr>
    </c:legend>
    <c:plotVisOnly val="1"/>
    <c:dispBlanksAs val="gap"/>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style val="4"/>
  <c:chart>
    <c:autoTitleDeleted val="1"/>
    <c:plotArea>
      <c:layout>
        <c:manualLayout>
          <c:layoutTarget val="inner"/>
          <c:xMode val="edge"/>
          <c:yMode val="edge"/>
          <c:x val="0.24648803514945503"/>
          <c:y val="5.2757793764988022E-2"/>
          <c:w val="0.67998346360552042"/>
          <c:h val="0.75027134198153289"/>
        </c:manualLayout>
      </c:layout>
      <c:scatterChart>
        <c:scatterStyle val="lineMarker"/>
        <c:ser>
          <c:idx val="0"/>
          <c:order val="0"/>
          <c:tx>
            <c:strRef>
              <c:f>Hoja2!$J$3</c:f>
              <c:strCache>
                <c:ptCount val="1"/>
                <c:pt idx="0">
                  <c:v>Promedio</c:v>
                </c:pt>
              </c:strCache>
            </c:strRef>
          </c:tx>
          <c:spPr>
            <a:ln w="28575">
              <a:noFill/>
            </a:ln>
          </c:spPr>
          <c:dLbls>
            <c:txPr>
              <a:bodyPr/>
              <a:lstStyle/>
              <a:p>
                <a:pPr>
                  <a:defRPr lang="en-US" sz="800"/>
                </a:pPr>
                <a:endParaRPr lang="en-US"/>
              </a:p>
            </c:txPr>
            <c:showCatName val="1"/>
          </c:dLbls>
          <c:xVal>
            <c:strRef>
              <c:f>Hoja2!$G$4:$G$45</c:f>
              <c:strCache>
                <c:ptCount val="42"/>
                <c:pt idx="0">
                  <c:v>Finlandia</c:v>
                </c:pt>
                <c:pt idx="1">
                  <c:v>Hong Kong</c:v>
                </c:pt>
                <c:pt idx="2">
                  <c:v>Canada</c:v>
                </c:pt>
                <c:pt idx="3">
                  <c:v>Nueva Zelanda</c:v>
                </c:pt>
                <c:pt idx="4">
                  <c:v>Australia</c:v>
                </c:pt>
                <c:pt idx="5">
                  <c:v>Irlanda</c:v>
                </c:pt>
                <c:pt idx="6">
                  <c:v>Corea</c:v>
                </c:pt>
                <c:pt idx="7">
                  <c:v>Reino Unido</c:v>
                </c:pt>
                <c:pt idx="8">
                  <c:v>Japón</c:v>
                </c:pt>
                <c:pt idx="9">
                  <c:v>Suecia</c:v>
                </c:pt>
                <c:pt idx="10">
                  <c:v>Bélgica</c:v>
                </c:pt>
                <c:pt idx="11">
                  <c:v>Islandia</c:v>
                </c:pt>
                <c:pt idx="12">
                  <c:v>Noruega</c:v>
                </c:pt>
                <c:pt idx="13">
                  <c:v>Liechtenstein</c:v>
                </c:pt>
                <c:pt idx="14">
                  <c:v>Francia</c:v>
                </c:pt>
                <c:pt idx="15">
                  <c:v>Estados Unidos</c:v>
                </c:pt>
                <c:pt idx="16">
                  <c:v>Dinamarca</c:v>
                </c:pt>
                <c:pt idx="17">
                  <c:v>Suiza</c:v>
                </c:pt>
                <c:pt idx="18">
                  <c:v>España</c:v>
                </c:pt>
                <c:pt idx="19">
                  <c:v>Austria</c:v>
                </c:pt>
                <c:pt idx="20">
                  <c:v>República Checa</c:v>
                </c:pt>
                <c:pt idx="21">
                  <c:v>Italia</c:v>
                </c:pt>
                <c:pt idx="22">
                  <c:v>Alemania</c:v>
                </c:pt>
                <c:pt idx="23">
                  <c:v>Hungría</c:v>
                </c:pt>
                <c:pt idx="24">
                  <c:v>Rusia</c:v>
                </c:pt>
                <c:pt idx="25">
                  <c:v>Polonia</c:v>
                </c:pt>
                <c:pt idx="26">
                  <c:v>Grecia</c:v>
                </c:pt>
                <c:pt idx="27">
                  <c:v>Latvia</c:v>
                </c:pt>
                <c:pt idx="28">
                  <c:v>Portugal</c:v>
                </c:pt>
                <c:pt idx="29">
                  <c:v>Israel</c:v>
                </c:pt>
                <c:pt idx="30">
                  <c:v>Bulgaria</c:v>
                </c:pt>
                <c:pt idx="31">
                  <c:v>Luxemburgo</c:v>
                </c:pt>
                <c:pt idx="32">
                  <c:v>Tailandia</c:v>
                </c:pt>
                <c:pt idx="33">
                  <c:v>Romania</c:v>
                </c:pt>
                <c:pt idx="34">
                  <c:v>Mexico</c:v>
                </c:pt>
                <c:pt idx="35">
                  <c:v>Argentina</c:v>
                </c:pt>
                <c:pt idx="36">
                  <c:v>Chile</c:v>
                </c:pt>
                <c:pt idx="37">
                  <c:v>Macedonia</c:v>
                </c:pt>
                <c:pt idx="38">
                  <c:v>Albania</c:v>
                </c:pt>
                <c:pt idx="39">
                  <c:v>Indonesia</c:v>
                </c:pt>
                <c:pt idx="40">
                  <c:v>Brasil</c:v>
                </c:pt>
                <c:pt idx="41">
                  <c:v>Perú</c:v>
                </c:pt>
              </c:strCache>
            </c:strRef>
          </c:xVal>
          <c:yVal>
            <c:numRef>
              <c:f>Hoja2!$J$4:$J$45</c:f>
              <c:numCache>
                <c:formatCode>General</c:formatCode>
                <c:ptCount val="42"/>
                <c:pt idx="0">
                  <c:v>545.5</c:v>
                </c:pt>
                <c:pt idx="1">
                  <c:v>542</c:v>
                </c:pt>
                <c:pt idx="2">
                  <c:v>535</c:v>
                </c:pt>
                <c:pt idx="3">
                  <c:v>530</c:v>
                </c:pt>
                <c:pt idx="4">
                  <c:v>529.5</c:v>
                </c:pt>
                <c:pt idx="5">
                  <c:v>527.5</c:v>
                </c:pt>
                <c:pt idx="6">
                  <c:v>526</c:v>
                </c:pt>
                <c:pt idx="7">
                  <c:v>524.5</c:v>
                </c:pt>
                <c:pt idx="8">
                  <c:v>522</c:v>
                </c:pt>
                <c:pt idx="9">
                  <c:v>517.5</c:v>
                </c:pt>
                <c:pt idx="10">
                  <c:v>508.5</c:v>
                </c:pt>
                <c:pt idx="11">
                  <c:v>508</c:v>
                </c:pt>
                <c:pt idx="12">
                  <c:v>507.5</c:v>
                </c:pt>
                <c:pt idx="13">
                  <c:v>505</c:v>
                </c:pt>
                <c:pt idx="14">
                  <c:v>504.5</c:v>
                </c:pt>
                <c:pt idx="15">
                  <c:v>504</c:v>
                </c:pt>
                <c:pt idx="16">
                  <c:v>497.5</c:v>
                </c:pt>
                <c:pt idx="17">
                  <c:v>495</c:v>
                </c:pt>
                <c:pt idx="18">
                  <c:v>493</c:v>
                </c:pt>
                <c:pt idx="19">
                  <c:v>492.5</c:v>
                </c:pt>
                <c:pt idx="20">
                  <c:v>491.5</c:v>
                </c:pt>
                <c:pt idx="21">
                  <c:v>488</c:v>
                </c:pt>
                <c:pt idx="22">
                  <c:v>485</c:v>
                </c:pt>
                <c:pt idx="23">
                  <c:v>480.5</c:v>
                </c:pt>
                <c:pt idx="24">
                  <c:v>480</c:v>
                </c:pt>
                <c:pt idx="25">
                  <c:v>479</c:v>
                </c:pt>
                <c:pt idx="26">
                  <c:v>474.5</c:v>
                </c:pt>
                <c:pt idx="27">
                  <c:v>472.5</c:v>
                </c:pt>
                <c:pt idx="28">
                  <c:v>470</c:v>
                </c:pt>
                <c:pt idx="29">
                  <c:v>444.5</c:v>
                </c:pt>
                <c:pt idx="30">
                  <c:v>443.5</c:v>
                </c:pt>
                <c:pt idx="31">
                  <c:v>442.5</c:v>
                </c:pt>
                <c:pt idx="32">
                  <c:v>441.5</c:v>
                </c:pt>
                <c:pt idx="33">
                  <c:v>432</c:v>
                </c:pt>
                <c:pt idx="34">
                  <c:v>421.5</c:v>
                </c:pt>
                <c:pt idx="35">
                  <c:v>413</c:v>
                </c:pt>
                <c:pt idx="36">
                  <c:v>400.5</c:v>
                </c:pt>
                <c:pt idx="37">
                  <c:v>391.5</c:v>
                </c:pt>
                <c:pt idx="38">
                  <c:v>384</c:v>
                </c:pt>
                <c:pt idx="39">
                  <c:v>372</c:v>
                </c:pt>
                <c:pt idx="40">
                  <c:v>363</c:v>
                </c:pt>
                <c:pt idx="41">
                  <c:v>307.5</c:v>
                </c:pt>
              </c:numCache>
            </c:numRef>
          </c:yVal>
        </c:ser>
        <c:axId val="103451264"/>
        <c:axId val="106489344"/>
      </c:scatterChart>
      <c:valAx>
        <c:axId val="103451264"/>
        <c:scaling>
          <c:orientation val="minMax"/>
        </c:scaling>
        <c:axPos val="b"/>
        <c:title>
          <c:tx>
            <c:rich>
              <a:bodyPr/>
              <a:lstStyle/>
              <a:p>
                <a:pPr>
                  <a:defRPr sz="800"/>
                </a:pPr>
                <a:r>
                  <a:rPr lang="es-ES" sz="800"/>
                  <a:t>Ranking out from 43 countries</a:t>
                </a:r>
              </a:p>
            </c:rich>
          </c:tx>
        </c:title>
        <c:majorTickMark val="none"/>
        <c:tickLblPos val="nextTo"/>
        <c:txPr>
          <a:bodyPr/>
          <a:lstStyle/>
          <a:p>
            <a:pPr>
              <a:defRPr lang="en-US" sz="800"/>
            </a:pPr>
            <a:endParaRPr lang="en-US"/>
          </a:p>
        </c:txPr>
        <c:crossAx val="106489344"/>
        <c:crosses val="autoZero"/>
        <c:crossBetween val="midCat"/>
      </c:valAx>
      <c:valAx>
        <c:axId val="106489344"/>
        <c:scaling>
          <c:orientation val="minMax"/>
          <c:min val="250"/>
        </c:scaling>
        <c:axPos val="l"/>
        <c:majorGridlines/>
        <c:title>
          <c:tx>
            <c:rich>
              <a:bodyPr/>
              <a:lstStyle/>
              <a:p>
                <a:pPr>
                  <a:defRPr lang="en-US" sz="800"/>
                </a:pPr>
                <a:r>
                  <a:rPr lang="es-ES" sz="800"/>
                  <a:t>Reading Test Score (maximum: 625 pooints)</a:t>
                </a:r>
              </a:p>
            </c:rich>
          </c:tx>
        </c:title>
        <c:numFmt formatCode="General" sourceLinked="1"/>
        <c:majorTickMark val="none"/>
        <c:tickLblPos val="nextTo"/>
        <c:txPr>
          <a:bodyPr/>
          <a:lstStyle/>
          <a:p>
            <a:pPr>
              <a:defRPr lang="en-US" sz="800"/>
            </a:pPr>
            <a:endParaRPr lang="en-US"/>
          </a:p>
        </c:txPr>
        <c:crossAx val="103451264"/>
        <c:crosses val="autoZero"/>
        <c:crossBetween val="midCat"/>
      </c:valAx>
    </c:plotArea>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0.24648803514945503"/>
          <c:y val="5.2757793764988022E-2"/>
          <c:w val="0.67998346360552042"/>
          <c:h val="0.75027134198153289"/>
        </c:manualLayout>
      </c:layout>
      <c:scatterChart>
        <c:scatterStyle val="lineMarker"/>
        <c:ser>
          <c:idx val="0"/>
          <c:order val="0"/>
          <c:tx>
            <c:strRef>
              <c:f>Hoja2!$J$49</c:f>
              <c:strCache>
                <c:ptCount val="1"/>
                <c:pt idx="0">
                  <c:v>Promedio</c:v>
                </c:pt>
              </c:strCache>
            </c:strRef>
          </c:tx>
          <c:spPr>
            <a:ln w="28575">
              <a:noFill/>
            </a:ln>
          </c:spPr>
          <c:dLbls>
            <c:txPr>
              <a:bodyPr/>
              <a:lstStyle/>
              <a:p>
                <a:pPr>
                  <a:defRPr lang="en-US" sz="800"/>
                </a:pPr>
                <a:endParaRPr lang="en-US"/>
              </a:p>
            </c:txPr>
            <c:showCatName val="1"/>
          </c:dLbls>
          <c:xVal>
            <c:strRef>
              <c:f>Hoja2!$G$50:$G$91</c:f>
              <c:strCache>
                <c:ptCount val="42"/>
                <c:pt idx="0">
                  <c:v>Japan</c:v>
                </c:pt>
                <c:pt idx="1">
                  <c:v>Korea</c:v>
                </c:pt>
                <c:pt idx="2">
                  <c:v>Hong Kong</c:v>
                </c:pt>
                <c:pt idx="3">
                  <c:v>New Zealand</c:v>
                </c:pt>
                <c:pt idx="4">
                  <c:v>Finland</c:v>
                </c:pt>
                <c:pt idx="5">
                  <c:v>Canada</c:v>
                </c:pt>
                <c:pt idx="6">
                  <c:v>Australia</c:v>
                </c:pt>
                <c:pt idx="7">
                  <c:v>Switzerland</c:v>
                </c:pt>
                <c:pt idx="8">
                  <c:v>UK</c:v>
                </c:pt>
                <c:pt idx="9">
                  <c:v>Belgium</c:v>
                </c:pt>
                <c:pt idx="10">
                  <c:v>France</c:v>
                </c:pt>
                <c:pt idx="11">
                  <c:v>Iceland</c:v>
                </c:pt>
                <c:pt idx="12">
                  <c:v>Denmark</c:v>
                </c:pt>
                <c:pt idx="13">
                  <c:v>Sweden</c:v>
                </c:pt>
                <c:pt idx="14">
                  <c:v>Ireland</c:v>
                </c:pt>
                <c:pt idx="15">
                  <c:v>Austria</c:v>
                </c:pt>
                <c:pt idx="16">
                  <c:v>Norway</c:v>
                </c:pt>
                <c:pt idx="17">
                  <c:v>Czech</c:v>
                </c:pt>
                <c:pt idx="18">
                  <c:v>Liechtenstein</c:v>
                </c:pt>
                <c:pt idx="19">
                  <c:v>US</c:v>
                </c:pt>
                <c:pt idx="20">
                  <c:v>Germany</c:v>
                </c:pt>
                <c:pt idx="21">
                  <c:v>Hungary</c:v>
                </c:pt>
                <c:pt idx="22">
                  <c:v>Spain</c:v>
                </c:pt>
                <c:pt idx="23">
                  <c:v>Poland</c:v>
                </c:pt>
                <c:pt idx="24">
                  <c:v>Russia</c:v>
                </c:pt>
                <c:pt idx="25">
                  <c:v>Italy</c:v>
                </c:pt>
                <c:pt idx="26">
                  <c:v>Portugal</c:v>
                </c:pt>
                <c:pt idx="27">
                  <c:v>Latvia</c:v>
                </c:pt>
                <c:pt idx="28">
                  <c:v>Greece</c:v>
                </c:pt>
                <c:pt idx="29">
                  <c:v>Luxembourg</c:v>
                </c:pt>
                <c:pt idx="30">
                  <c:v>Israel</c:v>
                </c:pt>
                <c:pt idx="31">
                  <c:v>Romania</c:v>
                </c:pt>
                <c:pt idx="32">
                  <c:v>Thailand</c:v>
                </c:pt>
                <c:pt idx="33">
                  <c:v>Bulgaria</c:v>
                </c:pt>
                <c:pt idx="34">
                  <c:v>Chile</c:v>
                </c:pt>
                <c:pt idx="35">
                  <c:v>Argentina</c:v>
                </c:pt>
                <c:pt idx="36">
                  <c:v>Mexico</c:v>
                </c:pt>
                <c:pt idx="37">
                  <c:v>Brazil</c:v>
                </c:pt>
                <c:pt idx="38">
                  <c:v>Macedonia</c:v>
                </c:pt>
                <c:pt idx="39">
                  <c:v>Indonesia</c:v>
                </c:pt>
                <c:pt idx="40">
                  <c:v>Albania</c:v>
                </c:pt>
                <c:pt idx="41">
                  <c:v>Peru</c:v>
                </c:pt>
              </c:strCache>
            </c:strRef>
          </c:xVal>
          <c:yVal>
            <c:numRef>
              <c:f>Hoja2!$J$50:$J$91</c:f>
              <c:numCache>
                <c:formatCode>General</c:formatCode>
                <c:ptCount val="42"/>
                <c:pt idx="0">
                  <c:v>557</c:v>
                </c:pt>
                <c:pt idx="1">
                  <c:v>545.5</c:v>
                </c:pt>
                <c:pt idx="2">
                  <c:v>543.5</c:v>
                </c:pt>
                <c:pt idx="3">
                  <c:v>537.5</c:v>
                </c:pt>
                <c:pt idx="4">
                  <c:v>536.5</c:v>
                </c:pt>
                <c:pt idx="5">
                  <c:v>534</c:v>
                </c:pt>
                <c:pt idx="6">
                  <c:v>533</c:v>
                </c:pt>
                <c:pt idx="7">
                  <c:v>530</c:v>
                </c:pt>
                <c:pt idx="8">
                  <c:v>530</c:v>
                </c:pt>
                <c:pt idx="9">
                  <c:v>521</c:v>
                </c:pt>
                <c:pt idx="10">
                  <c:v>518</c:v>
                </c:pt>
                <c:pt idx="11">
                  <c:v>515.5</c:v>
                </c:pt>
                <c:pt idx="12">
                  <c:v>514.5</c:v>
                </c:pt>
                <c:pt idx="13">
                  <c:v>510.5</c:v>
                </c:pt>
                <c:pt idx="14">
                  <c:v>503.5</c:v>
                </c:pt>
                <c:pt idx="15">
                  <c:v>502</c:v>
                </c:pt>
                <c:pt idx="16">
                  <c:v>500.5</c:v>
                </c:pt>
                <c:pt idx="17">
                  <c:v>498</c:v>
                </c:pt>
                <c:pt idx="18">
                  <c:v>494.5</c:v>
                </c:pt>
                <c:pt idx="19">
                  <c:v>493.5</c:v>
                </c:pt>
                <c:pt idx="20">
                  <c:v>490.5</c:v>
                </c:pt>
                <c:pt idx="21">
                  <c:v>488.5</c:v>
                </c:pt>
                <c:pt idx="22">
                  <c:v>478</c:v>
                </c:pt>
                <c:pt idx="23">
                  <c:v>470</c:v>
                </c:pt>
                <c:pt idx="24">
                  <c:v>460.5</c:v>
                </c:pt>
                <c:pt idx="25">
                  <c:v>458</c:v>
                </c:pt>
                <c:pt idx="26">
                  <c:v>455</c:v>
                </c:pt>
                <c:pt idx="27">
                  <c:v>449.5</c:v>
                </c:pt>
                <c:pt idx="28">
                  <c:v>447.5</c:v>
                </c:pt>
                <c:pt idx="29">
                  <c:v>446.5</c:v>
                </c:pt>
                <c:pt idx="30">
                  <c:v>443</c:v>
                </c:pt>
                <c:pt idx="31">
                  <c:v>420.5</c:v>
                </c:pt>
                <c:pt idx="32">
                  <c:v>417.5</c:v>
                </c:pt>
                <c:pt idx="33">
                  <c:v>417.5</c:v>
                </c:pt>
                <c:pt idx="34">
                  <c:v>392</c:v>
                </c:pt>
                <c:pt idx="35">
                  <c:v>389.5</c:v>
                </c:pt>
                <c:pt idx="36">
                  <c:v>387.5</c:v>
                </c:pt>
                <c:pt idx="37">
                  <c:v>368.5</c:v>
                </c:pt>
                <c:pt idx="38">
                  <c:v>364.5</c:v>
                </c:pt>
                <c:pt idx="39">
                  <c:v>364.5</c:v>
                </c:pt>
                <c:pt idx="40">
                  <c:v>345.5</c:v>
                </c:pt>
                <c:pt idx="41">
                  <c:v>312.5</c:v>
                </c:pt>
              </c:numCache>
            </c:numRef>
          </c:yVal>
        </c:ser>
        <c:axId val="106798080"/>
        <c:axId val="107281408"/>
      </c:scatterChart>
      <c:valAx>
        <c:axId val="106798080"/>
        <c:scaling>
          <c:orientation val="minMax"/>
        </c:scaling>
        <c:axPos val="b"/>
        <c:title>
          <c:tx>
            <c:rich>
              <a:bodyPr/>
              <a:lstStyle/>
              <a:p>
                <a:pPr>
                  <a:defRPr sz="800"/>
                </a:pPr>
                <a:r>
                  <a:rPr lang="es-ES" sz="800"/>
                  <a:t>Ranking out from 43 countries</a:t>
                </a:r>
              </a:p>
            </c:rich>
          </c:tx>
        </c:title>
        <c:tickLblPos val="nextTo"/>
        <c:txPr>
          <a:bodyPr/>
          <a:lstStyle/>
          <a:p>
            <a:pPr>
              <a:defRPr lang="en-US" sz="800"/>
            </a:pPr>
            <a:endParaRPr lang="en-US"/>
          </a:p>
        </c:txPr>
        <c:crossAx val="107281408"/>
        <c:crosses val="autoZero"/>
        <c:crossBetween val="midCat"/>
      </c:valAx>
      <c:valAx>
        <c:axId val="107281408"/>
        <c:scaling>
          <c:orientation val="minMax"/>
          <c:min val="250"/>
        </c:scaling>
        <c:axPos val="l"/>
        <c:majorGridlines/>
        <c:title>
          <c:tx>
            <c:rich>
              <a:bodyPr rot="-5400000" vert="horz"/>
              <a:lstStyle/>
              <a:p>
                <a:pPr>
                  <a:defRPr lang="en-US" sz="800"/>
                </a:pPr>
                <a:r>
                  <a:rPr lang="es-ES" sz="800"/>
                  <a:t>Math Test Score </a:t>
                </a:r>
                <a:r>
                  <a:rPr lang="es-ES" sz="800" baseline="0"/>
                  <a:t> (maximum: 625 points)</a:t>
                </a:r>
                <a:endParaRPr lang="es-ES" sz="800"/>
              </a:p>
            </c:rich>
          </c:tx>
        </c:title>
        <c:numFmt formatCode="General" sourceLinked="1"/>
        <c:majorTickMark val="none"/>
        <c:tickLblPos val="nextTo"/>
        <c:txPr>
          <a:bodyPr/>
          <a:lstStyle/>
          <a:p>
            <a:pPr>
              <a:defRPr lang="en-US" sz="800"/>
            </a:pPr>
            <a:endParaRPr lang="en-US"/>
          </a:p>
        </c:txPr>
        <c:crossAx val="106798080"/>
        <c:crosses val="autoZero"/>
        <c:crossBetween val="midCat"/>
      </c:valAx>
    </c:plotArea>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style val="34"/>
  <c:chart>
    <c:plotArea>
      <c:layout>
        <c:manualLayout>
          <c:layoutTarget val="inner"/>
          <c:xMode val="edge"/>
          <c:yMode val="edge"/>
          <c:x val="8.9987437108183202E-2"/>
          <c:y val="6.0465184939572834E-2"/>
          <c:w val="0.89226979893183656"/>
          <c:h val="0.49069823162499082"/>
        </c:manualLayout>
      </c:layout>
      <c:barChart>
        <c:barDir val="col"/>
        <c:grouping val="clustered"/>
        <c:ser>
          <c:idx val="0"/>
          <c:order val="0"/>
          <c:tx>
            <c:strRef>
              <c:f>Varios!$AF$4</c:f>
              <c:strCache>
                <c:ptCount val="1"/>
                <c:pt idx="0">
                  <c:v>Preschool</c:v>
                </c:pt>
              </c:strCache>
            </c:strRef>
          </c:tx>
          <c:cat>
            <c:strRef>
              <c:f>Varios!$Y$5:$Y$29</c:f>
              <c:strCache>
                <c:ptCount val="25"/>
                <c:pt idx="0">
                  <c:v>Amazonas</c:v>
                </c:pt>
                <c:pt idx="1">
                  <c:v>Áncash</c:v>
                </c:pt>
                <c:pt idx="2">
                  <c:v>Apurímac</c:v>
                </c:pt>
                <c:pt idx="3">
                  <c:v>Arequipa</c:v>
                </c:pt>
                <c:pt idx="4">
                  <c:v>Ayacucho</c:v>
                </c:pt>
                <c:pt idx="5">
                  <c:v>Cajamarca</c:v>
                </c:pt>
                <c:pt idx="6">
                  <c:v>Prov.Const.delCallao</c:v>
                </c:pt>
                <c:pt idx="7">
                  <c:v>Cusco</c:v>
                </c:pt>
                <c:pt idx="8">
                  <c:v>Huancavelica</c:v>
                </c:pt>
                <c:pt idx="9">
                  <c:v>Huánuco</c:v>
                </c:pt>
                <c:pt idx="10">
                  <c:v>Ica</c:v>
                </c:pt>
                <c:pt idx="11">
                  <c:v>Junín</c:v>
                </c:pt>
                <c:pt idx="12">
                  <c:v>LaLibertad</c:v>
                </c:pt>
                <c:pt idx="13">
                  <c:v>Lambayeque</c:v>
                </c:pt>
                <c:pt idx="14">
                  <c:v>Lima</c:v>
                </c:pt>
                <c:pt idx="15">
                  <c:v>Loreto</c:v>
                </c:pt>
                <c:pt idx="16">
                  <c:v>MadredeDios</c:v>
                </c:pt>
                <c:pt idx="17">
                  <c:v>Moquegua</c:v>
                </c:pt>
                <c:pt idx="18">
                  <c:v>Pasco</c:v>
                </c:pt>
                <c:pt idx="19">
                  <c:v>Piura</c:v>
                </c:pt>
                <c:pt idx="20">
                  <c:v>Puno</c:v>
                </c:pt>
                <c:pt idx="21">
                  <c:v>SanMartín</c:v>
                </c:pt>
                <c:pt idx="22">
                  <c:v>Tacna</c:v>
                </c:pt>
                <c:pt idx="23">
                  <c:v>Tumbes</c:v>
                </c:pt>
                <c:pt idx="24">
                  <c:v>Ucayali</c:v>
                </c:pt>
              </c:strCache>
            </c:strRef>
          </c:cat>
          <c:val>
            <c:numRef>
              <c:f>Varios!$AF$5:$AF$29</c:f>
              <c:numCache>
                <c:formatCode>General</c:formatCode>
                <c:ptCount val="25"/>
                <c:pt idx="0">
                  <c:v>38.170909090909113</c:v>
                </c:pt>
                <c:pt idx="1">
                  <c:v>33.143377001455605</c:v>
                </c:pt>
                <c:pt idx="2">
                  <c:v>29.078597339782089</c:v>
                </c:pt>
                <c:pt idx="3">
                  <c:v>30.92772384034474</c:v>
                </c:pt>
                <c:pt idx="4">
                  <c:v>30.186307519640852</c:v>
                </c:pt>
                <c:pt idx="5">
                  <c:v>34.536117381490008</c:v>
                </c:pt>
                <c:pt idx="6">
                  <c:v>31.710723192019952</c:v>
                </c:pt>
                <c:pt idx="7">
                  <c:v>46.607792207792194</c:v>
                </c:pt>
                <c:pt idx="8">
                  <c:v>32.767088607594935</c:v>
                </c:pt>
                <c:pt idx="9">
                  <c:v>37.247354497354394</c:v>
                </c:pt>
                <c:pt idx="10">
                  <c:v>32.082018927444913</c:v>
                </c:pt>
                <c:pt idx="11">
                  <c:v>31.475394614670382</c:v>
                </c:pt>
                <c:pt idx="12">
                  <c:v>32.004038772212994</c:v>
                </c:pt>
                <c:pt idx="13">
                  <c:v>40.706266318537963</c:v>
                </c:pt>
                <c:pt idx="14">
                  <c:v>30.950754903344126</c:v>
                </c:pt>
                <c:pt idx="15">
                  <c:v>27.887775551102202</c:v>
                </c:pt>
                <c:pt idx="16">
                  <c:v>26.256281407035175</c:v>
                </c:pt>
                <c:pt idx="17">
                  <c:v>22.237951807228935</c:v>
                </c:pt>
                <c:pt idx="18">
                  <c:v>34.278215223097163</c:v>
                </c:pt>
                <c:pt idx="19">
                  <c:v>39.182284980744043</c:v>
                </c:pt>
                <c:pt idx="20">
                  <c:v>45.193919474116676</c:v>
                </c:pt>
                <c:pt idx="21">
                  <c:v>27.032080659945006</c:v>
                </c:pt>
                <c:pt idx="22">
                  <c:v>26.63461538461539</c:v>
                </c:pt>
                <c:pt idx="23">
                  <c:v>26.468085106382979</c:v>
                </c:pt>
                <c:pt idx="24">
                  <c:v>37.628318584071891</c:v>
                </c:pt>
              </c:numCache>
            </c:numRef>
          </c:val>
        </c:ser>
        <c:ser>
          <c:idx val="1"/>
          <c:order val="1"/>
          <c:tx>
            <c:strRef>
              <c:f>Varios!$AG$4</c:f>
              <c:strCache>
                <c:ptCount val="1"/>
                <c:pt idx="0">
                  <c:v>Primary</c:v>
                </c:pt>
              </c:strCache>
            </c:strRef>
          </c:tx>
          <c:cat>
            <c:strRef>
              <c:f>Varios!$Y$5:$Y$29</c:f>
              <c:strCache>
                <c:ptCount val="25"/>
                <c:pt idx="0">
                  <c:v>Amazonas</c:v>
                </c:pt>
                <c:pt idx="1">
                  <c:v>Áncash</c:v>
                </c:pt>
                <c:pt idx="2">
                  <c:v>Apurímac</c:v>
                </c:pt>
                <c:pt idx="3">
                  <c:v>Arequipa</c:v>
                </c:pt>
                <c:pt idx="4">
                  <c:v>Ayacucho</c:v>
                </c:pt>
                <c:pt idx="5">
                  <c:v>Cajamarca</c:v>
                </c:pt>
                <c:pt idx="6">
                  <c:v>Prov.Const.delCallao</c:v>
                </c:pt>
                <c:pt idx="7">
                  <c:v>Cusco</c:v>
                </c:pt>
                <c:pt idx="8">
                  <c:v>Huancavelica</c:v>
                </c:pt>
                <c:pt idx="9">
                  <c:v>Huánuco</c:v>
                </c:pt>
                <c:pt idx="10">
                  <c:v>Ica</c:v>
                </c:pt>
                <c:pt idx="11">
                  <c:v>Junín</c:v>
                </c:pt>
                <c:pt idx="12">
                  <c:v>LaLibertad</c:v>
                </c:pt>
                <c:pt idx="13">
                  <c:v>Lambayeque</c:v>
                </c:pt>
                <c:pt idx="14">
                  <c:v>Lima</c:v>
                </c:pt>
                <c:pt idx="15">
                  <c:v>Loreto</c:v>
                </c:pt>
                <c:pt idx="16">
                  <c:v>MadredeDios</c:v>
                </c:pt>
                <c:pt idx="17">
                  <c:v>Moquegua</c:v>
                </c:pt>
                <c:pt idx="18">
                  <c:v>Pasco</c:v>
                </c:pt>
                <c:pt idx="19">
                  <c:v>Piura</c:v>
                </c:pt>
                <c:pt idx="20">
                  <c:v>Puno</c:v>
                </c:pt>
                <c:pt idx="21">
                  <c:v>SanMartín</c:v>
                </c:pt>
                <c:pt idx="22">
                  <c:v>Tacna</c:v>
                </c:pt>
                <c:pt idx="23">
                  <c:v>Tumbes</c:v>
                </c:pt>
                <c:pt idx="24">
                  <c:v>Ucayali</c:v>
                </c:pt>
              </c:strCache>
            </c:strRef>
          </c:cat>
          <c:val>
            <c:numRef>
              <c:f>Varios!$AG$5:$AG$29</c:f>
              <c:numCache>
                <c:formatCode>General</c:formatCode>
                <c:ptCount val="25"/>
                <c:pt idx="0">
                  <c:v>22.990920475892299</c:v>
                </c:pt>
                <c:pt idx="1">
                  <c:v>19.665803108808291</c:v>
                </c:pt>
                <c:pt idx="2">
                  <c:v>20.02798913043479</c:v>
                </c:pt>
                <c:pt idx="3">
                  <c:v>18.780677161958163</c:v>
                </c:pt>
                <c:pt idx="4">
                  <c:v>19.639015496809833</c:v>
                </c:pt>
                <c:pt idx="5">
                  <c:v>20.774022765375452</c:v>
                </c:pt>
                <c:pt idx="6">
                  <c:v>26.061859893486275</c:v>
                </c:pt>
                <c:pt idx="7">
                  <c:v>23.827807626785535</c:v>
                </c:pt>
                <c:pt idx="8">
                  <c:v>22.884467265725089</c:v>
                </c:pt>
                <c:pt idx="9">
                  <c:v>25.135185880585787</c:v>
                </c:pt>
                <c:pt idx="10">
                  <c:v>20.533187226048845</c:v>
                </c:pt>
                <c:pt idx="11">
                  <c:v>21.886610878660669</c:v>
                </c:pt>
                <c:pt idx="12">
                  <c:v>22.667323351720512</c:v>
                </c:pt>
                <c:pt idx="13">
                  <c:v>24.853638253638252</c:v>
                </c:pt>
                <c:pt idx="14">
                  <c:v>23.650126796280645</c:v>
                </c:pt>
                <c:pt idx="15">
                  <c:v>23.261474844934529</c:v>
                </c:pt>
                <c:pt idx="16">
                  <c:v>22.593703148425789</c:v>
                </c:pt>
                <c:pt idx="17">
                  <c:v>14.6946946946947</c:v>
                </c:pt>
                <c:pt idx="18">
                  <c:v>18.090676229508187</c:v>
                </c:pt>
                <c:pt idx="19">
                  <c:v>24.799494524010111</c:v>
                </c:pt>
                <c:pt idx="20">
                  <c:v>18.738593603010326</c:v>
                </c:pt>
                <c:pt idx="21">
                  <c:v>22.765451355039929</c:v>
                </c:pt>
                <c:pt idx="22">
                  <c:v>19.205168363351607</c:v>
                </c:pt>
                <c:pt idx="23">
                  <c:v>16.785332314743549</c:v>
                </c:pt>
                <c:pt idx="24">
                  <c:v>25.421906693711929</c:v>
                </c:pt>
              </c:numCache>
            </c:numRef>
          </c:val>
        </c:ser>
        <c:ser>
          <c:idx val="2"/>
          <c:order val="2"/>
          <c:tx>
            <c:strRef>
              <c:f>Varios!$AH$4</c:f>
              <c:strCache>
                <c:ptCount val="1"/>
                <c:pt idx="0">
                  <c:v>Secondary</c:v>
                </c:pt>
              </c:strCache>
            </c:strRef>
          </c:tx>
          <c:cat>
            <c:strRef>
              <c:f>Varios!$Y$5:$Y$29</c:f>
              <c:strCache>
                <c:ptCount val="25"/>
                <c:pt idx="0">
                  <c:v>Amazonas</c:v>
                </c:pt>
                <c:pt idx="1">
                  <c:v>Áncash</c:v>
                </c:pt>
                <c:pt idx="2">
                  <c:v>Apurímac</c:v>
                </c:pt>
                <c:pt idx="3">
                  <c:v>Arequipa</c:v>
                </c:pt>
                <c:pt idx="4">
                  <c:v>Ayacucho</c:v>
                </c:pt>
                <c:pt idx="5">
                  <c:v>Cajamarca</c:v>
                </c:pt>
                <c:pt idx="6">
                  <c:v>Prov.Const.delCallao</c:v>
                </c:pt>
                <c:pt idx="7">
                  <c:v>Cusco</c:v>
                </c:pt>
                <c:pt idx="8">
                  <c:v>Huancavelica</c:v>
                </c:pt>
                <c:pt idx="9">
                  <c:v>Huánuco</c:v>
                </c:pt>
                <c:pt idx="10">
                  <c:v>Ica</c:v>
                </c:pt>
                <c:pt idx="11">
                  <c:v>Junín</c:v>
                </c:pt>
                <c:pt idx="12">
                  <c:v>LaLibertad</c:v>
                </c:pt>
                <c:pt idx="13">
                  <c:v>Lambayeque</c:v>
                </c:pt>
                <c:pt idx="14">
                  <c:v>Lima</c:v>
                </c:pt>
                <c:pt idx="15">
                  <c:v>Loreto</c:v>
                </c:pt>
                <c:pt idx="16">
                  <c:v>MadredeDios</c:v>
                </c:pt>
                <c:pt idx="17">
                  <c:v>Moquegua</c:v>
                </c:pt>
                <c:pt idx="18">
                  <c:v>Pasco</c:v>
                </c:pt>
                <c:pt idx="19">
                  <c:v>Piura</c:v>
                </c:pt>
                <c:pt idx="20">
                  <c:v>Puno</c:v>
                </c:pt>
                <c:pt idx="21">
                  <c:v>SanMartín</c:v>
                </c:pt>
                <c:pt idx="22">
                  <c:v>Tacna</c:v>
                </c:pt>
                <c:pt idx="23">
                  <c:v>Tumbes</c:v>
                </c:pt>
                <c:pt idx="24">
                  <c:v>Ucayali</c:v>
                </c:pt>
              </c:strCache>
            </c:strRef>
          </c:cat>
          <c:val>
            <c:numRef>
              <c:f>Varios!$AH$5:$AH$29</c:f>
              <c:numCache>
                <c:formatCode>General</c:formatCode>
                <c:ptCount val="25"/>
                <c:pt idx="0">
                  <c:v>18.539808917197732</c:v>
                </c:pt>
                <c:pt idx="1">
                  <c:v>14.440075495438798</c:v>
                </c:pt>
                <c:pt idx="2">
                  <c:v>17.779885468861895</c:v>
                </c:pt>
                <c:pt idx="3">
                  <c:v>16.637511693171188</c:v>
                </c:pt>
                <c:pt idx="4">
                  <c:v>15.91551246537397</c:v>
                </c:pt>
                <c:pt idx="5">
                  <c:v>17.673660785248831</c:v>
                </c:pt>
                <c:pt idx="6">
                  <c:v>19.47067783701447</c:v>
                </c:pt>
                <c:pt idx="7">
                  <c:v>20.705304518664029</c:v>
                </c:pt>
                <c:pt idx="8">
                  <c:v>16.954808387563229</c:v>
                </c:pt>
                <c:pt idx="9">
                  <c:v>18.569990850869129</c:v>
                </c:pt>
                <c:pt idx="10">
                  <c:v>17.089392508655671</c:v>
                </c:pt>
                <c:pt idx="11">
                  <c:v>15.81315963060687</c:v>
                </c:pt>
                <c:pt idx="12">
                  <c:v>16.894094358297735</c:v>
                </c:pt>
                <c:pt idx="13">
                  <c:v>18.965475024485787</c:v>
                </c:pt>
                <c:pt idx="14">
                  <c:v>18.116408854264204</c:v>
                </c:pt>
                <c:pt idx="15">
                  <c:v>16.526125743415491</c:v>
                </c:pt>
                <c:pt idx="16">
                  <c:v>15.992038216560674</c:v>
                </c:pt>
                <c:pt idx="17">
                  <c:v>11.098165137614668</c:v>
                </c:pt>
                <c:pt idx="18">
                  <c:v>12.300970873786422</c:v>
                </c:pt>
                <c:pt idx="19">
                  <c:v>20.561125916055964</c:v>
                </c:pt>
                <c:pt idx="20">
                  <c:v>16.265365853658537</c:v>
                </c:pt>
                <c:pt idx="21">
                  <c:v>17.388190267905689</c:v>
                </c:pt>
                <c:pt idx="22">
                  <c:v>11.731636784268364</c:v>
                </c:pt>
                <c:pt idx="23">
                  <c:v>12.616177636796193</c:v>
                </c:pt>
                <c:pt idx="24">
                  <c:v>16.658955223881005</c:v>
                </c:pt>
              </c:numCache>
            </c:numRef>
          </c:val>
        </c:ser>
        <c:axId val="113369472"/>
        <c:axId val="113371776"/>
      </c:barChart>
      <c:catAx>
        <c:axId val="113369472"/>
        <c:scaling>
          <c:orientation val="minMax"/>
        </c:scaling>
        <c:axPos val="b"/>
        <c:numFmt formatCode="General" sourceLinked="1"/>
        <c:tickLblPos val="nextTo"/>
        <c:txPr>
          <a:bodyPr rot="-2700000" vert="horz"/>
          <a:lstStyle/>
          <a:p>
            <a:pPr>
              <a:defRPr lang="en-US"/>
            </a:pPr>
            <a:endParaRPr lang="en-US"/>
          </a:p>
        </c:txPr>
        <c:crossAx val="113371776"/>
        <c:crosses val="autoZero"/>
        <c:auto val="1"/>
        <c:lblAlgn val="ctr"/>
        <c:lblOffset val="100"/>
        <c:tickLblSkip val="1"/>
        <c:tickMarkSkip val="1"/>
      </c:catAx>
      <c:valAx>
        <c:axId val="113371776"/>
        <c:scaling>
          <c:orientation val="minMax"/>
        </c:scaling>
        <c:axPos val="l"/>
        <c:majorGridlines/>
        <c:numFmt formatCode="General" sourceLinked="1"/>
        <c:tickLblPos val="nextTo"/>
        <c:txPr>
          <a:bodyPr rot="0" vert="horz"/>
          <a:lstStyle/>
          <a:p>
            <a:pPr>
              <a:defRPr lang="en-US"/>
            </a:pPr>
            <a:endParaRPr lang="en-US"/>
          </a:p>
        </c:txPr>
        <c:crossAx val="113369472"/>
        <c:crosses val="autoZero"/>
        <c:crossBetween val="between"/>
      </c:valAx>
    </c:plotArea>
    <c:legend>
      <c:legendPos val="b"/>
      <c:layout>
        <c:manualLayout>
          <c:xMode val="edge"/>
          <c:yMode val="edge"/>
          <c:x val="0.38135421219102938"/>
          <c:y val="0.89372380189039302"/>
          <c:w val="0.34589817853201182"/>
          <c:h val="5.1162848795022677E-2"/>
        </c:manualLayout>
      </c:layout>
      <c:txPr>
        <a:bodyPr/>
        <a:lstStyle/>
        <a:p>
          <a:pPr>
            <a:defRPr lang="en-US"/>
          </a:pPr>
          <a:endParaRPr lang="en-US"/>
        </a:p>
      </c:txPr>
    </c:legend>
    <c:plotVisOnly val="1"/>
    <c:dispBlanksAs val="gap"/>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tx>
            <c:strRef>
              <c:f>gasto_xalum_inic!$L$3</c:f>
              <c:strCache>
                <c:ptCount val="1"/>
                <c:pt idx="0">
                  <c:v>Rurality Index</c:v>
                </c:pt>
              </c:strCache>
            </c:strRef>
          </c:tx>
          <c:cat>
            <c:strRef>
              <c:f>gasto_xalum_inic!$K$4:$K$28</c:f>
              <c:strCache>
                <c:ptCount val="25"/>
                <c:pt idx="0">
                  <c:v>Prov. Const. del Callao </c:v>
                </c:pt>
                <c:pt idx="1">
                  <c:v>Lima </c:v>
                </c:pt>
                <c:pt idx="2">
                  <c:v>Tacna </c:v>
                </c:pt>
                <c:pt idx="3">
                  <c:v>Tumbes </c:v>
                </c:pt>
                <c:pt idx="4">
                  <c:v>Arequipa </c:v>
                </c:pt>
                <c:pt idx="5">
                  <c:v>Ica </c:v>
                </c:pt>
                <c:pt idx="6">
                  <c:v>Moquegua </c:v>
                </c:pt>
                <c:pt idx="7">
                  <c:v>Lambayeque </c:v>
                </c:pt>
                <c:pt idx="8">
                  <c:v>La Libertad </c:v>
                </c:pt>
                <c:pt idx="9">
                  <c:v>Ucayali </c:v>
                </c:pt>
                <c:pt idx="10">
                  <c:v>Piura </c:v>
                </c:pt>
                <c:pt idx="11">
                  <c:v>Madre de Dios </c:v>
                </c:pt>
                <c:pt idx="12">
                  <c:v>Junín </c:v>
                </c:pt>
                <c:pt idx="13">
                  <c:v>Loreto </c:v>
                </c:pt>
                <c:pt idx="14">
                  <c:v>San Martín </c:v>
                </c:pt>
                <c:pt idx="15">
                  <c:v>Áncash </c:v>
                </c:pt>
                <c:pt idx="16">
                  <c:v>Pasco </c:v>
                </c:pt>
                <c:pt idx="17">
                  <c:v>Ayacucho </c:v>
                </c:pt>
                <c:pt idx="18">
                  <c:v>Cusco </c:v>
                </c:pt>
                <c:pt idx="19">
                  <c:v>Puno </c:v>
                </c:pt>
                <c:pt idx="20">
                  <c:v>Apurímac </c:v>
                </c:pt>
                <c:pt idx="21">
                  <c:v>Amazonas </c:v>
                </c:pt>
                <c:pt idx="22">
                  <c:v>Huánuco </c:v>
                </c:pt>
                <c:pt idx="23">
                  <c:v>Cajamarca </c:v>
                </c:pt>
                <c:pt idx="24">
                  <c:v>Huancavelica </c:v>
                </c:pt>
              </c:strCache>
            </c:strRef>
          </c:cat>
          <c:val>
            <c:numRef>
              <c:f>gasto_xalum_inic!$L$4:$L$28</c:f>
              <c:numCache>
                <c:formatCode>General</c:formatCode>
                <c:ptCount val="25"/>
                <c:pt idx="0">
                  <c:v>0</c:v>
                </c:pt>
                <c:pt idx="1">
                  <c:v>2</c:v>
                </c:pt>
                <c:pt idx="2">
                  <c:v>8.7000000000000011</c:v>
                </c:pt>
                <c:pt idx="3">
                  <c:v>9.3000000000000007</c:v>
                </c:pt>
                <c:pt idx="4">
                  <c:v>9.4</c:v>
                </c:pt>
                <c:pt idx="5">
                  <c:v>10.7</c:v>
                </c:pt>
                <c:pt idx="6">
                  <c:v>15.4</c:v>
                </c:pt>
                <c:pt idx="7">
                  <c:v>20.5</c:v>
                </c:pt>
                <c:pt idx="8">
                  <c:v>24.6</c:v>
                </c:pt>
                <c:pt idx="9">
                  <c:v>24.7</c:v>
                </c:pt>
                <c:pt idx="10">
                  <c:v>25.8</c:v>
                </c:pt>
                <c:pt idx="11">
                  <c:v>26.7</c:v>
                </c:pt>
                <c:pt idx="12">
                  <c:v>33</c:v>
                </c:pt>
                <c:pt idx="13">
                  <c:v>34.6</c:v>
                </c:pt>
                <c:pt idx="14">
                  <c:v>35.1</c:v>
                </c:pt>
                <c:pt idx="15">
                  <c:v>35.800000000000004</c:v>
                </c:pt>
                <c:pt idx="16">
                  <c:v>38.1</c:v>
                </c:pt>
                <c:pt idx="17">
                  <c:v>42</c:v>
                </c:pt>
                <c:pt idx="18">
                  <c:v>45</c:v>
                </c:pt>
                <c:pt idx="19">
                  <c:v>50.3</c:v>
                </c:pt>
                <c:pt idx="20">
                  <c:v>54.1</c:v>
                </c:pt>
                <c:pt idx="21">
                  <c:v>55.8</c:v>
                </c:pt>
                <c:pt idx="22">
                  <c:v>57.5</c:v>
                </c:pt>
                <c:pt idx="23">
                  <c:v>67.3</c:v>
                </c:pt>
                <c:pt idx="24">
                  <c:v>68.3</c:v>
                </c:pt>
              </c:numCache>
            </c:numRef>
          </c:val>
        </c:ser>
        <c:axId val="102634240"/>
        <c:axId val="102635776"/>
      </c:barChart>
      <c:lineChart>
        <c:grouping val="stacked"/>
        <c:ser>
          <c:idx val="1"/>
          <c:order val="1"/>
          <c:tx>
            <c:strRef>
              <c:f>gasto_xalum_inic!$M$3</c:f>
              <c:strCache>
                <c:ptCount val="1"/>
                <c:pt idx="0">
                  <c:v>Spending per student</c:v>
                </c:pt>
              </c:strCache>
            </c:strRef>
          </c:tx>
          <c:marker>
            <c:symbol val="none"/>
          </c:marker>
          <c:cat>
            <c:strRef>
              <c:f>gasto_xalum_inic!$K$4:$K$28</c:f>
              <c:strCache>
                <c:ptCount val="25"/>
                <c:pt idx="0">
                  <c:v>Prov. Const. del Callao </c:v>
                </c:pt>
                <c:pt idx="1">
                  <c:v>Lima </c:v>
                </c:pt>
                <c:pt idx="2">
                  <c:v>Tacna </c:v>
                </c:pt>
                <c:pt idx="3">
                  <c:v>Tumbes </c:v>
                </c:pt>
                <c:pt idx="4">
                  <c:v>Arequipa </c:v>
                </c:pt>
                <c:pt idx="5">
                  <c:v>Ica </c:v>
                </c:pt>
                <c:pt idx="6">
                  <c:v>Moquegua </c:v>
                </c:pt>
                <c:pt idx="7">
                  <c:v>Lambayeque </c:v>
                </c:pt>
                <c:pt idx="8">
                  <c:v>La Libertad </c:v>
                </c:pt>
                <c:pt idx="9">
                  <c:v>Ucayali </c:v>
                </c:pt>
                <c:pt idx="10">
                  <c:v>Piura </c:v>
                </c:pt>
                <c:pt idx="11">
                  <c:v>Madre de Dios </c:v>
                </c:pt>
                <c:pt idx="12">
                  <c:v>Junín </c:v>
                </c:pt>
                <c:pt idx="13">
                  <c:v>Loreto </c:v>
                </c:pt>
                <c:pt idx="14">
                  <c:v>San Martín </c:v>
                </c:pt>
                <c:pt idx="15">
                  <c:v>Áncash </c:v>
                </c:pt>
                <c:pt idx="16">
                  <c:v>Pasco </c:v>
                </c:pt>
                <c:pt idx="17">
                  <c:v>Ayacucho </c:v>
                </c:pt>
                <c:pt idx="18">
                  <c:v>Cusco </c:v>
                </c:pt>
                <c:pt idx="19">
                  <c:v>Puno </c:v>
                </c:pt>
                <c:pt idx="20">
                  <c:v>Apurímac </c:v>
                </c:pt>
                <c:pt idx="21">
                  <c:v>Amazonas </c:v>
                </c:pt>
                <c:pt idx="22">
                  <c:v>Huánuco </c:v>
                </c:pt>
                <c:pt idx="23">
                  <c:v>Cajamarca </c:v>
                </c:pt>
                <c:pt idx="24">
                  <c:v>Huancavelica </c:v>
                </c:pt>
              </c:strCache>
            </c:strRef>
          </c:cat>
          <c:val>
            <c:numRef>
              <c:f>gasto_xalum_inic!$M$4:$M$28</c:f>
              <c:numCache>
                <c:formatCode>General</c:formatCode>
                <c:ptCount val="25"/>
                <c:pt idx="0">
                  <c:v>1067.3491270839886</c:v>
                </c:pt>
                <c:pt idx="1">
                  <c:v>915.80961303499248</c:v>
                </c:pt>
                <c:pt idx="2">
                  <c:v>840.73196951464104</c:v>
                </c:pt>
                <c:pt idx="3">
                  <c:v>1709.7372844197603</c:v>
                </c:pt>
                <c:pt idx="4">
                  <c:v>919.53937914196024</c:v>
                </c:pt>
                <c:pt idx="5">
                  <c:v>813.97122254998339</c:v>
                </c:pt>
                <c:pt idx="6">
                  <c:v>1324.7660842475959</c:v>
                </c:pt>
                <c:pt idx="7">
                  <c:v>587.40559956383754</c:v>
                </c:pt>
                <c:pt idx="8">
                  <c:v>850.29115872895682</c:v>
                </c:pt>
                <c:pt idx="9">
                  <c:v>643.96342897460022</c:v>
                </c:pt>
                <c:pt idx="10">
                  <c:v>519.42746453493749</c:v>
                </c:pt>
                <c:pt idx="11">
                  <c:v>923.72421052631853</c:v>
                </c:pt>
                <c:pt idx="12">
                  <c:v>753.41499749255138</c:v>
                </c:pt>
                <c:pt idx="13">
                  <c:v>813.05472118424746</c:v>
                </c:pt>
                <c:pt idx="14">
                  <c:v>808.40143089651428</c:v>
                </c:pt>
                <c:pt idx="15">
                  <c:v>734.36704802476027</c:v>
                </c:pt>
                <c:pt idx="16">
                  <c:v>736.59410413476269</c:v>
                </c:pt>
                <c:pt idx="17">
                  <c:v>773.93839232599657</c:v>
                </c:pt>
                <c:pt idx="18">
                  <c:v>500.91330435428154</c:v>
                </c:pt>
                <c:pt idx="19">
                  <c:v>604.27684951183619</c:v>
                </c:pt>
                <c:pt idx="20">
                  <c:v>877.14608283433131</c:v>
                </c:pt>
                <c:pt idx="21">
                  <c:v>627.47384967134496</c:v>
                </c:pt>
                <c:pt idx="22">
                  <c:v>686.42348805000302</c:v>
                </c:pt>
                <c:pt idx="23">
                  <c:v>666.3440962122944</c:v>
                </c:pt>
                <c:pt idx="24">
                  <c:v>741.93301398439291</c:v>
                </c:pt>
              </c:numCache>
            </c:numRef>
          </c:val>
        </c:ser>
        <c:marker val="1"/>
        <c:axId val="102639488"/>
        <c:axId val="102637952"/>
      </c:lineChart>
      <c:catAx>
        <c:axId val="102634240"/>
        <c:scaling>
          <c:orientation val="minMax"/>
        </c:scaling>
        <c:axPos val="b"/>
        <c:tickLblPos val="nextTo"/>
        <c:txPr>
          <a:bodyPr/>
          <a:lstStyle/>
          <a:p>
            <a:pPr>
              <a:defRPr sz="800"/>
            </a:pPr>
            <a:endParaRPr lang="en-US"/>
          </a:p>
        </c:txPr>
        <c:crossAx val="102635776"/>
        <c:crosses val="autoZero"/>
        <c:auto val="1"/>
        <c:lblAlgn val="ctr"/>
        <c:lblOffset val="100"/>
      </c:catAx>
      <c:valAx>
        <c:axId val="102635776"/>
        <c:scaling>
          <c:orientation val="minMax"/>
        </c:scaling>
        <c:axPos val="l"/>
        <c:majorGridlines/>
        <c:title>
          <c:tx>
            <c:rich>
              <a:bodyPr rot="-5400000" vert="horz"/>
              <a:lstStyle/>
              <a:p>
                <a:pPr>
                  <a:defRPr/>
                </a:pPr>
                <a:r>
                  <a:rPr lang="es-ES"/>
                  <a:t>% of rural population on region </a:t>
                </a:r>
              </a:p>
            </c:rich>
          </c:tx>
          <c:layout>
            <c:manualLayout>
              <c:xMode val="edge"/>
              <c:yMode val="edge"/>
              <c:x val="2.2222222222222251E-2"/>
              <c:y val="0.13010425780110821"/>
            </c:manualLayout>
          </c:layout>
        </c:title>
        <c:numFmt formatCode="General" sourceLinked="1"/>
        <c:tickLblPos val="nextTo"/>
        <c:txPr>
          <a:bodyPr rot="0" vert="horz"/>
          <a:lstStyle/>
          <a:p>
            <a:pPr>
              <a:defRPr/>
            </a:pPr>
            <a:endParaRPr lang="en-US"/>
          </a:p>
        </c:txPr>
        <c:crossAx val="102634240"/>
        <c:crosses val="autoZero"/>
        <c:crossBetween val="between"/>
      </c:valAx>
      <c:valAx>
        <c:axId val="102637952"/>
        <c:scaling>
          <c:orientation val="minMax"/>
        </c:scaling>
        <c:axPos val="r"/>
        <c:numFmt formatCode="General" sourceLinked="1"/>
        <c:tickLblPos val="nextTo"/>
        <c:crossAx val="102639488"/>
        <c:crosses val="max"/>
        <c:crossBetween val="between"/>
      </c:valAx>
      <c:catAx>
        <c:axId val="102639488"/>
        <c:scaling>
          <c:orientation val="minMax"/>
        </c:scaling>
        <c:delete val="1"/>
        <c:axPos val="b"/>
        <c:tickLblPos val="none"/>
        <c:crossAx val="102637952"/>
        <c:crosses val="autoZero"/>
        <c:auto val="1"/>
        <c:lblAlgn val="ctr"/>
        <c:lblOffset val="100"/>
      </c:catAx>
    </c:plotArea>
    <c:legend>
      <c:legendPos val="b"/>
    </c:legend>
    <c:plotVisOnly val="1"/>
    <c:dispBlanksAs val="zero"/>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0.11194297630604394"/>
          <c:y val="7.9178331875182334E-2"/>
          <c:w val="0.78176518174954157"/>
          <c:h val="0.47120516185477274"/>
        </c:manualLayout>
      </c:layout>
      <c:barChart>
        <c:barDir val="col"/>
        <c:grouping val="clustered"/>
        <c:ser>
          <c:idx val="0"/>
          <c:order val="0"/>
          <c:tx>
            <c:strRef>
              <c:f>gasto_xalum_prim!$L$4</c:f>
              <c:strCache>
                <c:ptCount val="1"/>
                <c:pt idx="0">
                  <c:v>Rurality Index</c:v>
                </c:pt>
              </c:strCache>
            </c:strRef>
          </c:tx>
          <c:cat>
            <c:strRef>
              <c:f>gasto_xalum_prim!$K$5:$K$29</c:f>
              <c:strCache>
                <c:ptCount val="25"/>
                <c:pt idx="0">
                  <c:v>Prov. Const. del Callao </c:v>
                </c:pt>
                <c:pt idx="1">
                  <c:v>Lima </c:v>
                </c:pt>
                <c:pt idx="2">
                  <c:v>Tacna </c:v>
                </c:pt>
                <c:pt idx="3">
                  <c:v>Tumbes </c:v>
                </c:pt>
                <c:pt idx="4">
                  <c:v>Arequipa </c:v>
                </c:pt>
                <c:pt idx="5">
                  <c:v>Ica </c:v>
                </c:pt>
                <c:pt idx="6">
                  <c:v>Moquegua </c:v>
                </c:pt>
                <c:pt idx="7">
                  <c:v>Lambayeque </c:v>
                </c:pt>
                <c:pt idx="8">
                  <c:v>La Libertad </c:v>
                </c:pt>
                <c:pt idx="9">
                  <c:v>Ucayali </c:v>
                </c:pt>
                <c:pt idx="10">
                  <c:v>Piura </c:v>
                </c:pt>
                <c:pt idx="11">
                  <c:v>Madre de Dios </c:v>
                </c:pt>
                <c:pt idx="12">
                  <c:v>Junín </c:v>
                </c:pt>
                <c:pt idx="13">
                  <c:v>Loreto </c:v>
                </c:pt>
                <c:pt idx="14">
                  <c:v>San Martín </c:v>
                </c:pt>
                <c:pt idx="15">
                  <c:v>Áncash </c:v>
                </c:pt>
                <c:pt idx="16">
                  <c:v>Pasco </c:v>
                </c:pt>
                <c:pt idx="17">
                  <c:v>Ayacucho </c:v>
                </c:pt>
                <c:pt idx="18">
                  <c:v>Cusco </c:v>
                </c:pt>
                <c:pt idx="19">
                  <c:v>Puno </c:v>
                </c:pt>
                <c:pt idx="20">
                  <c:v>Apurímac </c:v>
                </c:pt>
                <c:pt idx="21">
                  <c:v>Amazonas </c:v>
                </c:pt>
                <c:pt idx="22">
                  <c:v>Huánuco </c:v>
                </c:pt>
                <c:pt idx="23">
                  <c:v>Cajamarca </c:v>
                </c:pt>
                <c:pt idx="24">
                  <c:v>Huancavelica </c:v>
                </c:pt>
              </c:strCache>
            </c:strRef>
          </c:cat>
          <c:val>
            <c:numRef>
              <c:f>gasto_xalum_prim!$L$5:$L$29</c:f>
              <c:numCache>
                <c:formatCode>General</c:formatCode>
                <c:ptCount val="25"/>
                <c:pt idx="0">
                  <c:v>0</c:v>
                </c:pt>
                <c:pt idx="1">
                  <c:v>2</c:v>
                </c:pt>
                <c:pt idx="2">
                  <c:v>8.7000000000000011</c:v>
                </c:pt>
                <c:pt idx="3">
                  <c:v>9.3000000000000007</c:v>
                </c:pt>
                <c:pt idx="4">
                  <c:v>9.4</c:v>
                </c:pt>
                <c:pt idx="5">
                  <c:v>10.7</c:v>
                </c:pt>
                <c:pt idx="6">
                  <c:v>15.4</c:v>
                </c:pt>
                <c:pt idx="7">
                  <c:v>20.5</c:v>
                </c:pt>
                <c:pt idx="8">
                  <c:v>24.6</c:v>
                </c:pt>
                <c:pt idx="9">
                  <c:v>24.7</c:v>
                </c:pt>
                <c:pt idx="10">
                  <c:v>25.8</c:v>
                </c:pt>
                <c:pt idx="11">
                  <c:v>26.7</c:v>
                </c:pt>
                <c:pt idx="12">
                  <c:v>33</c:v>
                </c:pt>
                <c:pt idx="13">
                  <c:v>34.6</c:v>
                </c:pt>
                <c:pt idx="14">
                  <c:v>35.1</c:v>
                </c:pt>
                <c:pt idx="15">
                  <c:v>35.800000000000004</c:v>
                </c:pt>
                <c:pt idx="16">
                  <c:v>38.1</c:v>
                </c:pt>
                <c:pt idx="17">
                  <c:v>42</c:v>
                </c:pt>
                <c:pt idx="18">
                  <c:v>45</c:v>
                </c:pt>
                <c:pt idx="19">
                  <c:v>50.3</c:v>
                </c:pt>
                <c:pt idx="20">
                  <c:v>54.1</c:v>
                </c:pt>
                <c:pt idx="21">
                  <c:v>55.8</c:v>
                </c:pt>
                <c:pt idx="22">
                  <c:v>57.5</c:v>
                </c:pt>
                <c:pt idx="23">
                  <c:v>67.3</c:v>
                </c:pt>
                <c:pt idx="24">
                  <c:v>68.3</c:v>
                </c:pt>
              </c:numCache>
            </c:numRef>
          </c:val>
        </c:ser>
        <c:axId val="102652928"/>
        <c:axId val="102671104"/>
      </c:barChart>
      <c:lineChart>
        <c:grouping val="stacked"/>
        <c:ser>
          <c:idx val="1"/>
          <c:order val="1"/>
          <c:tx>
            <c:strRef>
              <c:f>gasto_xalum_prim!$M$4</c:f>
              <c:strCache>
                <c:ptCount val="1"/>
                <c:pt idx="0">
                  <c:v>Spending per student</c:v>
                </c:pt>
              </c:strCache>
            </c:strRef>
          </c:tx>
          <c:marker>
            <c:symbol val="none"/>
          </c:marker>
          <c:cat>
            <c:strRef>
              <c:f>gasto_xalum_prim!$K$5:$K$29</c:f>
              <c:strCache>
                <c:ptCount val="25"/>
                <c:pt idx="0">
                  <c:v>Prov. Const. del Callao </c:v>
                </c:pt>
                <c:pt idx="1">
                  <c:v>Lima </c:v>
                </c:pt>
                <c:pt idx="2">
                  <c:v>Tacna </c:v>
                </c:pt>
                <c:pt idx="3">
                  <c:v>Tumbes </c:v>
                </c:pt>
                <c:pt idx="4">
                  <c:v>Arequipa </c:v>
                </c:pt>
                <c:pt idx="5">
                  <c:v>Ica </c:v>
                </c:pt>
                <c:pt idx="6">
                  <c:v>Moquegua </c:v>
                </c:pt>
                <c:pt idx="7">
                  <c:v>Lambayeque </c:v>
                </c:pt>
                <c:pt idx="8">
                  <c:v>La Libertad </c:v>
                </c:pt>
                <c:pt idx="9">
                  <c:v>Ucayali </c:v>
                </c:pt>
                <c:pt idx="10">
                  <c:v>Piura </c:v>
                </c:pt>
                <c:pt idx="11">
                  <c:v>Madre de Dios </c:v>
                </c:pt>
                <c:pt idx="12">
                  <c:v>Junín </c:v>
                </c:pt>
                <c:pt idx="13">
                  <c:v>Loreto </c:v>
                </c:pt>
                <c:pt idx="14">
                  <c:v>San Martín </c:v>
                </c:pt>
                <c:pt idx="15">
                  <c:v>Áncash </c:v>
                </c:pt>
                <c:pt idx="16">
                  <c:v>Pasco </c:v>
                </c:pt>
                <c:pt idx="17">
                  <c:v>Ayacucho </c:v>
                </c:pt>
                <c:pt idx="18">
                  <c:v>Cusco </c:v>
                </c:pt>
                <c:pt idx="19">
                  <c:v>Puno </c:v>
                </c:pt>
                <c:pt idx="20">
                  <c:v>Apurímac </c:v>
                </c:pt>
                <c:pt idx="21">
                  <c:v>Amazonas </c:v>
                </c:pt>
                <c:pt idx="22">
                  <c:v>Huánuco </c:v>
                </c:pt>
                <c:pt idx="23">
                  <c:v>Cajamarca </c:v>
                </c:pt>
                <c:pt idx="24">
                  <c:v>Huancavelica </c:v>
                </c:pt>
              </c:strCache>
            </c:strRef>
          </c:cat>
          <c:val>
            <c:numRef>
              <c:f>gasto_xalum_prim!$M$5:$M$29</c:f>
              <c:numCache>
                <c:formatCode>General</c:formatCode>
                <c:ptCount val="25"/>
                <c:pt idx="0">
                  <c:v>940.14022981277628</c:v>
                </c:pt>
                <c:pt idx="1">
                  <c:v>1304.0588406646627</c:v>
                </c:pt>
                <c:pt idx="2">
                  <c:v>1227.8818756371049</c:v>
                </c:pt>
                <c:pt idx="3">
                  <c:v>1720.5217549608601</c:v>
                </c:pt>
                <c:pt idx="4">
                  <c:v>1258.537870610661</c:v>
                </c:pt>
                <c:pt idx="5">
                  <c:v>1494.3791988777548</c:v>
                </c:pt>
                <c:pt idx="6">
                  <c:v>1581.8321525885558</c:v>
                </c:pt>
                <c:pt idx="7">
                  <c:v>901.75138440432977</c:v>
                </c:pt>
                <c:pt idx="8">
                  <c:v>994.86043142958124</c:v>
                </c:pt>
                <c:pt idx="9">
                  <c:v>791.36373307800852</c:v>
                </c:pt>
                <c:pt idx="10">
                  <c:v>899.93038401622834</c:v>
                </c:pt>
                <c:pt idx="11">
                  <c:v>1105.6947577969477</c:v>
                </c:pt>
                <c:pt idx="12">
                  <c:v>1009.6210212391755</c:v>
                </c:pt>
                <c:pt idx="13">
                  <c:v>937.57683601759504</c:v>
                </c:pt>
                <c:pt idx="14">
                  <c:v>1011.6213130759479</c:v>
                </c:pt>
                <c:pt idx="15">
                  <c:v>1177.4155128303</c:v>
                </c:pt>
                <c:pt idx="16">
                  <c:v>1391.8394075836095</c:v>
                </c:pt>
                <c:pt idx="17">
                  <c:v>1240.272753434831</c:v>
                </c:pt>
                <c:pt idx="18">
                  <c:v>915.25592586481798</c:v>
                </c:pt>
                <c:pt idx="19">
                  <c:v>1244.1068194511561</c:v>
                </c:pt>
                <c:pt idx="20">
                  <c:v>1227.0920858038344</c:v>
                </c:pt>
                <c:pt idx="21">
                  <c:v>1050.6596761673907</c:v>
                </c:pt>
                <c:pt idx="22">
                  <c:v>921.20410846343441</c:v>
                </c:pt>
                <c:pt idx="23">
                  <c:v>1046.041685072548</c:v>
                </c:pt>
                <c:pt idx="24">
                  <c:v>1039.2564088180848</c:v>
                </c:pt>
              </c:numCache>
            </c:numRef>
          </c:val>
        </c:ser>
        <c:marker val="1"/>
        <c:axId val="102695680"/>
        <c:axId val="102673024"/>
      </c:lineChart>
      <c:catAx>
        <c:axId val="102652928"/>
        <c:scaling>
          <c:orientation val="minMax"/>
        </c:scaling>
        <c:axPos val="b"/>
        <c:tickLblPos val="nextTo"/>
        <c:txPr>
          <a:bodyPr/>
          <a:lstStyle/>
          <a:p>
            <a:pPr>
              <a:defRPr sz="800"/>
            </a:pPr>
            <a:endParaRPr lang="en-US"/>
          </a:p>
        </c:txPr>
        <c:crossAx val="102671104"/>
        <c:crosses val="autoZero"/>
        <c:auto val="1"/>
        <c:lblAlgn val="ctr"/>
        <c:lblOffset val="100"/>
      </c:catAx>
      <c:valAx>
        <c:axId val="102671104"/>
        <c:scaling>
          <c:orientation val="minMax"/>
        </c:scaling>
        <c:axPos val="l"/>
        <c:majorGridlines/>
        <c:title>
          <c:tx>
            <c:rich>
              <a:bodyPr rot="-5400000" vert="horz"/>
              <a:lstStyle/>
              <a:p>
                <a:pPr>
                  <a:defRPr sz="900"/>
                </a:pPr>
                <a:r>
                  <a:rPr lang="es-ES" sz="900"/>
                  <a:t>%</a:t>
                </a:r>
                <a:r>
                  <a:rPr lang="es-ES" sz="900" baseline="0"/>
                  <a:t> </a:t>
                </a:r>
                <a:r>
                  <a:rPr lang="es-ES" sz="900"/>
                  <a:t> of rural</a:t>
                </a:r>
                <a:r>
                  <a:rPr lang="es-ES" sz="900" baseline="0"/>
                  <a:t> population on the region</a:t>
                </a:r>
                <a:endParaRPr lang="es-ES" sz="900"/>
              </a:p>
            </c:rich>
          </c:tx>
          <c:layout>
            <c:manualLayout>
              <c:xMode val="edge"/>
              <c:yMode val="edge"/>
              <c:x val="2.283105022831107E-2"/>
              <c:y val="0.15107830271216402"/>
            </c:manualLayout>
          </c:layout>
        </c:title>
        <c:numFmt formatCode="General" sourceLinked="1"/>
        <c:tickLblPos val="nextTo"/>
        <c:crossAx val="102652928"/>
        <c:crosses val="autoZero"/>
        <c:crossBetween val="between"/>
      </c:valAx>
      <c:valAx>
        <c:axId val="102673024"/>
        <c:scaling>
          <c:orientation val="minMax"/>
        </c:scaling>
        <c:axPos val="r"/>
        <c:title>
          <c:tx>
            <c:rich>
              <a:bodyPr rot="-5400000" vert="horz"/>
              <a:lstStyle/>
              <a:p>
                <a:pPr>
                  <a:defRPr/>
                </a:pPr>
                <a:r>
                  <a:rPr lang="es-ES"/>
                  <a:t>Nuevos Soles</a:t>
                </a:r>
              </a:p>
            </c:rich>
          </c:tx>
        </c:title>
        <c:numFmt formatCode="General" sourceLinked="1"/>
        <c:tickLblPos val="nextTo"/>
        <c:crossAx val="102695680"/>
        <c:crosses val="max"/>
        <c:crossBetween val="between"/>
      </c:valAx>
      <c:catAx>
        <c:axId val="102695680"/>
        <c:scaling>
          <c:orientation val="minMax"/>
        </c:scaling>
        <c:delete val="1"/>
        <c:axPos val="b"/>
        <c:tickLblPos val="none"/>
        <c:crossAx val="102673024"/>
        <c:crosses val="autoZero"/>
        <c:auto val="1"/>
        <c:lblAlgn val="ctr"/>
        <c:lblOffset val="100"/>
      </c:catAx>
    </c:plotArea>
    <c:legend>
      <c:legendPos val="b"/>
    </c:legend>
    <c:plotVisOnly val="1"/>
    <c:dispBlanksAs val="zero"/>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en-US"/>
  <c:style val="35"/>
  <c:chart>
    <c:plotArea>
      <c:layout>
        <c:manualLayout>
          <c:layoutTarget val="inner"/>
          <c:xMode val="edge"/>
          <c:yMode val="edge"/>
          <c:x val="9.8068445452074215E-2"/>
          <c:y val="6.4099510123034123E-2"/>
          <c:w val="0.61103655489328501"/>
          <c:h val="0.74837480497660003"/>
        </c:manualLayout>
      </c:layout>
      <c:barChart>
        <c:barDir val="col"/>
        <c:grouping val="clustered"/>
        <c:ser>
          <c:idx val="0"/>
          <c:order val="0"/>
          <c:tx>
            <c:strRef>
              <c:f>gráficos2!$B$89</c:f>
              <c:strCache>
                <c:ptCount val="1"/>
                <c:pt idx="0">
                  <c:v>At least preschool</c:v>
                </c:pt>
              </c:strCache>
            </c:strRef>
          </c:tx>
          <c:dLbls>
            <c:showVal val="1"/>
          </c:dLbls>
          <c:cat>
            <c:strRef>
              <c:f>gráficos2!$A$90:$A$91</c:f>
              <c:strCache>
                <c:ptCount val="2"/>
                <c:pt idx="0">
                  <c:v>Urban</c:v>
                </c:pt>
                <c:pt idx="1">
                  <c:v>Rural</c:v>
                </c:pt>
              </c:strCache>
            </c:strRef>
          </c:cat>
          <c:val>
            <c:numRef>
              <c:f>gráficos2!$B$90:$B$91</c:f>
              <c:numCache>
                <c:formatCode>0.0</c:formatCode>
                <c:ptCount val="2"/>
                <c:pt idx="0">
                  <c:v>0.5012439910985117</c:v>
                </c:pt>
                <c:pt idx="1">
                  <c:v>2.0138495405255195</c:v>
                </c:pt>
              </c:numCache>
            </c:numRef>
          </c:val>
        </c:ser>
        <c:ser>
          <c:idx val="1"/>
          <c:order val="1"/>
          <c:tx>
            <c:strRef>
              <c:f>gráficos2!$C$89</c:f>
              <c:strCache>
                <c:ptCount val="1"/>
                <c:pt idx="0">
                  <c:v>Incomplete Primary</c:v>
                </c:pt>
              </c:strCache>
            </c:strRef>
          </c:tx>
          <c:dLbls>
            <c:dLbl>
              <c:idx val="0"/>
              <c:showVal val="1"/>
            </c:dLbl>
            <c:dLbl>
              <c:idx val="1"/>
              <c:showVal val="1"/>
            </c:dLbl>
            <c:delete val="1"/>
          </c:dLbls>
          <c:cat>
            <c:strRef>
              <c:f>gráficos2!$A$90:$A$91</c:f>
              <c:strCache>
                <c:ptCount val="2"/>
                <c:pt idx="0">
                  <c:v>Urban</c:v>
                </c:pt>
                <c:pt idx="1">
                  <c:v>Rural</c:v>
                </c:pt>
              </c:strCache>
            </c:strRef>
          </c:cat>
          <c:val>
            <c:numRef>
              <c:f>gráficos2!$C$90:$C$91</c:f>
              <c:numCache>
                <c:formatCode>0.0</c:formatCode>
                <c:ptCount val="2"/>
                <c:pt idx="0">
                  <c:v>3.2095898025485412</c:v>
                </c:pt>
                <c:pt idx="1">
                  <c:v>14.896297259481576</c:v>
                </c:pt>
              </c:numCache>
            </c:numRef>
          </c:val>
        </c:ser>
        <c:ser>
          <c:idx val="2"/>
          <c:order val="2"/>
          <c:tx>
            <c:strRef>
              <c:f>gráficos2!$D$89</c:f>
              <c:strCache>
                <c:ptCount val="1"/>
                <c:pt idx="0">
                  <c:v>Complete Primary</c:v>
                </c:pt>
              </c:strCache>
            </c:strRef>
          </c:tx>
          <c:dLbls>
            <c:showVal val="1"/>
          </c:dLbls>
          <c:cat>
            <c:strRef>
              <c:f>gráficos2!$A$90:$A$91</c:f>
              <c:strCache>
                <c:ptCount val="2"/>
                <c:pt idx="0">
                  <c:v>Urban</c:v>
                </c:pt>
                <c:pt idx="1">
                  <c:v>Rural</c:v>
                </c:pt>
              </c:strCache>
            </c:strRef>
          </c:cat>
          <c:val>
            <c:numRef>
              <c:f>gráficos2!$D$90:$D$91</c:f>
              <c:numCache>
                <c:formatCode>0.0</c:formatCode>
                <c:ptCount val="2"/>
                <c:pt idx="0">
                  <c:v>3.5834458408459819</c:v>
                </c:pt>
                <c:pt idx="1">
                  <c:v>17.230241789573629</c:v>
                </c:pt>
              </c:numCache>
            </c:numRef>
          </c:val>
        </c:ser>
        <c:ser>
          <c:idx val="3"/>
          <c:order val="3"/>
          <c:tx>
            <c:strRef>
              <c:f>gráficos2!$E$89</c:f>
              <c:strCache>
                <c:ptCount val="1"/>
                <c:pt idx="0">
                  <c:v>Incomplete Secondary</c:v>
                </c:pt>
              </c:strCache>
            </c:strRef>
          </c:tx>
          <c:dLbls>
            <c:showVal val="1"/>
          </c:dLbls>
          <c:cat>
            <c:strRef>
              <c:f>gráficos2!$A$90:$A$91</c:f>
              <c:strCache>
                <c:ptCount val="2"/>
                <c:pt idx="0">
                  <c:v>Urban</c:v>
                </c:pt>
                <c:pt idx="1">
                  <c:v>Rural</c:v>
                </c:pt>
              </c:strCache>
            </c:strRef>
          </c:cat>
          <c:val>
            <c:numRef>
              <c:f>gráficos2!$E$90:$E$91</c:f>
              <c:numCache>
                <c:formatCode>0.0</c:formatCode>
                <c:ptCount val="2"/>
                <c:pt idx="0">
                  <c:v>11.404456859387306</c:v>
                </c:pt>
                <c:pt idx="1">
                  <c:v>20.344572935875689</c:v>
                </c:pt>
              </c:numCache>
            </c:numRef>
          </c:val>
        </c:ser>
        <c:ser>
          <c:idx val="4"/>
          <c:order val="4"/>
          <c:tx>
            <c:strRef>
              <c:f>gráficos2!$F$89</c:f>
              <c:strCache>
                <c:ptCount val="1"/>
                <c:pt idx="0">
                  <c:v>Complete Secondary</c:v>
                </c:pt>
              </c:strCache>
            </c:strRef>
          </c:tx>
          <c:dLbls>
            <c:showVal val="1"/>
          </c:dLbls>
          <c:cat>
            <c:strRef>
              <c:f>gráficos2!$A$90:$A$91</c:f>
              <c:strCache>
                <c:ptCount val="2"/>
                <c:pt idx="0">
                  <c:v>Urban</c:v>
                </c:pt>
                <c:pt idx="1">
                  <c:v>Rural</c:v>
                </c:pt>
              </c:strCache>
            </c:strRef>
          </c:cat>
          <c:val>
            <c:numRef>
              <c:f>gráficos2!$F$90:$F$91</c:f>
              <c:numCache>
                <c:formatCode>0.0</c:formatCode>
                <c:ptCount val="2"/>
                <c:pt idx="0">
                  <c:v>81.301263506120307</c:v>
                </c:pt>
                <c:pt idx="1">
                  <c:v>45.515038474543644</c:v>
                </c:pt>
              </c:numCache>
            </c:numRef>
          </c:val>
        </c:ser>
        <c:axId val="102715392"/>
        <c:axId val="102716928"/>
      </c:barChart>
      <c:catAx>
        <c:axId val="102715392"/>
        <c:scaling>
          <c:orientation val="minMax"/>
        </c:scaling>
        <c:axPos val="b"/>
        <c:numFmt formatCode="General" sourceLinked="1"/>
        <c:tickLblPos val="nextTo"/>
        <c:crossAx val="102716928"/>
        <c:crosses val="autoZero"/>
        <c:auto val="1"/>
        <c:lblAlgn val="ctr"/>
        <c:lblOffset val="100"/>
      </c:catAx>
      <c:valAx>
        <c:axId val="102716928"/>
        <c:scaling>
          <c:orientation val="minMax"/>
        </c:scaling>
        <c:axPos val="l"/>
        <c:majorGridlines/>
        <c:numFmt formatCode="0.0" sourceLinked="1"/>
        <c:tickLblPos val="nextTo"/>
        <c:crossAx val="102715392"/>
        <c:crosses val="autoZero"/>
        <c:crossBetween val="between"/>
      </c:valAx>
    </c:plotArea>
    <c:legend>
      <c:legendPos val="r"/>
      <c:layout>
        <c:manualLayout>
          <c:xMode val="edge"/>
          <c:yMode val="edge"/>
          <c:x val="0.72974508680620065"/>
          <c:y val="9.4663632363156766E-2"/>
          <c:w val="0.25477484834818365"/>
          <c:h val="0.75871149992544562"/>
        </c:manualLayout>
      </c:layout>
    </c:legend>
    <c:plotVisOnly val="1"/>
    <c:dispBlanksAs val="gap"/>
  </c:chart>
  <c:externalData r:id="rId1"/>
</c:chartSpace>
</file>

<file path=word/drawings/drawing1.xml><?xml version="1.0" encoding="utf-8"?>
<c:userShapes xmlns:c="http://schemas.openxmlformats.org/drawingml/2006/chart">
  <cdr:relSizeAnchor xmlns:cdr="http://schemas.openxmlformats.org/drawingml/2006/chartDrawing">
    <cdr:from>
      <cdr:x>0.31574</cdr:x>
      <cdr:y>0.38041</cdr:y>
    </cdr:from>
    <cdr:to>
      <cdr:x>0.36613</cdr:x>
      <cdr:y>0.50095</cdr:y>
    </cdr:to>
    <cdr:grpSp>
      <cdr:nvGrpSpPr>
        <cdr:cNvPr id="23" name="22 Grupo"/>
        <cdr:cNvGrpSpPr/>
      </cdr:nvGrpSpPr>
      <cdr:grpSpPr>
        <a:xfrm xmlns:a="http://schemas.openxmlformats.org/drawingml/2006/main">
          <a:off x="1771879" y="1224027"/>
          <a:ext cx="282780" cy="387856"/>
          <a:chOff x="1873598" y="1239211"/>
          <a:chExt cx="299048" cy="392646"/>
        </a:xfrm>
      </cdr:grpSpPr>
      <cdr:sp macro="" textlink="">
        <cdr:nvSpPr>
          <cdr:cNvPr id="10242" name="Text Box 2"/>
          <cdr:cNvSpPr txBox="1">
            <a:spLocks xmlns:a="http://schemas.openxmlformats.org/drawingml/2006/main" noChangeArrowheads="1"/>
          </cdr:cNvSpPr>
        </cdr:nvSpPr>
        <cdr:spPr bwMode="auto">
          <a:xfrm xmlns:a="http://schemas.openxmlformats.org/drawingml/2006/main">
            <a:off x="1874578" y="1239211"/>
            <a:ext cx="298068" cy="177764"/>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18288" rIns="0" bIns="0" anchor="t" upright="1"/>
          <a:lstStyle xmlns:a="http://schemas.openxmlformats.org/drawingml/2006/main"/>
          <a:p xmlns:a="http://schemas.openxmlformats.org/drawingml/2006/main">
            <a:pPr algn="l" rtl="0">
              <a:defRPr sz="1000"/>
            </a:pPr>
            <a:r>
              <a:rPr lang="en-US" sz="750" b="0" i="0" u="none" strike="noStrike" baseline="0">
                <a:solidFill>
                  <a:srgbClr val="000000"/>
                </a:solidFill>
                <a:latin typeface="Garamond"/>
              </a:rPr>
              <a:t>8%</a:t>
            </a:r>
          </a:p>
        </cdr:txBody>
      </cdr:sp>
      <cdr:sp macro="" textlink="">
        <cdr:nvSpPr>
          <cdr:cNvPr id="10247" name="Text Box 7"/>
          <cdr:cNvSpPr txBox="1">
            <a:spLocks xmlns:a="http://schemas.openxmlformats.org/drawingml/2006/main" noChangeArrowheads="1"/>
          </cdr:cNvSpPr>
        </cdr:nvSpPr>
        <cdr:spPr bwMode="auto">
          <a:xfrm xmlns:a="http://schemas.openxmlformats.org/drawingml/2006/main">
            <a:off x="1873598" y="1432039"/>
            <a:ext cx="298068" cy="199818"/>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18288" rIns="0" bIns="0" anchor="t" upright="1"/>
          <a:lstStyle xmlns:a="http://schemas.openxmlformats.org/drawingml/2006/main"/>
          <a:p xmlns:a="http://schemas.openxmlformats.org/drawingml/2006/main">
            <a:pPr algn="l" rtl="0">
              <a:defRPr sz="1000"/>
            </a:pPr>
            <a:r>
              <a:rPr lang="en-US" sz="750" b="0" i="0" u="none" strike="noStrike" baseline="0">
                <a:solidFill>
                  <a:srgbClr val="000000"/>
                </a:solidFill>
                <a:latin typeface="Garamond"/>
              </a:rPr>
              <a:t>16%</a:t>
            </a:r>
          </a:p>
        </cdr:txBody>
      </cdr:sp>
    </cdr:grpSp>
  </cdr:relSizeAnchor>
  <cdr:relSizeAnchor xmlns:cdr="http://schemas.openxmlformats.org/drawingml/2006/chartDrawing">
    <cdr:from>
      <cdr:x>0.19892</cdr:x>
      <cdr:y>0.44303</cdr:y>
    </cdr:from>
    <cdr:to>
      <cdr:x>0.25442</cdr:x>
      <cdr:y>0.57031</cdr:y>
    </cdr:to>
    <cdr:grpSp>
      <cdr:nvGrpSpPr>
        <cdr:cNvPr id="24" name="23 Grupo"/>
        <cdr:cNvGrpSpPr/>
      </cdr:nvGrpSpPr>
      <cdr:grpSpPr>
        <a:xfrm xmlns:a="http://schemas.openxmlformats.org/drawingml/2006/main">
          <a:off x="1116305" y="1425516"/>
          <a:ext cx="311457" cy="409543"/>
          <a:chOff x="1180415" y="1443199"/>
          <a:chExt cx="329344" cy="414604"/>
        </a:xfrm>
      </cdr:grpSpPr>
      <cdr:sp macro="" textlink="">
        <cdr:nvSpPr>
          <cdr:cNvPr id="10241" name="Text Box 1"/>
          <cdr:cNvSpPr txBox="1">
            <a:spLocks xmlns:a="http://schemas.openxmlformats.org/drawingml/2006/main" noChangeArrowheads="1"/>
          </cdr:cNvSpPr>
        </cdr:nvSpPr>
        <cdr:spPr bwMode="auto">
          <a:xfrm xmlns:a="http://schemas.openxmlformats.org/drawingml/2006/main">
            <a:off x="1207299" y="1443199"/>
            <a:ext cx="302460" cy="199818"/>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18288" rIns="0" bIns="0" anchor="t" upright="1"/>
          <a:lstStyle xmlns:a="http://schemas.openxmlformats.org/drawingml/2006/main"/>
          <a:p xmlns:a="http://schemas.openxmlformats.org/drawingml/2006/main">
            <a:pPr algn="l" rtl="0">
              <a:defRPr sz="1000"/>
            </a:pPr>
            <a:r>
              <a:rPr lang="en-US" sz="750" b="0" i="0" u="none" strike="noStrike" baseline="0">
                <a:solidFill>
                  <a:srgbClr val="000000"/>
                </a:solidFill>
                <a:latin typeface="Garamond"/>
              </a:rPr>
              <a:t>9%</a:t>
            </a:r>
          </a:p>
        </cdr:txBody>
      </cdr:sp>
      <cdr:sp macro="" textlink="">
        <cdr:nvSpPr>
          <cdr:cNvPr id="10248" name="Text Box 8"/>
          <cdr:cNvSpPr txBox="1">
            <a:spLocks xmlns:a="http://schemas.openxmlformats.org/drawingml/2006/main" noChangeArrowheads="1"/>
          </cdr:cNvSpPr>
        </cdr:nvSpPr>
        <cdr:spPr bwMode="auto">
          <a:xfrm xmlns:a="http://schemas.openxmlformats.org/drawingml/2006/main">
            <a:off x="1180415" y="1640585"/>
            <a:ext cx="298068" cy="217218"/>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18288" rIns="0" bIns="0" anchor="t" upright="1"/>
          <a:lstStyle xmlns:a="http://schemas.openxmlformats.org/drawingml/2006/main"/>
          <a:p xmlns:a="http://schemas.openxmlformats.org/drawingml/2006/main">
            <a:pPr algn="l" rtl="0">
              <a:defRPr sz="1000"/>
            </a:pPr>
            <a:r>
              <a:rPr lang="en-US" sz="750" b="0" i="0" u="none" strike="noStrike" baseline="0">
                <a:solidFill>
                  <a:srgbClr val="000000"/>
                </a:solidFill>
                <a:latin typeface="Garamond"/>
              </a:rPr>
              <a:t>17%</a:t>
            </a:r>
          </a:p>
        </cdr:txBody>
      </cdr:sp>
    </cdr:grpSp>
  </cdr:relSizeAnchor>
  <cdr:relSizeAnchor xmlns:cdr="http://schemas.openxmlformats.org/drawingml/2006/chartDrawing">
    <cdr:from>
      <cdr:x>0.42712</cdr:x>
      <cdr:y>0.37333</cdr:y>
    </cdr:from>
    <cdr:to>
      <cdr:x>0.47808</cdr:x>
      <cdr:y>0.50069</cdr:y>
    </cdr:to>
    <cdr:grpSp>
      <cdr:nvGrpSpPr>
        <cdr:cNvPr id="22" name="21 Grupo"/>
        <cdr:cNvGrpSpPr/>
      </cdr:nvGrpSpPr>
      <cdr:grpSpPr>
        <a:xfrm xmlns:a="http://schemas.openxmlformats.org/drawingml/2006/main">
          <a:off x="2396925" y="1201246"/>
          <a:ext cx="285979" cy="409800"/>
          <a:chOff x="1877334" y="1206629"/>
          <a:chExt cx="302401" cy="414869"/>
        </a:xfrm>
      </cdr:grpSpPr>
      <cdr:sp macro="" textlink="">
        <cdr:nvSpPr>
          <cdr:cNvPr id="10243" name="Text Box 3"/>
          <cdr:cNvSpPr txBox="1">
            <a:spLocks xmlns:a="http://schemas.openxmlformats.org/drawingml/2006/main" noChangeArrowheads="1"/>
          </cdr:cNvSpPr>
        </cdr:nvSpPr>
        <cdr:spPr bwMode="auto">
          <a:xfrm xmlns:a="http://schemas.openxmlformats.org/drawingml/2006/main">
            <a:off x="1901811" y="1206629"/>
            <a:ext cx="225377" cy="189557"/>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18288" rIns="0" bIns="0" anchor="t" upright="1"/>
          <a:lstStyle xmlns:a="http://schemas.openxmlformats.org/drawingml/2006/main"/>
          <a:p xmlns:a="http://schemas.openxmlformats.org/drawingml/2006/main">
            <a:pPr algn="l" rtl="0">
              <a:defRPr sz="1000"/>
            </a:pPr>
            <a:r>
              <a:rPr lang="en-US" sz="750" b="0" i="0" u="none" strike="noStrike" baseline="0">
                <a:solidFill>
                  <a:srgbClr val="000000"/>
                </a:solidFill>
                <a:latin typeface="Garamond"/>
              </a:rPr>
              <a:t>9%</a:t>
            </a:r>
          </a:p>
        </cdr:txBody>
      </cdr:sp>
      <cdr:sp macro="" textlink="">
        <cdr:nvSpPr>
          <cdr:cNvPr id="10249" name="Text Box 9"/>
          <cdr:cNvSpPr txBox="1">
            <a:spLocks xmlns:a="http://schemas.openxmlformats.org/drawingml/2006/main" noChangeArrowheads="1"/>
          </cdr:cNvSpPr>
        </cdr:nvSpPr>
        <cdr:spPr bwMode="auto">
          <a:xfrm xmlns:a="http://schemas.openxmlformats.org/drawingml/2006/main">
            <a:off x="1877334" y="1421680"/>
            <a:ext cx="302401" cy="199818"/>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18288" rIns="0" bIns="0" anchor="t" upright="1"/>
          <a:lstStyle xmlns:a="http://schemas.openxmlformats.org/drawingml/2006/main"/>
          <a:p xmlns:a="http://schemas.openxmlformats.org/drawingml/2006/main">
            <a:pPr algn="l" rtl="0">
              <a:defRPr sz="1000"/>
            </a:pPr>
            <a:r>
              <a:rPr lang="en-US" sz="750" b="0" i="0" u="none" strike="noStrike" baseline="0">
                <a:solidFill>
                  <a:srgbClr val="000000"/>
                </a:solidFill>
                <a:latin typeface="Garamond"/>
              </a:rPr>
              <a:t>18%</a:t>
            </a:r>
          </a:p>
        </cdr:txBody>
      </cdr:sp>
    </cdr:grpSp>
  </cdr:relSizeAnchor>
  <cdr:relSizeAnchor xmlns:cdr="http://schemas.openxmlformats.org/drawingml/2006/chartDrawing">
    <cdr:from>
      <cdr:x>0.54511</cdr:x>
      <cdr:y>0.35885</cdr:y>
    </cdr:from>
    <cdr:to>
      <cdr:x>0.5959</cdr:x>
      <cdr:y>0.47335</cdr:y>
    </cdr:to>
    <cdr:grpSp>
      <cdr:nvGrpSpPr>
        <cdr:cNvPr id="21" name="20 Grupo"/>
        <cdr:cNvGrpSpPr/>
      </cdr:nvGrpSpPr>
      <cdr:grpSpPr>
        <a:xfrm xmlns:a="http://schemas.openxmlformats.org/drawingml/2006/main">
          <a:off x="3059065" y="1154654"/>
          <a:ext cx="285024" cy="368422"/>
          <a:chOff x="2548916" y="1226128"/>
          <a:chExt cx="301420" cy="372996"/>
        </a:xfrm>
      </cdr:grpSpPr>
      <cdr:sp macro="" textlink="">
        <cdr:nvSpPr>
          <cdr:cNvPr id="10246" name="Text Box 6"/>
          <cdr:cNvSpPr txBox="1">
            <a:spLocks xmlns:a="http://schemas.openxmlformats.org/drawingml/2006/main" noChangeArrowheads="1"/>
          </cdr:cNvSpPr>
        </cdr:nvSpPr>
        <cdr:spPr bwMode="auto">
          <a:xfrm xmlns:a="http://schemas.openxmlformats.org/drawingml/2006/main">
            <a:off x="2552268" y="1226128"/>
            <a:ext cx="298068" cy="177797"/>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18288" rIns="0" bIns="0" anchor="t" upright="1"/>
          <a:lstStyle xmlns:a="http://schemas.openxmlformats.org/drawingml/2006/main"/>
          <a:p xmlns:a="http://schemas.openxmlformats.org/drawingml/2006/main">
            <a:pPr algn="l" rtl="0">
              <a:defRPr sz="1000"/>
            </a:pPr>
            <a:r>
              <a:rPr lang="en-US" sz="750" b="0" i="0" u="none" strike="noStrike" baseline="0">
                <a:solidFill>
                  <a:srgbClr val="000000"/>
                </a:solidFill>
                <a:latin typeface="Garamond"/>
              </a:rPr>
              <a:t>9%</a:t>
            </a:r>
          </a:p>
        </cdr:txBody>
      </cdr:sp>
      <cdr:sp macro="" textlink="">
        <cdr:nvSpPr>
          <cdr:cNvPr id="10250" name="Text Box 10"/>
          <cdr:cNvSpPr txBox="1">
            <a:spLocks xmlns:a="http://schemas.openxmlformats.org/drawingml/2006/main" noChangeArrowheads="1"/>
          </cdr:cNvSpPr>
        </cdr:nvSpPr>
        <cdr:spPr bwMode="auto">
          <a:xfrm xmlns:a="http://schemas.openxmlformats.org/drawingml/2006/main">
            <a:off x="2548916" y="1470125"/>
            <a:ext cx="296585" cy="128999"/>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18288" rIns="0" bIns="0" anchor="t" upright="1"/>
          <a:lstStyle xmlns:a="http://schemas.openxmlformats.org/drawingml/2006/main"/>
          <a:p xmlns:a="http://schemas.openxmlformats.org/drawingml/2006/main">
            <a:pPr algn="l" rtl="0">
              <a:defRPr sz="1000"/>
            </a:pPr>
            <a:r>
              <a:rPr lang="en-US" sz="750" b="0" i="0" u="none" strike="noStrike" baseline="0">
                <a:solidFill>
                  <a:srgbClr val="000000"/>
                </a:solidFill>
                <a:latin typeface="Garamond"/>
              </a:rPr>
              <a:t>18%</a:t>
            </a:r>
          </a:p>
        </cdr:txBody>
      </cdr:sp>
    </cdr:grpSp>
  </cdr:relSizeAnchor>
  <cdr:relSizeAnchor xmlns:cdr="http://schemas.openxmlformats.org/drawingml/2006/chartDrawing">
    <cdr:from>
      <cdr:x>0.77485</cdr:x>
      <cdr:y>0.30603</cdr:y>
    </cdr:from>
    <cdr:to>
      <cdr:x>0.8264</cdr:x>
      <cdr:y>0.43812</cdr:y>
    </cdr:to>
    <cdr:grpSp>
      <cdr:nvGrpSpPr>
        <cdr:cNvPr id="18" name="17 Grupo"/>
        <cdr:cNvGrpSpPr/>
      </cdr:nvGrpSpPr>
      <cdr:grpSpPr>
        <a:xfrm xmlns:a="http://schemas.openxmlformats.org/drawingml/2006/main">
          <a:off x="4348326" y="984698"/>
          <a:ext cx="289290" cy="425020"/>
          <a:chOff x="3912199" y="1015951"/>
          <a:chExt cx="305903" cy="430297"/>
        </a:xfrm>
      </cdr:grpSpPr>
      <cdr:sp macro="" textlink="">
        <cdr:nvSpPr>
          <cdr:cNvPr id="10244" name="Text Box 4"/>
          <cdr:cNvSpPr txBox="1">
            <a:spLocks xmlns:a="http://schemas.openxmlformats.org/drawingml/2006/main" noChangeArrowheads="1"/>
          </cdr:cNvSpPr>
        </cdr:nvSpPr>
        <cdr:spPr bwMode="auto">
          <a:xfrm xmlns:a="http://schemas.openxmlformats.org/drawingml/2006/main">
            <a:off x="3912199" y="1015951"/>
            <a:ext cx="303884" cy="199786"/>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18288" rIns="0" bIns="0" anchor="t" upright="1"/>
          <a:lstStyle xmlns:a="http://schemas.openxmlformats.org/drawingml/2006/main"/>
          <a:p xmlns:a="http://schemas.openxmlformats.org/drawingml/2006/main">
            <a:pPr algn="l" rtl="0">
              <a:defRPr sz="1000"/>
            </a:pPr>
            <a:r>
              <a:rPr lang="en-US" sz="750" b="0" i="0" u="none" strike="noStrike" baseline="0">
                <a:solidFill>
                  <a:srgbClr val="000000"/>
                </a:solidFill>
                <a:latin typeface="Garamond"/>
              </a:rPr>
              <a:t>9%</a:t>
            </a:r>
          </a:p>
        </cdr:txBody>
      </cdr:sp>
      <cdr:sp macro="" textlink="">
        <cdr:nvSpPr>
          <cdr:cNvPr id="10251" name="Text Box 11"/>
          <cdr:cNvSpPr txBox="1">
            <a:spLocks xmlns:a="http://schemas.openxmlformats.org/drawingml/2006/main" noChangeArrowheads="1"/>
          </cdr:cNvSpPr>
        </cdr:nvSpPr>
        <cdr:spPr bwMode="auto">
          <a:xfrm xmlns:a="http://schemas.openxmlformats.org/drawingml/2006/main">
            <a:off x="3914218" y="1256691"/>
            <a:ext cx="303884" cy="189557"/>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18288" rIns="0" bIns="0" anchor="t" upright="1"/>
          <a:lstStyle xmlns:a="http://schemas.openxmlformats.org/drawingml/2006/main"/>
          <a:p xmlns:a="http://schemas.openxmlformats.org/drawingml/2006/main">
            <a:pPr algn="l" rtl="0">
              <a:defRPr sz="1000"/>
            </a:pPr>
            <a:r>
              <a:rPr lang="en-US" sz="750" b="0" i="0" u="none" strike="noStrike" baseline="0">
                <a:solidFill>
                  <a:srgbClr val="000000"/>
                </a:solidFill>
                <a:latin typeface="Garamond"/>
              </a:rPr>
              <a:t>18%</a:t>
            </a:r>
          </a:p>
        </cdr:txBody>
      </cdr:sp>
    </cdr:grpSp>
  </cdr:relSizeAnchor>
  <cdr:relSizeAnchor xmlns:cdr="http://schemas.openxmlformats.org/drawingml/2006/chartDrawing">
    <cdr:from>
      <cdr:x>0.66425</cdr:x>
      <cdr:y>0.32342</cdr:y>
    </cdr:from>
    <cdr:to>
      <cdr:x>0.71546</cdr:x>
      <cdr:y>0.47266</cdr:y>
    </cdr:to>
    <cdr:grpSp>
      <cdr:nvGrpSpPr>
        <cdr:cNvPr id="20" name="19 Grupo"/>
        <cdr:cNvGrpSpPr/>
      </cdr:nvGrpSpPr>
      <cdr:grpSpPr>
        <a:xfrm xmlns:a="http://schemas.openxmlformats.org/drawingml/2006/main">
          <a:off x="3727658" y="1040653"/>
          <a:ext cx="287382" cy="480202"/>
          <a:chOff x="3208273" y="1167870"/>
          <a:chExt cx="303884" cy="486110"/>
        </a:xfrm>
      </cdr:grpSpPr>
      <cdr:sp macro="" textlink="">
        <cdr:nvSpPr>
          <cdr:cNvPr id="10245" name="Text Box 5"/>
          <cdr:cNvSpPr txBox="1">
            <a:spLocks xmlns:a="http://schemas.openxmlformats.org/drawingml/2006/main" noChangeArrowheads="1"/>
          </cdr:cNvSpPr>
        </cdr:nvSpPr>
        <cdr:spPr bwMode="auto">
          <a:xfrm xmlns:a="http://schemas.openxmlformats.org/drawingml/2006/main">
            <a:off x="3209313" y="1167870"/>
            <a:ext cx="293736" cy="199785"/>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18288" rIns="0" bIns="0" anchor="t" upright="1"/>
          <a:lstStyle xmlns:a="http://schemas.openxmlformats.org/drawingml/2006/main"/>
          <a:p xmlns:a="http://schemas.openxmlformats.org/drawingml/2006/main">
            <a:pPr algn="l" rtl="0">
              <a:defRPr sz="1000"/>
            </a:pPr>
            <a:r>
              <a:rPr lang="en-US" sz="750" b="0" i="0" u="none" strike="noStrike" baseline="0">
                <a:solidFill>
                  <a:srgbClr val="000000"/>
                </a:solidFill>
                <a:latin typeface="Garamond"/>
              </a:rPr>
              <a:t>9%</a:t>
            </a:r>
          </a:p>
        </cdr:txBody>
      </cdr:sp>
      <cdr:sp macro="" textlink="">
        <cdr:nvSpPr>
          <cdr:cNvPr id="10252" name="Text Box 12"/>
          <cdr:cNvSpPr txBox="1">
            <a:spLocks xmlns:a="http://schemas.openxmlformats.org/drawingml/2006/main" noChangeArrowheads="1"/>
          </cdr:cNvSpPr>
        </cdr:nvSpPr>
        <cdr:spPr bwMode="auto">
          <a:xfrm xmlns:a="http://schemas.openxmlformats.org/drawingml/2006/main">
            <a:off x="3208273" y="1421965"/>
            <a:ext cx="303884" cy="232015"/>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18288" rIns="0" bIns="0" anchor="t" upright="1"/>
          <a:lstStyle xmlns:a="http://schemas.openxmlformats.org/drawingml/2006/main"/>
          <a:p xmlns:a="http://schemas.openxmlformats.org/drawingml/2006/main">
            <a:pPr algn="l" rtl="0">
              <a:defRPr sz="1000"/>
            </a:pPr>
            <a:r>
              <a:rPr lang="en-US" sz="750" b="0" i="0" u="none" strike="noStrike" baseline="0">
                <a:solidFill>
                  <a:srgbClr val="000000"/>
                </a:solidFill>
                <a:latin typeface="Garamond"/>
              </a:rPr>
              <a:t>17%</a:t>
            </a:r>
          </a:p>
        </cdr:txBody>
      </cdr:sp>
    </cdr:grpSp>
  </cdr:relSizeAnchor>
  <cdr:relSizeAnchor xmlns:cdr="http://schemas.openxmlformats.org/drawingml/2006/chartDrawing">
    <cdr:from>
      <cdr:x>0.1582</cdr:x>
      <cdr:y>0.38074</cdr:y>
    </cdr:from>
    <cdr:to>
      <cdr:x>0.3136</cdr:x>
      <cdr:y>0.4345</cdr:y>
    </cdr:to>
    <cdr:sp macro="" textlink="">
      <cdr:nvSpPr>
        <cdr:cNvPr id="10253" name="Text Box 13"/>
        <cdr:cNvSpPr txBox="1">
          <a:spLocks xmlns:a="http://schemas.openxmlformats.org/drawingml/2006/main" noChangeArrowheads="1"/>
        </cdr:cNvSpPr>
      </cdr:nvSpPr>
      <cdr:spPr bwMode="auto">
        <a:xfrm xmlns:a="http://schemas.openxmlformats.org/drawingml/2006/main">
          <a:off x="822605" y="840809"/>
          <a:ext cx="808069" cy="118721"/>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18288" rIns="27432" bIns="0" anchor="t" upright="1"/>
        <a:lstStyle xmlns:a="http://schemas.openxmlformats.org/drawingml/2006/main"/>
        <a:p xmlns:a="http://schemas.openxmlformats.org/drawingml/2006/main">
          <a:pPr algn="ctr" rtl="0">
            <a:defRPr sz="1000"/>
          </a:pPr>
          <a:r>
            <a:rPr lang="en-US" sz="900" b="1" i="0" u="none" strike="noStrike" baseline="0">
              <a:solidFill>
                <a:srgbClr val="000000"/>
              </a:solidFill>
              <a:latin typeface="Garamond"/>
            </a:rPr>
            <a:t>35 ,000</a:t>
          </a:r>
        </a:p>
      </cdr:txBody>
    </cdr:sp>
  </cdr:relSizeAnchor>
  <cdr:relSizeAnchor xmlns:cdr="http://schemas.openxmlformats.org/drawingml/2006/chartDrawing">
    <cdr:from>
      <cdr:x>0.88575</cdr:x>
      <cdr:y>0.05795</cdr:y>
    </cdr:from>
    <cdr:to>
      <cdr:x>0.96516</cdr:x>
      <cdr:y>0.12109</cdr:y>
    </cdr:to>
    <cdr:sp macro="" textlink="">
      <cdr:nvSpPr>
        <cdr:cNvPr id="10254" name="Text Box 14"/>
        <cdr:cNvSpPr txBox="1">
          <a:spLocks xmlns:a="http://schemas.openxmlformats.org/drawingml/2006/main" noChangeArrowheads="1"/>
        </cdr:cNvSpPr>
      </cdr:nvSpPr>
      <cdr:spPr bwMode="auto">
        <a:xfrm xmlns:a="http://schemas.openxmlformats.org/drawingml/2006/main">
          <a:off x="4605817" y="127966"/>
          <a:ext cx="412960" cy="139452"/>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18288" rIns="0" bIns="0" anchor="t" upright="1"/>
        <a:lstStyle xmlns:a="http://schemas.openxmlformats.org/drawingml/2006/main"/>
        <a:p xmlns:a="http://schemas.openxmlformats.org/drawingml/2006/main">
          <a:pPr algn="l" rtl="0">
            <a:defRPr sz="1000"/>
          </a:pPr>
          <a:r>
            <a:rPr lang="en-US" sz="900" b="1" i="0" u="none" strike="noStrike" baseline="0">
              <a:solidFill>
                <a:srgbClr val="000000"/>
              </a:solidFill>
              <a:latin typeface="Garamond"/>
            </a:rPr>
            <a:t>72 ,000</a:t>
          </a:r>
        </a:p>
      </cdr:txBody>
    </cdr:sp>
  </cdr:relSizeAnchor>
  <cdr:relSizeAnchor xmlns:cdr="http://schemas.openxmlformats.org/drawingml/2006/chartDrawing">
    <cdr:from>
      <cdr:x>0.88911</cdr:x>
      <cdr:y>0.13651</cdr:y>
    </cdr:from>
    <cdr:to>
      <cdr:x>0.94383</cdr:x>
      <cdr:y>0.29211</cdr:y>
    </cdr:to>
    <cdr:grpSp>
      <cdr:nvGrpSpPr>
        <cdr:cNvPr id="19" name="18 Grupo"/>
        <cdr:cNvGrpSpPr/>
      </cdr:nvGrpSpPr>
      <cdr:grpSpPr>
        <a:xfrm xmlns:a="http://schemas.openxmlformats.org/drawingml/2006/main">
          <a:off x="4989534" y="439242"/>
          <a:ext cx="307080" cy="500666"/>
          <a:chOff x="5276050" y="444688"/>
          <a:chExt cx="324693" cy="506869"/>
        </a:xfrm>
      </cdr:grpSpPr>
      <cdr:sp macro="" textlink="">
        <cdr:nvSpPr>
          <cdr:cNvPr id="16" name="Text Box 4"/>
          <cdr:cNvSpPr txBox="1">
            <a:spLocks xmlns:a="http://schemas.openxmlformats.org/drawingml/2006/main" noChangeArrowheads="1"/>
          </cdr:cNvSpPr>
        </cdr:nvSpPr>
        <cdr:spPr bwMode="auto">
          <a:xfrm xmlns:a="http://schemas.openxmlformats.org/drawingml/2006/main">
            <a:off x="5276050" y="444688"/>
            <a:ext cx="303884" cy="199786"/>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wrap="square" lIns="27432" tIns="18288" rIns="0" bIns="0" anchor="t" upright="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rtl="0">
              <a:defRPr sz="1000"/>
            </a:pPr>
            <a:r>
              <a:rPr lang="en-US" sz="750" b="0" i="0" u="none" strike="noStrike" baseline="0">
                <a:solidFill>
                  <a:srgbClr val="000000"/>
                </a:solidFill>
                <a:latin typeface="Garamond"/>
              </a:rPr>
              <a:t>12%</a:t>
            </a:r>
          </a:p>
        </cdr:txBody>
      </cdr:sp>
      <cdr:sp macro="" textlink="">
        <cdr:nvSpPr>
          <cdr:cNvPr id="17" name="Text Box 11"/>
          <cdr:cNvSpPr txBox="1">
            <a:spLocks xmlns:a="http://schemas.openxmlformats.org/drawingml/2006/main" noChangeArrowheads="1"/>
          </cdr:cNvSpPr>
        </cdr:nvSpPr>
        <cdr:spPr bwMode="auto">
          <a:xfrm xmlns:a="http://schemas.openxmlformats.org/drawingml/2006/main">
            <a:off x="5296859" y="762000"/>
            <a:ext cx="303884" cy="189557"/>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wrap="square" lIns="27432" tIns="18288" rIns="0" bIns="0" anchor="t" upright="1"/>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l" rtl="0">
              <a:defRPr sz="1000"/>
            </a:pPr>
            <a:r>
              <a:rPr lang="en-US" sz="750" b="0" i="0" u="none" strike="noStrike" baseline="0">
                <a:solidFill>
                  <a:srgbClr val="000000"/>
                </a:solidFill>
                <a:latin typeface="Garamond"/>
              </a:rPr>
              <a:t>16%</a:t>
            </a:r>
          </a:p>
        </cdr:txBody>
      </cdr:sp>
    </cdr:grpSp>
  </cdr:relSizeAnchor>
</c:userShapes>
</file>

<file path=word/drawings/drawing2.xml><?xml version="1.0" encoding="utf-8"?>
<c:userShapes xmlns:c="http://schemas.openxmlformats.org/drawingml/2006/chart">
  <cdr:relSizeAnchor xmlns:cdr="http://schemas.openxmlformats.org/drawingml/2006/chartDrawing">
    <cdr:from>
      <cdr:x>0.01116</cdr:x>
      <cdr:y>0.03952</cdr:y>
    </cdr:from>
    <cdr:to>
      <cdr:x>0.11871</cdr:x>
      <cdr:y>0.13382</cdr:y>
    </cdr:to>
    <cdr:sp macro="" textlink="">
      <cdr:nvSpPr>
        <cdr:cNvPr id="32769" name="Text Box 1"/>
        <cdr:cNvSpPr txBox="1">
          <a:spLocks xmlns:a="http://schemas.openxmlformats.org/drawingml/2006/main" noChangeArrowheads="1"/>
        </cdr:cNvSpPr>
      </cdr:nvSpPr>
      <cdr:spPr bwMode="auto">
        <a:xfrm xmlns:a="http://schemas.openxmlformats.org/drawingml/2006/main">
          <a:off x="50800" y="96899"/>
          <a:ext cx="458915" cy="223663"/>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2860" rIns="0" bIns="0" anchor="t" upright="1"/>
        <a:lstStyle xmlns:a="http://schemas.openxmlformats.org/drawingml/2006/main"/>
        <a:p xmlns:a="http://schemas.openxmlformats.org/drawingml/2006/main">
          <a:pPr algn="l" rtl="0">
            <a:defRPr sz="1000"/>
          </a:pPr>
          <a:r>
            <a:rPr lang="en-US" sz="1000" b="0" i="0" u="none" strike="noStrike" baseline="0">
              <a:solidFill>
                <a:srgbClr val="000000"/>
              </a:solidFill>
              <a:latin typeface="Garamond"/>
            </a:rPr>
            <a:t>% GDP</a:t>
          </a:r>
        </a:p>
      </cdr:txBody>
    </cdr:sp>
  </cdr:relSizeAnchor>
</c:userShapes>
</file>

<file path=word/drawings/drawing3.xml><?xml version="1.0" encoding="utf-8"?>
<c:userShapes xmlns:c="http://schemas.openxmlformats.org/drawingml/2006/chart">
  <cdr:relSizeAnchor xmlns:cdr="http://schemas.openxmlformats.org/drawingml/2006/chartDrawing">
    <cdr:from>
      <cdr:x>0.37681</cdr:x>
      <cdr:y>0.85992</cdr:y>
    </cdr:from>
    <cdr:to>
      <cdr:x>0.66511</cdr:x>
      <cdr:y>1</cdr:y>
    </cdr:to>
    <cdr:grpSp>
      <cdr:nvGrpSpPr>
        <cdr:cNvPr id="5" name="4 Grupo"/>
        <cdr:cNvGrpSpPr/>
      </cdr:nvGrpSpPr>
      <cdr:grpSpPr>
        <a:xfrm xmlns:a="http://schemas.openxmlformats.org/drawingml/2006/main">
          <a:off x="2231274" y="2128974"/>
          <a:ext cx="1707164" cy="346807"/>
          <a:chOff x="2232445" y="2432649"/>
          <a:chExt cx="1708029" cy="396276"/>
        </a:xfrm>
      </cdr:grpSpPr>
      <cdr:sp macro="" textlink="">
        <cdr:nvSpPr>
          <cdr:cNvPr id="2" name="1 CuadroTexto"/>
          <cdr:cNvSpPr txBox="1"/>
        </cdr:nvSpPr>
        <cdr:spPr>
          <a:xfrm xmlns:a="http://schemas.openxmlformats.org/drawingml/2006/main">
            <a:off x="2232445" y="2432649"/>
            <a:ext cx="457199" cy="396276"/>
          </a:xfrm>
          <a:prstGeom xmlns:a="http://schemas.openxmlformats.org/drawingml/2006/main" prst="rect">
            <a:avLst/>
          </a:prstGeom>
          <a:solidFill xmlns:a="http://schemas.openxmlformats.org/drawingml/2006/main">
            <a:schemeClr val="bg1"/>
          </a:solidFill>
        </cdr:spPr>
        <cdr:txBody>
          <a:bodyPr xmlns:a="http://schemas.openxmlformats.org/drawingml/2006/main" vertOverflow="clip" wrap="square" rtlCol="0"/>
          <a:lstStyle xmlns:a="http://schemas.openxmlformats.org/drawingml/2006/main"/>
          <a:p xmlns:a="http://schemas.openxmlformats.org/drawingml/2006/main">
            <a:r>
              <a:rPr lang="es-ES" sz="800"/>
              <a:t>Under level 1</a:t>
            </a:r>
          </a:p>
        </cdr:txBody>
      </cdr:sp>
      <cdr:sp macro="" textlink="">
        <cdr:nvSpPr>
          <cdr:cNvPr id="3" name="1 CuadroTexto"/>
          <cdr:cNvSpPr txBox="1"/>
        </cdr:nvSpPr>
        <cdr:spPr>
          <a:xfrm xmlns:a="http://schemas.openxmlformats.org/drawingml/2006/main">
            <a:off x="3467819" y="2527000"/>
            <a:ext cx="472655" cy="250166"/>
          </a:xfrm>
          <a:prstGeom xmlns:a="http://schemas.openxmlformats.org/drawingml/2006/main" prst="rect">
            <a:avLst/>
          </a:prstGeom>
          <a:solidFill xmlns:a="http://schemas.openxmlformats.org/drawingml/2006/main">
            <a:sysClr val="window" lastClr="FFFFFF"/>
          </a:solidFill>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s-ES" sz="800"/>
              <a:t>Level 2</a:t>
            </a:r>
          </a:p>
        </cdr:txBody>
      </cdr:sp>
      <cdr:sp macro="" textlink="">
        <cdr:nvSpPr>
          <cdr:cNvPr id="4" name="1 CuadroTexto"/>
          <cdr:cNvSpPr txBox="1"/>
        </cdr:nvSpPr>
        <cdr:spPr>
          <a:xfrm xmlns:a="http://schemas.openxmlformats.org/drawingml/2006/main">
            <a:off x="2872595" y="2536165"/>
            <a:ext cx="498535" cy="292760"/>
          </a:xfrm>
          <a:prstGeom xmlns:a="http://schemas.openxmlformats.org/drawingml/2006/main" prst="rect">
            <a:avLst/>
          </a:prstGeom>
          <a:solidFill xmlns:a="http://schemas.openxmlformats.org/drawingml/2006/main">
            <a:sysClr val="window" lastClr="FFFFFF"/>
          </a:solidFill>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s-ES" sz="800"/>
              <a:t>Level</a:t>
            </a:r>
            <a:r>
              <a:rPr lang="es-ES" sz="800" baseline="0"/>
              <a:t> </a:t>
            </a:r>
            <a:r>
              <a:rPr lang="es-ES" sz="800"/>
              <a:t>1</a:t>
            </a:r>
          </a:p>
        </cdr:txBody>
      </cdr:sp>
    </cdr:grpSp>
  </cdr:relSizeAnchor>
</c:userShapes>
</file>

<file path=word/drawings/drawing4.xml><?xml version="1.0" encoding="utf-8"?>
<c:userShapes xmlns:c="http://schemas.openxmlformats.org/drawingml/2006/chart">
  <cdr:relSizeAnchor xmlns:cdr="http://schemas.openxmlformats.org/drawingml/2006/chartDrawing">
    <cdr:from>
      <cdr:x>0.37876</cdr:x>
      <cdr:y>0.84738</cdr:y>
    </cdr:from>
    <cdr:to>
      <cdr:x>0.65568</cdr:x>
      <cdr:y>1</cdr:y>
    </cdr:to>
    <cdr:grpSp>
      <cdr:nvGrpSpPr>
        <cdr:cNvPr id="2" name="1 Grupo"/>
        <cdr:cNvGrpSpPr/>
      </cdr:nvGrpSpPr>
      <cdr:grpSpPr>
        <a:xfrm xmlns:a="http://schemas.openxmlformats.org/drawingml/2006/main">
          <a:off x="2201507" y="2200265"/>
          <a:ext cx="1609572" cy="396286"/>
          <a:chOff x="2215034" y="2484408"/>
          <a:chExt cx="1653486" cy="396276"/>
        </a:xfrm>
      </cdr:grpSpPr>
      <cdr:sp macro="" textlink="">
        <cdr:nvSpPr>
          <cdr:cNvPr id="3" name="2 CuadroTexto"/>
          <cdr:cNvSpPr txBox="1"/>
        </cdr:nvSpPr>
        <cdr:spPr>
          <a:xfrm xmlns:a="http://schemas.openxmlformats.org/drawingml/2006/main">
            <a:off x="2215034" y="2484408"/>
            <a:ext cx="528022" cy="396276"/>
          </a:xfrm>
          <a:prstGeom xmlns:a="http://schemas.openxmlformats.org/drawingml/2006/main" prst="rect">
            <a:avLst/>
          </a:prstGeom>
          <a:solidFill xmlns:a="http://schemas.openxmlformats.org/drawingml/2006/main">
            <a:sysClr val="window" lastClr="FFFFFF"/>
          </a:solidFill>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s-ES" sz="800"/>
              <a:t>Under level 1</a:t>
            </a:r>
          </a:p>
        </cdr:txBody>
      </cdr:sp>
      <cdr:sp macro="" textlink="">
        <cdr:nvSpPr>
          <cdr:cNvPr id="4" name="1 CuadroTexto"/>
          <cdr:cNvSpPr txBox="1"/>
        </cdr:nvSpPr>
        <cdr:spPr>
          <a:xfrm xmlns:a="http://schemas.openxmlformats.org/drawingml/2006/main">
            <a:off x="3443148" y="2570132"/>
            <a:ext cx="425372" cy="250166"/>
          </a:xfrm>
          <a:prstGeom xmlns:a="http://schemas.openxmlformats.org/drawingml/2006/main" prst="rect">
            <a:avLst/>
          </a:prstGeom>
          <a:solidFill xmlns:a="http://schemas.openxmlformats.org/drawingml/2006/main">
            <a:sysClr val="window" lastClr="FFFFFF"/>
          </a:solidFill>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s-ES" sz="800"/>
              <a:t>Level 2</a:t>
            </a:r>
          </a:p>
        </cdr:txBody>
      </cdr:sp>
      <cdr:sp macro="" textlink="">
        <cdr:nvSpPr>
          <cdr:cNvPr id="5" name="1 CuadroTexto"/>
          <cdr:cNvSpPr txBox="1"/>
        </cdr:nvSpPr>
        <cdr:spPr>
          <a:xfrm xmlns:a="http://schemas.openxmlformats.org/drawingml/2006/main">
            <a:off x="2855498" y="2536164"/>
            <a:ext cx="454721" cy="292760"/>
          </a:xfrm>
          <a:prstGeom xmlns:a="http://schemas.openxmlformats.org/drawingml/2006/main" prst="rect">
            <a:avLst/>
          </a:prstGeom>
          <a:solidFill xmlns:a="http://schemas.openxmlformats.org/drawingml/2006/main">
            <a:sysClr val="window" lastClr="FFFFFF"/>
          </a:solidFill>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s-ES" sz="800"/>
              <a:t>Level</a:t>
            </a:r>
            <a:r>
              <a:rPr lang="es-ES" sz="800" baseline="0"/>
              <a:t> </a:t>
            </a:r>
            <a:r>
              <a:rPr lang="es-ES" sz="800"/>
              <a:t>1</a:t>
            </a:r>
          </a:p>
        </cdr:txBody>
      </cdr:sp>
    </cdr:grpSp>
  </cdr:relSizeAnchor>
</c:userShape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C3803E4-33A5-4CEC-9697-87B02B491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325</TotalTime>
  <Pages>43</Pages>
  <Words>9682</Words>
  <Characters>55189</Characters>
  <Application>Microsoft Office Word</Application>
  <DocSecurity>0</DocSecurity>
  <Lines>459</Lines>
  <Paragraphs>129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Pending Equity Issues in Budget Allocation  </vt:lpstr>
      <vt:lpstr>PERU: Program Budgeting and Benefit Incidence Analysis: Education Sector</vt:lpstr>
    </vt:vector>
  </TitlesOfParts>
  <Company>Centro de Investigación de la Universidad del Pacífico</Company>
  <LinksUpToDate>false</LinksUpToDate>
  <CharactersWithSpaces>64742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Pending Equity Issues in Budget Allocation  </dc:title>
  <dc:subject>March 2010                    Working Paper</dc:subject>
  <dc:creator>Betty M. Alvarado     Graciela Muñiz</dc:creator>
  <cp:lastModifiedBy>Betty</cp:lastModifiedBy>
  <cp:revision>8</cp:revision>
  <cp:lastPrinted>2010-03-07T08:23:00Z</cp:lastPrinted>
  <dcterms:created xsi:type="dcterms:W3CDTF">2011-03-12T03:13:00Z</dcterms:created>
  <dcterms:modified xsi:type="dcterms:W3CDTF">2011-03-14T00:31:00Z</dcterms:modified>
</cp:coreProperties>
</file>